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數位發展部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簡稱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數位部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ED0009">
        <w:rPr>
          <w:rFonts w:ascii="Times New Roman" w:eastAsia="標楷體" w:hAnsi="Times New Roman" w:cs="Times New Roman"/>
          <w:sz w:val="32"/>
          <w:szCs w:val="32"/>
        </w:rPr>
        <w:t>7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ED0009">
        <w:rPr>
          <w:rFonts w:ascii="Times New Roman" w:eastAsia="標楷體" w:hAnsi="Times New Roman" w:cs="Times New Roman"/>
          <w:sz w:val="32"/>
          <w:szCs w:val="32"/>
        </w:rPr>
        <w:t>14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CF2F71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陳菊</w:t>
      </w:r>
      <w:r w:rsidR="00587957">
        <w:rPr>
          <w:rFonts w:ascii="標楷體" w:eastAsia="標楷體" w:hAnsi="標楷體" w:cs="Times New Roman" w:hint="eastAsia"/>
          <w:sz w:val="32"/>
          <w:szCs w:val="32"/>
        </w:rPr>
        <w:t>院長、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王麗珍委員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王美玉委員、林郁容委員、林盛豐委員、</w:t>
      </w:r>
      <w:proofErr w:type="gramStart"/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范</w:t>
      </w:r>
      <w:proofErr w:type="gramEnd"/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巽綠委員、張菊芳委員、葉宜津委員、賴振昌委員、賴鼎銘委員、王幼玲委員、王榮璋委員、林文程委員、紀惠容委員、施錦芳委員、</w:t>
      </w:r>
      <w:proofErr w:type="gramStart"/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浦忠成委</w:t>
      </w:r>
      <w:proofErr w:type="gramEnd"/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員、葉大華委員、趙永清委員、蕭自佑委員、蘇麗</w:t>
      </w:r>
      <w:bookmarkStart w:id="0" w:name="_GoBack"/>
      <w:bookmarkEnd w:id="0"/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瓊委員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13F48">
        <w:rPr>
          <w:rFonts w:ascii="Times New Roman" w:eastAsia="標楷體" w:hAnsi="Times New Roman" w:cs="Times New Roman"/>
          <w:sz w:val="32"/>
          <w:szCs w:val="32"/>
        </w:rPr>
        <w:t>0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587957" w:rsidRPr="00587957" w:rsidRDefault="00DF55AC" w:rsidP="00587957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587957" w:rsidRDefault="00ED0009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數位部組織編制與年度預算執行情形</w:t>
      </w:r>
    </w:p>
    <w:p w:rsidR="00587957" w:rsidRDefault="00ED0009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數位部職掌業務暨重要施政計畫辦理情形</w:t>
      </w:r>
    </w:p>
    <w:p w:rsidR="00587957" w:rsidRDefault="00ED0009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新型態詐騙</w:t>
      </w: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網路詐騙</w:t>
      </w: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防制成效</w:t>
      </w:r>
    </w:p>
    <w:p w:rsidR="00713206" w:rsidRDefault="00ED0009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資通安全防護辦理情形</w:t>
      </w:r>
    </w:p>
    <w:p w:rsidR="00587957" w:rsidRDefault="00ED0009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通訊傳播網路韌性強化情形</w:t>
      </w:r>
    </w:p>
    <w:p w:rsidR="00587957" w:rsidRDefault="00ED0009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0009">
        <w:rPr>
          <w:rFonts w:ascii="Times New Roman" w:eastAsia="標楷體" w:hAnsi="Times New Roman" w:cs="Times New Roman" w:hint="eastAsia"/>
          <w:sz w:val="32"/>
          <w:szCs w:val="32"/>
        </w:rPr>
        <w:t>產業數位創新與轉型推動情形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AB4D95" w:rsidRPr="000C049D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F5CC8">
        <w:rPr>
          <w:rFonts w:ascii="Times New Roman" w:eastAsia="標楷體" w:hAnsi="Times New Roman" w:cs="Times New Roman"/>
          <w:sz w:val="32"/>
          <w:szCs w:val="32"/>
        </w:rPr>
        <w:t>監察院交通及採購委員會於</w:t>
      </w:r>
      <w:r w:rsidR="001B21B2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1B21B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0F5CC8">
        <w:rPr>
          <w:rFonts w:ascii="Times New Roman" w:eastAsia="標楷體" w:hAnsi="Times New Roman" w:cs="Times New Roman"/>
          <w:sz w:val="32"/>
          <w:szCs w:val="32"/>
        </w:rPr>
        <w:t>月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Pr="000F5CC8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0F5CC8">
        <w:rPr>
          <w:rFonts w:ascii="Times New Roman" w:eastAsia="標楷體" w:hAnsi="Times New Roman" w:cs="Times New Roman"/>
          <w:sz w:val="32"/>
          <w:szCs w:val="32"/>
        </w:rPr>
        <w:t>，由</w:t>
      </w:r>
      <w:r>
        <w:rPr>
          <w:rFonts w:ascii="Times New Roman" w:eastAsia="標楷體" w:hAnsi="Times New Roman" w:cs="Times New Roman" w:hint="eastAsia"/>
          <w:sz w:val="32"/>
          <w:szCs w:val="32"/>
        </w:rPr>
        <w:t>院長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陳菊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0F5CC8">
        <w:rPr>
          <w:rFonts w:ascii="Times New Roman" w:eastAsia="標楷體" w:hAnsi="Times New Roman" w:cs="Times New Roman"/>
          <w:sz w:val="32"/>
          <w:szCs w:val="32"/>
        </w:rPr>
        <w:t>召集人</w:t>
      </w:r>
      <w:r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Pr="000F5CC8">
        <w:rPr>
          <w:rFonts w:ascii="Times New Roman" w:eastAsia="標楷體" w:hAnsi="Times New Roman" w:cs="Times New Roman"/>
          <w:sz w:val="32"/>
          <w:szCs w:val="32"/>
        </w:rPr>
        <w:t>委員偕同監察委員等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13F48"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/>
          <w:sz w:val="32"/>
          <w:szCs w:val="32"/>
        </w:rPr>
        <w:t>人，以</w:t>
      </w:r>
      <w:r w:rsidRPr="00C37F4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DB055C" w:rsidRPr="00DB055C">
        <w:rPr>
          <w:rFonts w:ascii="Times New Roman" w:eastAsia="標楷體" w:hAnsi="Times New Roman" w:cs="Times New Roman" w:hint="eastAsia"/>
          <w:sz w:val="32"/>
          <w:szCs w:val="32"/>
        </w:rPr>
        <w:t>網路詐騙防制、資通安全維護、數位產業發展</w:t>
      </w:r>
      <w:r w:rsidRPr="00C37F4B">
        <w:rPr>
          <w:rFonts w:ascii="Times New Roman" w:eastAsia="標楷體" w:hAnsi="Times New Roman" w:cs="Times New Roman" w:hint="eastAsia"/>
          <w:sz w:val="32"/>
          <w:szCs w:val="32"/>
        </w:rPr>
        <w:t>」為巡察主軸</w:t>
      </w:r>
      <w:r w:rsidRPr="000F5CC8">
        <w:rPr>
          <w:rFonts w:ascii="Times New Roman" w:eastAsia="標楷體" w:hAnsi="Times New Roman" w:cs="Times New Roman"/>
          <w:sz w:val="32"/>
          <w:szCs w:val="32"/>
        </w:rPr>
        <w:t>，巡察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數位部</w:t>
      </w:r>
      <w:r w:rsidRPr="000F5CC8">
        <w:rPr>
          <w:rFonts w:ascii="Times New Roman" w:eastAsia="標楷體" w:hAnsi="Times New Roman" w:cs="Times New Roman"/>
          <w:sz w:val="32"/>
          <w:szCs w:val="32"/>
        </w:rPr>
        <w:t>，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該部組織編制與年度預算執行情形、職掌業務暨重要施政計畫辦理情形，並關注網路詐騙防制成效、資通安全防護與通訊傳播網路韌性強化、</w:t>
      </w:r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產業數位創新與轉型推動等議題。</w:t>
      </w:r>
    </w:p>
    <w:p w:rsidR="00AB4D95" w:rsidRPr="00B20CA0" w:rsidRDefault="009B5FD7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會議中，監察委員分別就縮短城鄉與身心障礙者數位落差、政府網站暨行動化應用軟體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(APP)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設計管理規範、檢測及認證情形、手語視訊轉譯服務計畫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(VRS)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系統建置進度、身心障礙者數位發展現況與需求調查、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線上博弈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遊戲防制措施、低軌衛星設置與站點選擇、網路詐騙廣告下架機制、綠色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通道堵詐執行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成效、私密影像網路流傳處理機制、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資安攻擊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與假訊息防範因應作為、全民數位素養提升對策、媒體分潤制度、國家資通安全聯防體系、八大關鍵基礎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設施情資交換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女性資安人才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培育、國安層級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之資安風險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評估與防護、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數位霸凌預防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措施、山區通訊系統功能之強化、弱勢族群數位人權提升情形、政府數位轉型具體措施、政府數位資料庫整合與防護、人工智慧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(AI)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對於勞動市場與倫理價值之衝擊、公民投票電子連署等議題進行提問。</w:t>
      </w:r>
    </w:p>
    <w:p w:rsidR="00AB4D95" w:rsidRPr="00910CAF" w:rsidRDefault="009B5FD7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數位部唐部長等相關主管人員一一答復委員之提問外，表示將致力於促使網路世界外部成本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內部化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、推動更為便民之無障礙網路近用措施、並持續與衛生福利部共同推動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VRS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計畫、獎勵民間投資無障礙數位服務；在網路詐騙防制方面，將落實網路遊戲分級管理、推動博奕遊戲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實名制與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年齡認證，並與網路平台業者協調加強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頁式網頁及投資廣告詐騙下架等防制措施，提升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境外防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詐與假訊息防制成效；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在資安防護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方面，將加強落實行動自然人憑證驗證及數位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資隱私保障，戮力推動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資安情資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分享整合，強化政府機關資通安全防護檢測情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形，並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提升資安領域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人才性別平衡，另透過加重點對點加密通訊傳播責任及設立業者連帶責任制度，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防制私密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影像網路流傳；在數位產業發展方面，將持續加強產業溝通，深入了解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9B5FD7">
        <w:rPr>
          <w:rFonts w:ascii="Times New Roman" w:eastAsia="標楷體" w:hAnsi="Times New Roman" w:cs="Times New Roman" w:hint="eastAsia"/>
          <w:sz w:val="32"/>
          <w:szCs w:val="32"/>
        </w:rPr>
        <w:t>產業發展與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規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管制度，改善偏鄉地區數位建設，並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賡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續辦理低軌衛星概念驗證，並就現場說明不足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部分允於會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32"/>
        </w:rPr>
        <w:t>後再以書面資料補充說明。</w:t>
      </w:r>
    </w:p>
    <w:p w:rsidR="009B5FD7" w:rsidRPr="009B5FD7" w:rsidRDefault="009B5FD7" w:rsidP="009B5FD7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28"/>
        </w:rPr>
      </w:pP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監察院交通及採購委員會召集人王麗珍委員表示，隨著電信網路自由化與全球金融交易多元化，詐騙集團利用通訊軟體及社群網站等網路虛擬空間隱匿身分，贓款金流也由傳統實體帳戶轉為透過虛擬帳號、第三方支付或虛擬通貨洗錢，假冒知名人士代言之購物詐欺、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頁式詐騙廣告、釣魚網站、遊戲點數儲值詐欺等新型態網路詐騙案件日益猖獗。行政院於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112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年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日通過「新世代打擊詐欺策略行動綱領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1.5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版」，分從「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識詐、堵詐、阻詐、懲詐」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大面向，透過跨部會合作共同打擊詐欺，期許數位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部與「打詐國家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隊」成員群策群力，推動具體有效之網路防詐措施，自源頭阻斷網路詐騙、強化個人資料保護，並透過公私協力發展數位防制工具與防詐技術，以維護民眾生命財產安全。</w:t>
      </w:r>
    </w:p>
    <w:p w:rsidR="00AB4D95" w:rsidRDefault="009B5FD7" w:rsidP="009B5FD7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在數位轉型之浪潮下，近年來政府部門及民間企業之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資安外洩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事件頻傳，「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資安防護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」成為各方矚目之議題。期許數位部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促進資安產業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發展、增強通傳領域關鍵基礎設施防護能力及韌性，強化國內外資安聯防合作，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完善資安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人才培訓制度，以提升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全民資安意識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。另期許數位部持續推動全國通訊、資訊、資通安全、網路與傳</w:t>
      </w:r>
      <w:r w:rsidRPr="009B5FD7"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播等數位產業發展，建構全民數位韌性，提升產業技術和競爭力，以實現智慧國家之願景。</w:t>
      </w:r>
    </w:p>
    <w:p w:rsidR="009B5FD7" w:rsidRPr="009B5FD7" w:rsidRDefault="009B5FD7" w:rsidP="009B5FD7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28"/>
        </w:rPr>
      </w:pPr>
      <w:r w:rsidRPr="009B5FD7">
        <w:rPr>
          <w:rFonts w:ascii="Times New Roman" w:eastAsia="標楷體" w:hAnsi="Times New Roman" w:cs="Times New Roman" w:hint="eastAsia"/>
          <w:sz w:val="32"/>
          <w:szCs w:val="28"/>
        </w:rPr>
        <w:t>院長陳菊表示，「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資安即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國安」，臺灣每月接獲大量網路攻擊，且不實訊息頻傳，易對社會造成紛擾與不安。期許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數位部善盡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職責，統籌數位治理與數位基礎建設，及協助公私部門數位轉型之重要角色，</w:t>
      </w:r>
      <w:proofErr w:type="gramStart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以防制假訊息</w:t>
      </w:r>
      <w:proofErr w:type="gramEnd"/>
      <w:r w:rsidRPr="009B5FD7">
        <w:rPr>
          <w:rFonts w:ascii="Times New Roman" w:eastAsia="標楷體" w:hAnsi="Times New Roman" w:cs="Times New Roman" w:hint="eastAsia"/>
          <w:sz w:val="32"/>
          <w:szCs w:val="28"/>
        </w:rPr>
        <w:t>之傳播，確保國家安全與民眾權益。</w:t>
      </w:r>
    </w:p>
    <w:p w:rsidR="00AB4D95" w:rsidRPr="009B5FD7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:rsidR="008345DB" w:rsidRPr="00AB4D95" w:rsidRDefault="008345DB" w:rsidP="00971EA8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8345DB" w:rsidRPr="00AB4D95" w:rsidSect="00190E2A"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5FB" w:rsidRDefault="005F35FB" w:rsidP="00DB7913">
      <w:r>
        <w:separator/>
      </w:r>
    </w:p>
  </w:endnote>
  <w:endnote w:type="continuationSeparator" w:id="0">
    <w:p w:rsidR="005F35FB" w:rsidRDefault="005F35FB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5FB" w:rsidRDefault="005F35FB" w:rsidP="00DB7913">
      <w:r>
        <w:separator/>
      </w:r>
    </w:p>
  </w:footnote>
  <w:footnote w:type="continuationSeparator" w:id="0">
    <w:p w:rsidR="005F35FB" w:rsidRDefault="005F35FB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61A82"/>
    <w:multiLevelType w:val="hybridMultilevel"/>
    <w:tmpl w:val="03702830"/>
    <w:lvl w:ilvl="0" w:tplc="71347A44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29845713"/>
    <w:multiLevelType w:val="hybridMultilevel"/>
    <w:tmpl w:val="84A66D1C"/>
    <w:lvl w:ilvl="0" w:tplc="9D544056">
      <w:start w:val="1"/>
      <w:numFmt w:val="taiwaneseCountingThousand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6C04"/>
    <w:rsid w:val="000123F2"/>
    <w:rsid w:val="000543EB"/>
    <w:rsid w:val="000A2EAD"/>
    <w:rsid w:val="000C31A6"/>
    <w:rsid w:val="000F4825"/>
    <w:rsid w:val="001019FC"/>
    <w:rsid w:val="00107206"/>
    <w:rsid w:val="00125395"/>
    <w:rsid w:val="00131EF1"/>
    <w:rsid w:val="00143CEA"/>
    <w:rsid w:val="00150057"/>
    <w:rsid w:val="001523C2"/>
    <w:rsid w:val="00156947"/>
    <w:rsid w:val="00190E2A"/>
    <w:rsid w:val="001B21B2"/>
    <w:rsid w:val="001B63A6"/>
    <w:rsid w:val="001C75EB"/>
    <w:rsid w:val="001E0048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87957"/>
    <w:rsid w:val="005A5170"/>
    <w:rsid w:val="005A5544"/>
    <w:rsid w:val="005C513A"/>
    <w:rsid w:val="005D3BB0"/>
    <w:rsid w:val="005E1699"/>
    <w:rsid w:val="005F35FB"/>
    <w:rsid w:val="0060197C"/>
    <w:rsid w:val="0063164B"/>
    <w:rsid w:val="006504CA"/>
    <w:rsid w:val="00683351"/>
    <w:rsid w:val="006871C9"/>
    <w:rsid w:val="006C3AD5"/>
    <w:rsid w:val="00713206"/>
    <w:rsid w:val="00733D64"/>
    <w:rsid w:val="00785289"/>
    <w:rsid w:val="007A3030"/>
    <w:rsid w:val="007B18D1"/>
    <w:rsid w:val="007E00FF"/>
    <w:rsid w:val="007E1071"/>
    <w:rsid w:val="00812C05"/>
    <w:rsid w:val="008345DB"/>
    <w:rsid w:val="00865588"/>
    <w:rsid w:val="00870903"/>
    <w:rsid w:val="008B0DE3"/>
    <w:rsid w:val="008C428E"/>
    <w:rsid w:val="008E5C9C"/>
    <w:rsid w:val="00913D94"/>
    <w:rsid w:val="0093128D"/>
    <w:rsid w:val="009462DC"/>
    <w:rsid w:val="0095743E"/>
    <w:rsid w:val="00971EA8"/>
    <w:rsid w:val="0098033B"/>
    <w:rsid w:val="00987B6C"/>
    <w:rsid w:val="009910ED"/>
    <w:rsid w:val="00996B34"/>
    <w:rsid w:val="009A6108"/>
    <w:rsid w:val="009B5FD7"/>
    <w:rsid w:val="009C7F66"/>
    <w:rsid w:val="009D7B5D"/>
    <w:rsid w:val="009E0155"/>
    <w:rsid w:val="00A13F48"/>
    <w:rsid w:val="00A27FFE"/>
    <w:rsid w:val="00A34672"/>
    <w:rsid w:val="00A741B2"/>
    <w:rsid w:val="00A75C2E"/>
    <w:rsid w:val="00A80889"/>
    <w:rsid w:val="00A9732C"/>
    <w:rsid w:val="00AB4D95"/>
    <w:rsid w:val="00AC5E54"/>
    <w:rsid w:val="00B236DE"/>
    <w:rsid w:val="00B303FD"/>
    <w:rsid w:val="00B46B1D"/>
    <w:rsid w:val="00B62637"/>
    <w:rsid w:val="00B90348"/>
    <w:rsid w:val="00BB4B8A"/>
    <w:rsid w:val="00BD2C3A"/>
    <w:rsid w:val="00BD6C8B"/>
    <w:rsid w:val="00C002A9"/>
    <w:rsid w:val="00C74699"/>
    <w:rsid w:val="00C76FDB"/>
    <w:rsid w:val="00C83172"/>
    <w:rsid w:val="00CA5411"/>
    <w:rsid w:val="00CB03ED"/>
    <w:rsid w:val="00CB43B2"/>
    <w:rsid w:val="00CE0EDA"/>
    <w:rsid w:val="00CF2F71"/>
    <w:rsid w:val="00D24A11"/>
    <w:rsid w:val="00D272BE"/>
    <w:rsid w:val="00D438F9"/>
    <w:rsid w:val="00D80ADD"/>
    <w:rsid w:val="00D91350"/>
    <w:rsid w:val="00DA3E0F"/>
    <w:rsid w:val="00DB0281"/>
    <w:rsid w:val="00DB055C"/>
    <w:rsid w:val="00DB7913"/>
    <w:rsid w:val="00DD4076"/>
    <w:rsid w:val="00DD6C3A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ED0009"/>
    <w:rsid w:val="00EF06D0"/>
    <w:rsid w:val="00F06B7F"/>
    <w:rsid w:val="00F275AC"/>
    <w:rsid w:val="00F35D38"/>
    <w:rsid w:val="00F41197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A8A02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劉士誠</cp:lastModifiedBy>
  <cp:revision>10</cp:revision>
  <cp:lastPrinted>2023-04-28T09:16:00Z</cp:lastPrinted>
  <dcterms:created xsi:type="dcterms:W3CDTF">2023-04-28T07:47:00Z</dcterms:created>
  <dcterms:modified xsi:type="dcterms:W3CDTF">2023-07-14T09:46:00Z</dcterms:modified>
</cp:coreProperties>
</file>