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臺灣高等檢察署科技設備監控中心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CF11D3" w:rsidRPr="00CF11D3">
        <w:rPr>
          <w:rFonts w:ascii="Times New Roman" w:eastAsia="標楷體" w:hAnsi="Times New Roman" w:cs="Times New Roman" w:hint="eastAsia"/>
          <w:sz w:val="32"/>
          <w:szCs w:val="32"/>
        </w:rPr>
        <w:t>日上午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司法及獄政委員會召集人郭文東</w:t>
      </w:r>
      <w:r w:rsidR="006658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陳菊院長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王幼玲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、王美玉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、王麗珍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、林郁容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、林盛豐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、紀惠容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范</w:t>
      </w:r>
      <w:proofErr w:type="gramEnd"/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巽綠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浦忠成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</w:t>
      </w:r>
      <w:proofErr w:type="gramEnd"/>
      <w:r w:rsidR="00FA5FED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、高涌誠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、張菊芳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、葉大華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、蔡崇義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、蕭自佑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鴻義章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</w:t>
      </w:r>
      <w:proofErr w:type="gramEnd"/>
      <w:r w:rsidR="00FA5FED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、蘇麗瓊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FA5FED" w:rsidRPr="00FA5FED">
        <w:rPr>
          <w:rFonts w:ascii="Times New Roman" w:eastAsia="標楷體" w:hAnsi="Times New Roman" w:cs="Times New Roman" w:hint="eastAsia"/>
          <w:sz w:val="32"/>
          <w:szCs w:val="32"/>
        </w:rPr>
        <w:t>瞭解環境監控系統、平台及各種監控載具</w:t>
      </w:r>
      <w:r w:rsidR="00FA5FE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FA5FED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FA5FED" w:rsidRPr="00FA5FED" w:rsidRDefault="00FA5FED" w:rsidP="00FA5FE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監察院司法及獄政委員會於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日上午巡察臺灣高等檢察署科技設備監控中心，除瞭解環境監控系統、平台及各種監控載具外，並聽取業務簡報及進行座談交流。</w:t>
      </w:r>
    </w:p>
    <w:p w:rsidR="00FA5FED" w:rsidRPr="00FA5FED" w:rsidRDefault="00FA5FED" w:rsidP="00FA5FE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本日法務部蔡清祥部長、陳明堂政務次長及臺灣高等檢察署張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斗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輝檢察長均親臨現場。監察院司法及獄政委員會召集人郭文東委員表示，法務部為掌握科技時代的脈動，倡議建立科技的法務部，將偵查犯罪科技化，於臺灣高等檢察署成立「科技偵查中心」，納入反電信詐騙、數位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證、偵查測謊、大數據資料分析及科技設備監控等工具，強化偵查科技化辦案量能，使偵查工作更臻完善。</w:t>
      </w:r>
    </w:p>
    <w:p w:rsidR="00FA5FED" w:rsidRPr="00FA5FED" w:rsidRDefault="00FA5FED" w:rsidP="00FA5FE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A5FE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簡報中指出，法務部於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月正式成立科技設備監控中心，其科技監控設備主要係作為羈押的替代處分，在防止被告於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具保後逃亡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及性侵害犯罪防治上，確實扮演重要的角色。法官、檢察官可依個案逃亡風險及實際情況，作層級化監控，例如透過監控手機作為定期報到的工具，或透過電子圍籬劃定「禁止離開」、「禁止進入」區域，違反時系統即自動告警。另透過電子腳環、電子手環、以及強化訊號的居家讀取器等方式，監控中心得以全天候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小時掌握具保、責付、限制住居中被告的行蹤。然因其目前尚受限於訊號強弱及無法即時完整呈現個案行為，使用上仍具侷限性。</w:t>
      </w:r>
    </w:p>
    <w:p w:rsidR="00FA5FED" w:rsidRPr="00FA5FED" w:rsidRDefault="00FA5FED" w:rsidP="00FA5FE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紀惠容委員針對新型科技偵查監控設備應如何評估其成效提出垂詢；葉大華委員則詢問科技監控設備是否可擴大適用於性騷擾、家暴及網路或校園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性侵等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案件；王麗珍委員則認為科技監控相關技術、設備及管理應有更好的措施，以防止資料外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洩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或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被駭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等疑慮。高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誠委員關切採行科技監控設備案件數偏低原因，並建議可同時採行刑事訴訟法第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116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條之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6027C9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6027C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027C9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款與第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款之規定，俾提升多元監控之效能。臺灣高等檢察署張</w:t>
      </w:r>
      <w:proofErr w:type="gramStart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斗</w:t>
      </w:r>
      <w:proofErr w:type="gramEnd"/>
      <w:r w:rsidRPr="00FA5FED">
        <w:rPr>
          <w:rFonts w:ascii="Times New Roman" w:eastAsia="標楷體" w:hAnsi="Times New Roman" w:cs="Times New Roman" w:hint="eastAsia"/>
          <w:sz w:val="32"/>
          <w:szCs w:val="32"/>
        </w:rPr>
        <w:t>輝檢察長及中心督導鄭鑫宏主任檢察官等人針對上開問題，均一一詳予說明。蔡部長最後表示，科技監控設備目前適用範圍限於羈押之替代處分及性侵害犯罪防治，未來可配合相關修法，逐步擴大適用於更多元的案件類型。</w:t>
      </w:r>
    </w:p>
    <w:p w:rsidR="00932401" w:rsidRDefault="00FA5FED" w:rsidP="00FA5FE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本次巡察計有陳菊院長、司法及獄政委員會召集人郭文東，以及委員王幼玲、王美玉、王麗珍、林郁容、林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盛豐、紀惠容、范巽綠、浦忠成、高涌誠、張菊芳、葉大華、蔡崇義、蕭自佑、鴻義章、蘇麗瓊等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Pr="00FA5FED">
        <w:rPr>
          <w:rFonts w:ascii="Times New Roman" w:eastAsia="標楷體" w:hAnsi="Times New Roman" w:cs="Times New Roman" w:hint="eastAsia"/>
          <w:sz w:val="32"/>
          <w:szCs w:val="32"/>
        </w:rPr>
        <w:t>人，顯示監察院對科技監控議題之重視。</w:t>
      </w:r>
      <w:r w:rsidR="006658BD" w:rsidRPr="006658B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32401" w:rsidRDefault="00932401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932401" w:rsidSect="00932401">
      <w:footerReference w:type="default" r:id="rId7"/>
      <w:pgSz w:w="11906" w:h="16838"/>
      <w:pgMar w:top="1701" w:right="1700" w:bottom="1701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F6" w:rsidRDefault="000A24F6" w:rsidP="00DB7913">
      <w:r>
        <w:separator/>
      </w:r>
    </w:p>
  </w:endnote>
  <w:endnote w:type="continuationSeparator" w:id="0">
    <w:p w:rsidR="000A24F6" w:rsidRDefault="000A24F6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F6" w:rsidRDefault="000A24F6" w:rsidP="00DB7913">
      <w:r>
        <w:separator/>
      </w:r>
    </w:p>
  </w:footnote>
  <w:footnote w:type="continuationSeparator" w:id="0">
    <w:p w:rsidR="000A24F6" w:rsidRDefault="000A24F6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62339"/>
    <w:rsid w:val="000A24F6"/>
    <w:rsid w:val="000C31A6"/>
    <w:rsid w:val="001019FC"/>
    <w:rsid w:val="00107206"/>
    <w:rsid w:val="00124EF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5754"/>
    <w:rsid w:val="001B63A6"/>
    <w:rsid w:val="001C75EB"/>
    <w:rsid w:val="001E0048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170F"/>
    <w:rsid w:val="005A5170"/>
    <w:rsid w:val="005A5544"/>
    <w:rsid w:val="005B77C0"/>
    <w:rsid w:val="005D103D"/>
    <w:rsid w:val="005D3BB0"/>
    <w:rsid w:val="005E1699"/>
    <w:rsid w:val="005E7EE8"/>
    <w:rsid w:val="006027C9"/>
    <w:rsid w:val="0063164B"/>
    <w:rsid w:val="006504CA"/>
    <w:rsid w:val="006658BD"/>
    <w:rsid w:val="00683351"/>
    <w:rsid w:val="00684E18"/>
    <w:rsid w:val="006871C9"/>
    <w:rsid w:val="006A275E"/>
    <w:rsid w:val="00711C82"/>
    <w:rsid w:val="00733D64"/>
    <w:rsid w:val="00782256"/>
    <w:rsid w:val="00785289"/>
    <w:rsid w:val="00786DF9"/>
    <w:rsid w:val="007A3030"/>
    <w:rsid w:val="007C0C1A"/>
    <w:rsid w:val="007E1071"/>
    <w:rsid w:val="007F0A95"/>
    <w:rsid w:val="00812C05"/>
    <w:rsid w:val="008345DB"/>
    <w:rsid w:val="00846D14"/>
    <w:rsid w:val="00865588"/>
    <w:rsid w:val="008C428E"/>
    <w:rsid w:val="008E5C9C"/>
    <w:rsid w:val="00913D94"/>
    <w:rsid w:val="009148C6"/>
    <w:rsid w:val="0093128D"/>
    <w:rsid w:val="00932401"/>
    <w:rsid w:val="009462DC"/>
    <w:rsid w:val="0095743E"/>
    <w:rsid w:val="00987B6C"/>
    <w:rsid w:val="009910ED"/>
    <w:rsid w:val="00996B34"/>
    <w:rsid w:val="009C7F66"/>
    <w:rsid w:val="009D7B5D"/>
    <w:rsid w:val="009E0155"/>
    <w:rsid w:val="00A1083E"/>
    <w:rsid w:val="00A27FFE"/>
    <w:rsid w:val="00A34672"/>
    <w:rsid w:val="00A741B2"/>
    <w:rsid w:val="00A75C2E"/>
    <w:rsid w:val="00A80889"/>
    <w:rsid w:val="00A84DA0"/>
    <w:rsid w:val="00A9732C"/>
    <w:rsid w:val="00AE106C"/>
    <w:rsid w:val="00B303FD"/>
    <w:rsid w:val="00B46B1D"/>
    <w:rsid w:val="00B62637"/>
    <w:rsid w:val="00B90348"/>
    <w:rsid w:val="00B97339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CF11D3"/>
    <w:rsid w:val="00D21730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鄒筱涵</cp:lastModifiedBy>
  <cp:revision>3</cp:revision>
  <cp:lastPrinted>2022-11-25T09:25:00Z</cp:lastPrinted>
  <dcterms:created xsi:type="dcterms:W3CDTF">2023-06-06T08:07:00Z</dcterms:created>
  <dcterms:modified xsi:type="dcterms:W3CDTF">2023-06-06T08:10:00Z</dcterms:modified>
</cp:coreProperties>
</file>