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Pr="003E4316" w:rsidRDefault="005D3BB0" w:rsidP="003C62C8">
      <w:pPr>
        <w:overflowPunct w:val="0"/>
        <w:spacing w:afterLines="100" w:after="360"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5D3BB0" w:rsidRPr="003E4316" w:rsidRDefault="005D3BB0" w:rsidP="003C62C8">
      <w:pPr>
        <w:overflowPunct w:val="0"/>
        <w:spacing w:line="56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國家運輸安全調查委員會（下稱運安會）</w:t>
      </w:r>
    </w:p>
    <w:p w:rsidR="005D3BB0" w:rsidRPr="003E4316" w:rsidRDefault="005D3BB0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Pr="003E4316">
        <w:rPr>
          <w:rFonts w:ascii="Times New Roman" w:eastAsia="標楷體" w:hAnsi="Times New Roman" w:cs="Times New Roman"/>
          <w:sz w:val="32"/>
          <w:szCs w:val="32"/>
        </w:rPr>
        <w:t>10</w:t>
      </w:r>
      <w:r w:rsidR="0052566D">
        <w:rPr>
          <w:rFonts w:ascii="Times New Roman" w:eastAsia="標楷體" w:hAnsi="Times New Roman" w:cs="Times New Roman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  <w:r w:rsidR="00C64DE6">
        <w:rPr>
          <w:rFonts w:ascii="Times New Roman" w:eastAsia="標楷體" w:hAnsi="Times New Roman" w:cs="Times New Roman" w:hint="eastAsia"/>
          <w:sz w:val="32"/>
          <w:szCs w:val="32"/>
        </w:rPr>
        <w:t>上午</w:t>
      </w:r>
      <w:bookmarkStart w:id="0" w:name="_GoBack"/>
      <w:bookmarkEnd w:id="0"/>
    </w:p>
    <w:p w:rsidR="00AA37B3" w:rsidRDefault="005D3BB0" w:rsidP="005A0788">
      <w:pPr>
        <w:overflowPunct w:val="0"/>
        <w:spacing w:line="560" w:lineRule="exact"/>
        <w:ind w:left="2253" w:rightChars="-496" w:right="-1190" w:hangingChars="704" w:hanging="225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葉宜津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代理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召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委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C74B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王麗珍</w:t>
      </w:r>
      <w:r w:rsidR="00FE716E" w:rsidRPr="004C74B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、</w:t>
      </w:r>
    </w:p>
    <w:p w:rsidR="00196E51" w:rsidRDefault="00196E51" w:rsidP="00FE716E">
      <w:pPr>
        <w:overflowPunct w:val="0"/>
        <w:spacing w:line="560" w:lineRule="exact"/>
        <w:ind w:leftChars="670" w:left="1608" w:rightChars="-496" w:right="-119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林國明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>、施錦芳委員、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范巽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綠委員、</w:t>
      </w:r>
    </w:p>
    <w:p w:rsidR="00196E51" w:rsidRDefault="00196E51" w:rsidP="00FE716E">
      <w:pPr>
        <w:overflowPunct w:val="0"/>
        <w:spacing w:line="560" w:lineRule="exact"/>
        <w:ind w:leftChars="670" w:left="1608" w:rightChars="-496" w:right="-119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陳景峻委員、</w:t>
      </w:r>
      <w:r w:rsidR="00054C44">
        <w:rPr>
          <w:rFonts w:ascii="Times New Roman" w:eastAsia="標楷體" w:hAnsi="Times New Roman" w:cs="Times New Roman" w:hint="eastAsia"/>
          <w:sz w:val="32"/>
          <w:szCs w:val="32"/>
        </w:rPr>
        <w:t>葉大華委員、賴振昌委員</w:t>
      </w:r>
    </w:p>
    <w:p w:rsidR="005D3BB0" w:rsidRDefault="00196E51" w:rsidP="00FE716E">
      <w:pPr>
        <w:overflowPunct w:val="0"/>
        <w:spacing w:line="560" w:lineRule="exact"/>
        <w:ind w:leftChars="670" w:left="1608" w:rightChars="-496" w:right="-119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鴻義章委員</w:t>
      </w:r>
      <w:proofErr w:type="gramEnd"/>
      <w:r w:rsidR="0052566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共計</w:t>
      </w:r>
      <w:r w:rsidR="00054C44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位。</w:t>
      </w:r>
    </w:p>
    <w:p w:rsidR="0052566D" w:rsidRDefault="00DF55AC" w:rsidP="005344FD">
      <w:pPr>
        <w:overflowPunct w:val="0"/>
        <w:spacing w:line="560" w:lineRule="exact"/>
        <w:ind w:leftChars="-77" w:left="2503" w:rightChars="-142" w:right="-341" w:hangingChars="840" w:hanging="268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運安會主任委員楊宏智</w:t>
      </w:r>
      <w:r w:rsidR="00AA37B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副主任委員許悅玲、專任委員李綱、郭振華、葉名山、執行長張文環、主任秘書凃靜妮、運輸工程組組長莊禮彰、航空調查組組長蘇水灶、水路調查組組長李延年、公路調查組組長曾仁松、鐵路調查組調查官吳吉村、運輸安全組組長鄭永安</w:t>
      </w:r>
      <w:r w:rsidR="005344FD">
        <w:rPr>
          <w:rFonts w:ascii="Times New Roman" w:eastAsia="標楷體" w:hAnsi="Times New Roman" w:cs="Times New Roman" w:hint="eastAsia"/>
          <w:sz w:val="32"/>
          <w:szCs w:val="32"/>
        </w:rPr>
        <w:t>、秘書室主任李有智、政風室主任江明峰、主計室主任杜靜宜、人事室主任黃素蘭</w:t>
      </w:r>
      <w:r w:rsidR="008D5F2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96B34" w:rsidRPr="00DF55AC" w:rsidRDefault="00DF55AC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274D47" w:rsidRDefault="0052566D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96E51" w:rsidRPr="00196E51">
        <w:rPr>
          <w:rFonts w:ascii="Times New Roman" w:eastAsia="標楷體" w:hAnsi="Times New Roman" w:cs="Times New Roman" w:hint="eastAsia"/>
          <w:sz w:val="32"/>
          <w:szCs w:val="32"/>
        </w:rPr>
        <w:t>運安</w:t>
      </w:r>
      <w:r w:rsidR="00196E51" w:rsidRPr="00196E51">
        <w:rPr>
          <w:rFonts w:ascii="Times New Roman" w:eastAsia="標楷體" w:hAnsi="Times New Roman" w:cs="Times New Roman"/>
          <w:sz w:val="32"/>
          <w:szCs w:val="32"/>
        </w:rPr>
        <w:t>會</w:t>
      </w:r>
      <w:r w:rsidR="00196E51" w:rsidRPr="00196E51">
        <w:rPr>
          <w:rFonts w:ascii="Times New Roman" w:eastAsia="標楷體" w:hAnsi="Times New Roman" w:cs="Times New Roman" w:hint="eastAsia"/>
          <w:sz w:val="32"/>
          <w:szCs w:val="32"/>
        </w:rPr>
        <w:t>年度預算執行情形暨職掌業務施政計畫執行情形</w:t>
      </w:r>
      <w:r w:rsidR="00274D47" w:rsidRPr="00274D4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74D47" w:rsidRDefault="00274D47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96E51" w:rsidRPr="00196E51">
        <w:rPr>
          <w:rFonts w:ascii="Times New Roman" w:eastAsia="標楷體" w:hAnsi="Times New Roman" w:cs="Times New Roman" w:hint="eastAsia"/>
          <w:sz w:val="32"/>
          <w:szCs w:val="32"/>
        </w:rPr>
        <w:t>重大運輸事故之通報處理、調查、肇因鑑定及運輸安全改善建議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74D47" w:rsidRDefault="00274D47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96E51" w:rsidRPr="00196E51">
        <w:rPr>
          <w:rFonts w:ascii="Times New Roman" w:eastAsia="標楷體" w:hAnsi="Times New Roman" w:cs="Times New Roman" w:hint="eastAsia"/>
          <w:sz w:val="32"/>
          <w:szCs w:val="32"/>
        </w:rPr>
        <w:t>運輸事故趨勢分析、運輸安全改善建議之追蹤及運輸安全專案研究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96E51" w:rsidRDefault="00196E51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196E51">
        <w:rPr>
          <w:rFonts w:ascii="Times New Roman" w:eastAsia="標楷體" w:hAnsi="Times New Roman" w:cs="Times New Roman" w:hint="eastAsia"/>
          <w:sz w:val="32"/>
          <w:szCs w:val="32"/>
        </w:rPr>
        <w:t>運輸事故調查技術之研究發展、能量建立、</w:t>
      </w:r>
      <w:proofErr w:type="gramStart"/>
      <w:r w:rsidRPr="00196E51">
        <w:rPr>
          <w:rFonts w:ascii="Times New Roman" w:eastAsia="標楷體" w:hAnsi="Times New Roman" w:cs="Times New Roman" w:hint="eastAsia"/>
          <w:sz w:val="32"/>
          <w:szCs w:val="32"/>
        </w:rPr>
        <w:t>紀錄器解讀</w:t>
      </w:r>
      <w:proofErr w:type="gramEnd"/>
      <w:r w:rsidRPr="00196E51">
        <w:rPr>
          <w:rFonts w:ascii="Times New Roman" w:eastAsia="標楷體" w:hAnsi="Times New Roman" w:cs="Times New Roman" w:hint="eastAsia"/>
          <w:sz w:val="32"/>
          <w:szCs w:val="32"/>
        </w:rPr>
        <w:t>及工程分析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B7913" w:rsidRDefault="00DF55AC" w:rsidP="00274D47">
      <w:pPr>
        <w:overflowPunct w:val="0"/>
        <w:spacing w:line="560" w:lineRule="exact"/>
        <w:ind w:leftChars="12" w:left="1005" w:hangingChars="305" w:hanging="97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824B68" w:rsidRPr="00824B68" w:rsidRDefault="00824B68" w:rsidP="00824B6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</w:t>
      </w:r>
      <w:r>
        <w:rPr>
          <w:rFonts w:ascii="Times New Roman" w:eastAsia="標楷體" w:hAnsi="Times New Roman" w:cs="Times New Roman" w:hint="eastAsia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23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日由</w:t>
      </w:r>
      <w:r>
        <w:rPr>
          <w:rFonts w:ascii="Times New Roman" w:eastAsia="標楷體" w:hAnsi="Times New Roman" w:cs="Times New Roman" w:hint="eastAsia"/>
          <w:sz w:val="32"/>
          <w:szCs w:val="32"/>
        </w:rPr>
        <w:t>代理召</w:t>
      </w:r>
      <w:r w:rsidRPr="00607647">
        <w:rPr>
          <w:rFonts w:ascii="Times New Roman" w:eastAsia="標楷體" w:hAnsi="Times New Roman" w:cs="Times New Roman" w:hint="eastAsia"/>
          <w:sz w:val="32"/>
          <w:szCs w:val="32"/>
        </w:rPr>
        <w:t>委</w:t>
      </w:r>
      <w:r>
        <w:rPr>
          <w:rFonts w:ascii="Times New Roman" w:eastAsia="標楷體" w:hAnsi="Times New Roman" w:cs="Times New Roman" w:hint="eastAsia"/>
          <w:sz w:val="32"/>
          <w:szCs w:val="32"/>
        </w:rPr>
        <w:t>葉宜津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偕同監察委員等</w:t>
      </w:r>
      <w:r>
        <w:rPr>
          <w:rFonts w:ascii="Times New Roman" w:eastAsia="標楷體" w:hAnsi="Times New Roman" w:cs="Times New Roman"/>
          <w:sz w:val="32"/>
          <w:szCs w:val="32"/>
        </w:rPr>
        <w:t>9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人，前往</w:t>
      </w:r>
      <w:r>
        <w:rPr>
          <w:rFonts w:ascii="Times New Roman" w:eastAsia="標楷體" w:hAnsi="Times New Roman" w:cs="Times New Roman" w:hint="eastAsia"/>
          <w:sz w:val="32"/>
          <w:szCs w:val="32"/>
        </w:rPr>
        <w:t>運安會瞭解該會業務執行情形、各項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調查實驗室能量與實績，並舉行巡察會議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24B68" w:rsidRPr="00824B68" w:rsidRDefault="00824B68" w:rsidP="00824B6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在楊宏智主委陪同下，首</w:t>
      </w:r>
      <w:r w:rsidRPr="00824B68">
        <w:rPr>
          <w:rFonts w:ascii="Times New Roman" w:eastAsia="標楷體" w:hAnsi="Times New Roman" w:cs="Times New Roman"/>
          <w:sz w:val="32"/>
          <w:szCs w:val="32"/>
        </w:rPr>
        <w:t>先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由運安</w:t>
      </w:r>
      <w:r w:rsidRPr="000539FC">
        <w:rPr>
          <w:rFonts w:ascii="Times New Roman" w:eastAsia="標楷體" w:hAnsi="Times New Roman" w:cs="Times New Roman"/>
          <w:sz w:val="32"/>
          <w:szCs w:val="32"/>
        </w:rPr>
        <w:t>會</w:t>
      </w:r>
      <w:r w:rsidRPr="000539FC">
        <w:rPr>
          <w:rFonts w:ascii="Times New Roman" w:eastAsia="標楷體" w:hAnsi="Times New Roman" w:cs="Times New Roman" w:hint="eastAsia"/>
          <w:sz w:val="32"/>
          <w:szCs w:val="32"/>
        </w:rPr>
        <w:t>同仁</w:t>
      </w:r>
      <w:r w:rsidRPr="00824B68">
        <w:rPr>
          <w:rFonts w:ascii="Times New Roman" w:eastAsia="標楷體" w:hAnsi="Times New Roman" w:cs="Times New Roman"/>
          <w:sz w:val="32"/>
          <w:szCs w:val="32"/>
        </w:rPr>
        <w:t>向監察委員說明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該會</w:t>
      </w:r>
      <w:r w:rsidRPr="00824B68">
        <w:rPr>
          <w:rFonts w:ascii="Times New Roman" w:eastAsia="標楷體" w:hAnsi="Times New Roman" w:cs="Times New Roman"/>
          <w:sz w:val="32"/>
          <w:szCs w:val="32"/>
        </w:rPr>
        <w:t>調查作業執行情形，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Pr="00824B68">
        <w:rPr>
          <w:rFonts w:ascii="Times New Roman" w:eastAsia="標楷體" w:hAnsi="Times New Roman" w:cs="Times New Roman"/>
          <w:sz w:val="32"/>
          <w:szCs w:val="32"/>
        </w:rPr>
        <w:t>展示各調查實驗室解讀能量，包括工程分析能量、駕駛員疲勞輔助分析等系統，同時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就近年普悠</w:t>
      </w:r>
      <w:proofErr w:type="gramStart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瑪</w:t>
      </w:r>
      <w:proofErr w:type="gramEnd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列車翻覆、南方澳跨港大橋斷裂等各項意外事故之</w:t>
      </w:r>
      <w:r w:rsidRPr="00824B68">
        <w:rPr>
          <w:rFonts w:ascii="Times New Roman" w:eastAsia="標楷體" w:hAnsi="Times New Roman" w:cs="Times New Roman"/>
          <w:sz w:val="32"/>
          <w:szCs w:val="32"/>
        </w:rPr>
        <w:t>調查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過程</w:t>
      </w:r>
      <w:r w:rsidRPr="00824B68">
        <w:rPr>
          <w:rFonts w:ascii="Times New Roman" w:eastAsia="標楷體" w:hAnsi="Times New Roman" w:cs="Times New Roman"/>
          <w:sz w:val="32"/>
          <w:szCs w:val="32"/>
        </w:rPr>
        <w:t>進行報告，</w:t>
      </w:r>
      <w:proofErr w:type="gramStart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在場監察</w:t>
      </w:r>
      <w:r w:rsidRPr="00824B68">
        <w:rPr>
          <w:rFonts w:ascii="Times New Roman" w:eastAsia="標楷體" w:hAnsi="Times New Roman" w:cs="Times New Roman"/>
          <w:sz w:val="32"/>
          <w:szCs w:val="32"/>
        </w:rPr>
        <w:t>委員</w:t>
      </w:r>
      <w:proofErr w:type="gramEnd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皆十分</w:t>
      </w:r>
      <w:r w:rsidRPr="00824B68">
        <w:rPr>
          <w:rFonts w:ascii="Times New Roman" w:eastAsia="標楷體" w:hAnsi="Times New Roman" w:cs="Times New Roman"/>
          <w:sz w:val="32"/>
          <w:szCs w:val="32"/>
        </w:rPr>
        <w:t>肯定該會專業的調查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分析與</w:t>
      </w:r>
      <w:r w:rsidRPr="00824B68">
        <w:rPr>
          <w:rFonts w:ascii="Times New Roman" w:eastAsia="標楷體" w:hAnsi="Times New Roman" w:cs="Times New Roman"/>
          <w:sz w:val="32"/>
          <w:szCs w:val="32"/>
        </w:rPr>
        <w:t>成果。</w:t>
      </w:r>
    </w:p>
    <w:p w:rsidR="00824B68" w:rsidRPr="00824B68" w:rsidRDefault="00824B68" w:rsidP="00824B6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07647">
        <w:rPr>
          <w:rFonts w:ascii="Times New Roman" w:eastAsia="標楷體" w:hAnsi="Times New Roman" w:cs="Times New Roman" w:hint="eastAsia"/>
          <w:sz w:val="32"/>
          <w:szCs w:val="32"/>
        </w:rPr>
        <w:t>代理</w:t>
      </w:r>
      <w:r w:rsidRPr="00607647">
        <w:rPr>
          <w:rFonts w:ascii="Times New Roman" w:eastAsia="標楷體" w:hAnsi="Times New Roman" w:cs="Times New Roman"/>
          <w:sz w:val="32"/>
          <w:szCs w:val="32"/>
        </w:rPr>
        <w:t>召</w:t>
      </w:r>
      <w:r w:rsidRPr="00607647">
        <w:rPr>
          <w:rFonts w:ascii="Times New Roman" w:eastAsia="標楷體" w:hAnsi="Times New Roman" w:cs="Times New Roman" w:hint="eastAsia"/>
          <w:sz w:val="32"/>
          <w:szCs w:val="32"/>
        </w:rPr>
        <w:t>委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葉宜津</w:t>
      </w:r>
      <w:r w:rsidRPr="00824B68">
        <w:rPr>
          <w:rFonts w:ascii="Times New Roman" w:eastAsia="標楷體" w:hAnsi="Times New Roman" w:cs="Times New Roman"/>
          <w:sz w:val="32"/>
          <w:szCs w:val="32"/>
        </w:rPr>
        <w:t>在巡察會議中表示，運安會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108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824B68">
        <w:rPr>
          <w:rFonts w:ascii="Times New Roman" w:eastAsia="標楷體" w:hAnsi="Times New Roman" w:cs="Times New Roman"/>
          <w:sz w:val="32"/>
          <w:szCs w:val="32"/>
        </w:rPr>
        <w:t>升格為國內專責調查航空、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鐵道</w:t>
      </w:r>
      <w:r w:rsidRPr="00824B68">
        <w:rPr>
          <w:rFonts w:ascii="Times New Roman" w:eastAsia="標楷體" w:hAnsi="Times New Roman" w:cs="Times New Roman"/>
          <w:sz w:val="32"/>
          <w:szCs w:val="32"/>
        </w:rPr>
        <w:t>、水路、公路安全事故之最高主管機關，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已逐步建置調查實驗室能量及設備、延攬專業調查人才、建立重大事故通報機制等，期許運安會將過去累積之飛安調查能量，轉化為陸運及海運事故之調查能量，成為全方位的運輸事故調查機關，並建議該會在各項意外事故調查報告公布前應保密之現行規定下，妥善進行與事故家屬之溝通作業。</w:t>
      </w:r>
    </w:p>
    <w:p w:rsidR="00824B68" w:rsidRPr="00824B68" w:rsidRDefault="00824B68" w:rsidP="00824B6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24B68">
        <w:rPr>
          <w:rFonts w:ascii="Times New Roman" w:eastAsia="標楷體" w:hAnsi="Times New Roman" w:cs="Times New Roman"/>
          <w:sz w:val="32"/>
          <w:szCs w:val="32"/>
        </w:rPr>
        <w:t>會議中，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監察委員分別</w:t>
      </w:r>
      <w:proofErr w:type="gramStart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就普悠瑪</w:t>
      </w:r>
      <w:proofErr w:type="gramEnd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翻覆事故調查報告公布前與家屬之溝通處理情形、普悠</w:t>
      </w:r>
      <w:proofErr w:type="gramStart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瑪</w:t>
      </w:r>
      <w:proofErr w:type="gramEnd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事故調查進度有無延宕、與司法機關之協力機制、不究責調查之定位、提升運輸安全之作為、疲勞駕駛事故調查諮詢工會組織及民間團體之可行性、事故調查報告完成期限、海運及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陸運調查能量與自願報告系統之建置情形、與其他事故調查機關之分工合作機制、無人機事故調查、鐵道事故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ATP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系統調查機制等議題提問</w:t>
      </w:r>
      <w:r w:rsidRPr="00824B6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24B68" w:rsidRPr="00824B68" w:rsidRDefault="00824B68" w:rsidP="00824B68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24B68">
        <w:rPr>
          <w:rFonts w:ascii="Times New Roman" w:eastAsia="標楷體" w:hAnsi="Times New Roman" w:cs="Times New Roman"/>
          <w:sz w:val="32"/>
          <w:szCs w:val="32"/>
        </w:rPr>
        <w:t>運安會主委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楊宏智</w:t>
      </w:r>
      <w:r w:rsidRPr="00824B68">
        <w:rPr>
          <w:rFonts w:ascii="Times New Roman" w:eastAsia="標楷體" w:hAnsi="Times New Roman" w:cs="Times New Roman"/>
          <w:sz w:val="32"/>
          <w:szCs w:val="32"/>
        </w:rPr>
        <w:t>與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相關</w:t>
      </w:r>
      <w:r w:rsidRPr="00824B68">
        <w:rPr>
          <w:rFonts w:ascii="Times New Roman" w:eastAsia="標楷體" w:hAnsi="Times New Roman" w:cs="Times New Roman"/>
          <w:sz w:val="32"/>
          <w:szCs w:val="32"/>
        </w:rPr>
        <w:t>主管除逐一回覆委員提問外，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並表示該會作為獨立公正專業之調查機構，盡力從</w:t>
      </w:r>
      <w:proofErr w:type="gramStart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蒐</w:t>
      </w:r>
      <w:proofErr w:type="gramEnd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整之跡證重建還原事故現場，以</w:t>
      </w:r>
      <w:proofErr w:type="gramStart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釐</w:t>
      </w:r>
      <w:proofErr w:type="gramEnd"/>
      <w:r w:rsidRPr="00824B68">
        <w:rPr>
          <w:rFonts w:ascii="Times New Roman" w:eastAsia="標楷體" w:hAnsi="Times New Roman" w:cs="Times New Roman" w:hint="eastAsia"/>
          <w:sz w:val="32"/>
          <w:szCs w:val="32"/>
        </w:rPr>
        <w:t>清事實，未來將持續精進各項調查作為及追蹤各項改善建議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，以提升</w:t>
      </w:r>
      <w:r w:rsidRPr="00EA1487">
        <w:rPr>
          <w:rFonts w:ascii="Times New Roman" w:eastAsia="標楷體" w:hAnsi="Times New Roman" w:cs="Times New Roman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EA1487">
        <w:rPr>
          <w:rFonts w:ascii="Times New Roman" w:eastAsia="標楷體" w:hAnsi="Times New Roman" w:cs="Times New Roman"/>
          <w:sz w:val="32"/>
          <w:szCs w:val="32"/>
        </w:rPr>
        <w:t>交通運輸安全</w:t>
      </w:r>
      <w:r w:rsidRPr="00824B68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E2870" w:rsidRPr="00824B68" w:rsidRDefault="00DE2870" w:rsidP="00DE2870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DE2870" w:rsidRPr="00824B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6B" w:rsidRDefault="00F8206B" w:rsidP="00DB7913">
      <w:r>
        <w:separator/>
      </w:r>
    </w:p>
  </w:endnote>
  <w:endnote w:type="continuationSeparator" w:id="0">
    <w:p w:rsidR="00F8206B" w:rsidRDefault="00F8206B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263252"/>
      <w:docPartObj>
        <w:docPartGallery w:val="Page Numbers (Bottom of Page)"/>
        <w:docPartUnique/>
      </w:docPartObj>
    </w:sdtPr>
    <w:sdtEndPr/>
    <w:sdtContent>
      <w:p w:rsidR="00F06B7F" w:rsidRDefault="00F0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E6" w:rsidRPr="00C64DE6">
          <w:rPr>
            <w:noProof/>
            <w:lang w:val="zh-TW"/>
          </w:rPr>
          <w:t>3</w:t>
        </w:r>
        <w: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6B" w:rsidRDefault="00F8206B" w:rsidP="00DB7913">
      <w:r>
        <w:separator/>
      </w:r>
    </w:p>
  </w:footnote>
  <w:footnote w:type="continuationSeparator" w:id="0">
    <w:p w:rsidR="00F8206B" w:rsidRDefault="00F8206B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24B71"/>
    <w:rsid w:val="000543EB"/>
    <w:rsid w:val="00054C44"/>
    <w:rsid w:val="000C31A6"/>
    <w:rsid w:val="00125395"/>
    <w:rsid w:val="00131EF1"/>
    <w:rsid w:val="00156947"/>
    <w:rsid w:val="00196E51"/>
    <w:rsid w:val="001C75EB"/>
    <w:rsid w:val="00210FD9"/>
    <w:rsid w:val="002246D7"/>
    <w:rsid w:val="00266EF9"/>
    <w:rsid w:val="00274D47"/>
    <w:rsid w:val="002D6988"/>
    <w:rsid w:val="003264E0"/>
    <w:rsid w:val="00340596"/>
    <w:rsid w:val="00345C96"/>
    <w:rsid w:val="003734F2"/>
    <w:rsid w:val="003738E1"/>
    <w:rsid w:val="003B0B99"/>
    <w:rsid w:val="003C12A5"/>
    <w:rsid w:val="003C62C8"/>
    <w:rsid w:val="003E4316"/>
    <w:rsid w:val="00415255"/>
    <w:rsid w:val="00425F94"/>
    <w:rsid w:val="00443ED3"/>
    <w:rsid w:val="00461A09"/>
    <w:rsid w:val="00464261"/>
    <w:rsid w:val="00471ADB"/>
    <w:rsid w:val="00475E9F"/>
    <w:rsid w:val="00484207"/>
    <w:rsid w:val="004C74BD"/>
    <w:rsid w:val="004D278E"/>
    <w:rsid w:val="004D3BB0"/>
    <w:rsid w:val="0052566D"/>
    <w:rsid w:val="005344FD"/>
    <w:rsid w:val="00556E6C"/>
    <w:rsid w:val="005A0788"/>
    <w:rsid w:val="005D3BB0"/>
    <w:rsid w:val="005E1699"/>
    <w:rsid w:val="0063164B"/>
    <w:rsid w:val="00635014"/>
    <w:rsid w:val="006871C9"/>
    <w:rsid w:val="006A752D"/>
    <w:rsid w:val="006D34F8"/>
    <w:rsid w:val="00731910"/>
    <w:rsid w:val="0077170C"/>
    <w:rsid w:val="00785289"/>
    <w:rsid w:val="007D60F5"/>
    <w:rsid w:val="007E1071"/>
    <w:rsid w:val="00824B68"/>
    <w:rsid w:val="0088404E"/>
    <w:rsid w:val="00895B5F"/>
    <w:rsid w:val="008A73CB"/>
    <w:rsid w:val="008D5F2C"/>
    <w:rsid w:val="0090404F"/>
    <w:rsid w:val="009462DC"/>
    <w:rsid w:val="0097063D"/>
    <w:rsid w:val="009910ED"/>
    <w:rsid w:val="00996B34"/>
    <w:rsid w:val="009C1C40"/>
    <w:rsid w:val="009E0155"/>
    <w:rsid w:val="009F579F"/>
    <w:rsid w:val="00A1675B"/>
    <w:rsid w:val="00A2248C"/>
    <w:rsid w:val="00A66983"/>
    <w:rsid w:val="00A730C8"/>
    <w:rsid w:val="00A9732C"/>
    <w:rsid w:val="00AA37B3"/>
    <w:rsid w:val="00AD368E"/>
    <w:rsid w:val="00B31EC6"/>
    <w:rsid w:val="00B34587"/>
    <w:rsid w:val="00B62637"/>
    <w:rsid w:val="00B90348"/>
    <w:rsid w:val="00C20CA4"/>
    <w:rsid w:val="00C261D8"/>
    <w:rsid w:val="00C64DE6"/>
    <w:rsid w:val="00C67F4A"/>
    <w:rsid w:val="00C74699"/>
    <w:rsid w:val="00C76F70"/>
    <w:rsid w:val="00C92196"/>
    <w:rsid w:val="00D24A11"/>
    <w:rsid w:val="00D272BE"/>
    <w:rsid w:val="00DB0281"/>
    <w:rsid w:val="00DB7913"/>
    <w:rsid w:val="00DD200E"/>
    <w:rsid w:val="00DD6C3A"/>
    <w:rsid w:val="00DE2870"/>
    <w:rsid w:val="00DE47C1"/>
    <w:rsid w:val="00DF2EC6"/>
    <w:rsid w:val="00DF55AC"/>
    <w:rsid w:val="00E422B5"/>
    <w:rsid w:val="00E74513"/>
    <w:rsid w:val="00E82BF5"/>
    <w:rsid w:val="00E918E0"/>
    <w:rsid w:val="00EC200D"/>
    <w:rsid w:val="00F06B7F"/>
    <w:rsid w:val="00F41197"/>
    <w:rsid w:val="00F44E77"/>
    <w:rsid w:val="00F77C37"/>
    <w:rsid w:val="00F8206B"/>
    <w:rsid w:val="00F96A31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  <w:style w:type="paragraph" w:styleId="aa">
    <w:name w:val="Plain Text"/>
    <w:basedOn w:val="a"/>
    <w:link w:val="ab"/>
    <w:uiPriority w:val="99"/>
    <w:unhideWhenUsed/>
    <w:rsid w:val="00824B68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824B68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吳姿嫺</cp:lastModifiedBy>
  <cp:revision>9</cp:revision>
  <cp:lastPrinted>2020-05-28T01:14:00Z</cp:lastPrinted>
  <dcterms:created xsi:type="dcterms:W3CDTF">2020-07-01T08:21:00Z</dcterms:created>
  <dcterms:modified xsi:type="dcterms:W3CDTF">2020-10-26T01:00:00Z</dcterms:modified>
</cp:coreProperties>
</file>