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C9" w:rsidRPr="00D2510D" w:rsidRDefault="009E08C9" w:rsidP="009E08C9">
      <w:pPr>
        <w:pStyle w:val="3"/>
        <w:numPr>
          <w:ilvl w:val="0"/>
          <w:numId w:val="0"/>
        </w:numPr>
        <w:snapToGrid w:val="0"/>
        <w:ind w:left="1361" w:hanging="1361"/>
        <w:jc w:val="center"/>
        <w:rPr>
          <w:rFonts w:ascii="Times New Roman" w:hAnsi="Times New Roman"/>
          <w:b/>
        </w:rPr>
      </w:pPr>
      <w:bookmarkStart w:id="0" w:name="_GoBack"/>
      <w:r w:rsidRPr="00D2510D">
        <w:rPr>
          <w:rFonts w:ascii="Times New Roman" w:hAnsi="Times New Roman"/>
          <w:b/>
        </w:rPr>
        <w:t>內政部回復經濟部專案檢送疑似違反土地使用案件</w:t>
      </w:r>
    </w:p>
    <w:p w:rsidR="009E08C9" w:rsidRPr="00D2510D" w:rsidRDefault="009E08C9" w:rsidP="009E08C9">
      <w:pPr>
        <w:pStyle w:val="3"/>
        <w:numPr>
          <w:ilvl w:val="0"/>
          <w:numId w:val="0"/>
        </w:numPr>
        <w:snapToGrid w:val="0"/>
        <w:ind w:left="1361" w:hanging="1361"/>
        <w:jc w:val="center"/>
        <w:rPr>
          <w:rFonts w:ascii="Times New Roman" w:hAnsi="Times New Roman"/>
          <w:b/>
        </w:rPr>
      </w:pPr>
      <w:bookmarkStart w:id="1" w:name="_Toc95830546"/>
      <w:bookmarkStart w:id="2" w:name="_Toc96435880"/>
      <w:bookmarkStart w:id="3" w:name="_Toc96526487"/>
      <w:bookmarkStart w:id="4" w:name="_Toc97713770"/>
      <w:bookmarkStart w:id="5" w:name="_Toc99353114"/>
      <w:r w:rsidRPr="00D2510D">
        <w:rPr>
          <w:rFonts w:ascii="Times New Roman" w:hAnsi="Times New Roman"/>
          <w:b/>
        </w:rPr>
        <w:t>查處情形統計表</w:t>
      </w:r>
      <w:r w:rsidRPr="00D2510D">
        <w:rPr>
          <w:rFonts w:ascii="Times New Roman" w:hAnsi="Times New Roman"/>
          <w:b/>
        </w:rPr>
        <w:t>-</w:t>
      </w:r>
      <w:r w:rsidRPr="00D2510D">
        <w:rPr>
          <w:rFonts w:ascii="Times New Roman" w:hAnsi="Times New Roman"/>
          <w:b/>
        </w:rPr>
        <w:t>都市計畫土地案件</w:t>
      </w:r>
      <w:bookmarkEnd w:id="1"/>
      <w:bookmarkEnd w:id="2"/>
      <w:bookmarkEnd w:id="3"/>
      <w:bookmarkEnd w:id="4"/>
      <w:bookmarkEnd w:id="5"/>
    </w:p>
    <w:tbl>
      <w:tblPr>
        <w:tblW w:w="890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843"/>
        <w:gridCol w:w="1134"/>
        <w:gridCol w:w="1100"/>
        <w:gridCol w:w="1004"/>
        <w:gridCol w:w="992"/>
      </w:tblGrid>
      <w:tr w:rsidR="009E08C9" w:rsidRPr="00D2510D" w:rsidTr="009E08C9">
        <w:trPr>
          <w:trHeight w:val="100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縣市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經濟部</w:t>
            </w:r>
          </w:p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通報案件數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無須執行</w:t>
            </w:r>
          </w:p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斷水電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註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處罰鍰</w:t>
            </w:r>
          </w:p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註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已完成</w:t>
            </w:r>
          </w:p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斷水電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查處中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斷水電</w:t>
            </w:r>
          </w:p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完成率</w:t>
            </w:r>
          </w:p>
        </w:tc>
      </w:tr>
      <w:tr w:rsidR="009E08C9" w:rsidRPr="00D2510D" w:rsidTr="009E08C9">
        <w:trPr>
          <w:trHeight w:val="384"/>
        </w:trPr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109</w:t>
            </w:r>
            <w:r w:rsidRPr="00D2510D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年度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17%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6%</w:t>
            </w:r>
          </w:p>
        </w:tc>
      </w:tr>
      <w:tr w:rsidR="009E08C9" w:rsidRPr="00D2510D" w:rsidTr="009E08C9">
        <w:trPr>
          <w:trHeight w:val="384"/>
        </w:trPr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110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年度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至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110.12.19)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9E08C9" w:rsidRPr="00D2510D" w:rsidTr="009E08C9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C9" w:rsidRPr="00D2510D" w:rsidRDefault="009E08C9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</w:tbl>
    <w:p w:rsidR="009E08C9" w:rsidRPr="00D2510D" w:rsidRDefault="009E08C9" w:rsidP="009E08C9">
      <w:pPr>
        <w:pStyle w:val="3"/>
        <w:numPr>
          <w:ilvl w:val="0"/>
          <w:numId w:val="0"/>
        </w:numPr>
        <w:snapToGrid w:val="0"/>
        <w:rPr>
          <w:rFonts w:ascii="Times New Roman" w:hAnsi="Times New Roman"/>
          <w:sz w:val="24"/>
          <w:szCs w:val="24"/>
        </w:rPr>
      </w:pPr>
      <w:bookmarkStart w:id="6" w:name="_Toc95830547"/>
      <w:bookmarkStart w:id="7" w:name="_Toc96435881"/>
      <w:bookmarkStart w:id="8" w:name="_Toc96526488"/>
      <w:bookmarkStart w:id="9" w:name="_Toc97713771"/>
      <w:bookmarkStart w:id="10" w:name="_Toc99353115"/>
      <w:r w:rsidRPr="00D2510D">
        <w:rPr>
          <w:rFonts w:ascii="Times New Roman" w:hAnsi="Times New Roman"/>
          <w:sz w:val="24"/>
          <w:szCs w:val="24"/>
        </w:rPr>
        <w:t>註</w:t>
      </w:r>
      <w:r w:rsidRPr="00D2510D">
        <w:rPr>
          <w:rFonts w:ascii="Times New Roman" w:hAnsi="Times New Roman"/>
          <w:sz w:val="24"/>
          <w:szCs w:val="24"/>
        </w:rPr>
        <w:t>1</w:t>
      </w:r>
      <w:r w:rsidRPr="00D2510D">
        <w:rPr>
          <w:rFonts w:ascii="Times New Roman" w:hAnsi="Times New Roman"/>
          <w:sz w:val="24"/>
          <w:szCs w:val="24"/>
        </w:rPr>
        <w:t>：無須執行斷水電：查無違規、自行拆除、已完成納管、申請合法化、現場無水電設備者。</w:t>
      </w:r>
      <w:bookmarkEnd w:id="6"/>
      <w:bookmarkEnd w:id="7"/>
      <w:bookmarkEnd w:id="8"/>
      <w:bookmarkEnd w:id="9"/>
      <w:bookmarkEnd w:id="10"/>
    </w:p>
    <w:p w:rsidR="009E08C9" w:rsidRPr="00D2510D" w:rsidRDefault="009E08C9" w:rsidP="009E08C9">
      <w:pPr>
        <w:pStyle w:val="3"/>
        <w:numPr>
          <w:ilvl w:val="0"/>
          <w:numId w:val="0"/>
        </w:numPr>
        <w:snapToGrid w:val="0"/>
        <w:rPr>
          <w:rFonts w:ascii="Times New Roman" w:hAnsi="Times New Roman"/>
          <w:sz w:val="24"/>
          <w:szCs w:val="24"/>
        </w:rPr>
      </w:pPr>
      <w:bookmarkStart w:id="11" w:name="_Toc95830548"/>
      <w:bookmarkStart w:id="12" w:name="_Toc96435882"/>
      <w:bookmarkStart w:id="13" w:name="_Toc96526489"/>
      <w:bookmarkStart w:id="14" w:name="_Toc97713772"/>
      <w:bookmarkStart w:id="15" w:name="_Toc99353116"/>
      <w:r w:rsidRPr="00D2510D">
        <w:rPr>
          <w:rFonts w:ascii="Times New Roman" w:hAnsi="Times New Roman"/>
          <w:sz w:val="24"/>
          <w:szCs w:val="24"/>
        </w:rPr>
        <w:t>註</w:t>
      </w:r>
      <w:r w:rsidRPr="00D2510D">
        <w:rPr>
          <w:rFonts w:ascii="Times New Roman" w:hAnsi="Times New Roman"/>
          <w:sz w:val="24"/>
          <w:szCs w:val="24"/>
        </w:rPr>
        <w:t>2</w:t>
      </w:r>
      <w:r w:rsidRPr="00D2510D">
        <w:rPr>
          <w:rFonts w:ascii="Times New Roman" w:hAnsi="Times New Roman"/>
          <w:sz w:val="24"/>
          <w:szCs w:val="24"/>
        </w:rPr>
        <w:t>：已斷水電者，不重複計算處罰鍰。</w:t>
      </w:r>
      <w:bookmarkEnd w:id="11"/>
      <w:bookmarkEnd w:id="12"/>
      <w:bookmarkEnd w:id="13"/>
      <w:bookmarkEnd w:id="14"/>
      <w:bookmarkEnd w:id="15"/>
    </w:p>
    <w:p w:rsidR="009E08C9" w:rsidRPr="00D2510D" w:rsidRDefault="009E08C9" w:rsidP="009E08C9">
      <w:pPr>
        <w:pStyle w:val="3"/>
        <w:numPr>
          <w:ilvl w:val="0"/>
          <w:numId w:val="0"/>
        </w:numPr>
        <w:snapToGrid w:val="0"/>
        <w:rPr>
          <w:rFonts w:ascii="Times New Roman" w:hAnsi="Times New Roman"/>
          <w:sz w:val="24"/>
          <w:szCs w:val="24"/>
        </w:rPr>
      </w:pPr>
      <w:bookmarkStart w:id="16" w:name="_Toc95830549"/>
      <w:bookmarkStart w:id="17" w:name="_Toc96435883"/>
      <w:bookmarkStart w:id="18" w:name="_Toc96526490"/>
      <w:bookmarkStart w:id="19" w:name="_Toc97713773"/>
      <w:bookmarkStart w:id="20" w:name="_Toc99353117"/>
      <w:r w:rsidRPr="00D2510D">
        <w:rPr>
          <w:rFonts w:ascii="Times New Roman" w:hAnsi="Times New Roman"/>
          <w:sz w:val="24"/>
          <w:szCs w:val="24"/>
        </w:rPr>
        <w:lastRenderedPageBreak/>
        <w:t>註</w:t>
      </w:r>
      <w:r w:rsidRPr="00D2510D">
        <w:rPr>
          <w:rFonts w:ascii="Times New Roman" w:hAnsi="Times New Roman"/>
          <w:sz w:val="24"/>
          <w:szCs w:val="24"/>
        </w:rPr>
        <w:t>3</w:t>
      </w:r>
      <w:r w:rsidRPr="00D2510D">
        <w:rPr>
          <w:rFonts w:ascii="Times New Roman" w:hAnsi="Times New Roman"/>
          <w:sz w:val="24"/>
          <w:szCs w:val="24"/>
        </w:rPr>
        <w:t>：</w:t>
      </w:r>
      <w:r w:rsidRPr="00D2510D">
        <w:rPr>
          <w:rFonts w:ascii="Times New Roman" w:hAnsi="Times New Roman"/>
          <w:sz w:val="24"/>
          <w:szCs w:val="24"/>
          <w:u w:val="single"/>
        </w:rPr>
        <w:t>截至</w:t>
      </w:r>
      <w:r w:rsidRPr="00D2510D">
        <w:rPr>
          <w:rFonts w:ascii="Times New Roman" w:hAnsi="Times New Roman"/>
          <w:sz w:val="24"/>
          <w:szCs w:val="24"/>
          <w:u w:val="single"/>
        </w:rPr>
        <w:t>110.10.21</w:t>
      </w:r>
      <w:r w:rsidRPr="00D2510D">
        <w:rPr>
          <w:rFonts w:ascii="Times New Roman" w:hAnsi="Times New Roman"/>
          <w:sz w:val="24"/>
          <w:szCs w:val="24"/>
          <w:u w:val="single"/>
        </w:rPr>
        <w:t>累計</w:t>
      </w:r>
      <w:r w:rsidRPr="00D2510D">
        <w:rPr>
          <w:rFonts w:ascii="Times New Roman" w:hAnsi="Times New Roman"/>
          <w:sz w:val="24"/>
          <w:szCs w:val="24"/>
          <w:u w:val="single"/>
        </w:rPr>
        <w:t>589</w:t>
      </w:r>
      <w:r w:rsidRPr="00D2510D">
        <w:rPr>
          <w:rFonts w:ascii="Times New Roman" w:hAnsi="Times New Roman"/>
          <w:sz w:val="24"/>
          <w:szCs w:val="24"/>
          <w:u w:val="single"/>
        </w:rPr>
        <w:t>件，其中經查屬非都市土地</w:t>
      </w:r>
      <w:r w:rsidRPr="00D2510D">
        <w:rPr>
          <w:rFonts w:ascii="Times New Roman" w:hAnsi="Times New Roman"/>
          <w:sz w:val="24"/>
          <w:szCs w:val="24"/>
          <w:u w:val="single"/>
        </w:rPr>
        <w:t>419</w:t>
      </w:r>
      <w:r w:rsidRPr="00D2510D">
        <w:rPr>
          <w:rFonts w:ascii="Times New Roman" w:hAnsi="Times New Roman"/>
          <w:sz w:val="24"/>
          <w:szCs w:val="24"/>
          <w:u w:val="single"/>
        </w:rPr>
        <w:t>件、都市土地</w:t>
      </w:r>
      <w:r w:rsidRPr="00D2510D">
        <w:rPr>
          <w:rFonts w:ascii="Times New Roman" w:hAnsi="Times New Roman"/>
          <w:sz w:val="24"/>
          <w:szCs w:val="24"/>
          <w:u w:val="single"/>
        </w:rPr>
        <w:t>170</w:t>
      </w:r>
      <w:r w:rsidRPr="00D2510D">
        <w:rPr>
          <w:rFonts w:ascii="Times New Roman" w:hAnsi="Times New Roman"/>
          <w:sz w:val="24"/>
          <w:szCs w:val="24"/>
          <w:u w:val="single"/>
        </w:rPr>
        <w:t>件。</w:t>
      </w:r>
      <w:bookmarkEnd w:id="16"/>
      <w:bookmarkEnd w:id="17"/>
      <w:bookmarkEnd w:id="18"/>
      <w:bookmarkEnd w:id="19"/>
      <w:bookmarkEnd w:id="20"/>
    </w:p>
    <w:p w:rsidR="009E08C9" w:rsidRPr="00D2510D" w:rsidRDefault="009E08C9" w:rsidP="009E08C9">
      <w:pPr>
        <w:pStyle w:val="3"/>
        <w:numPr>
          <w:ilvl w:val="0"/>
          <w:numId w:val="0"/>
        </w:numPr>
        <w:snapToGrid w:val="0"/>
        <w:rPr>
          <w:rFonts w:ascii="Times New Roman" w:hAnsi="Times New Roman"/>
          <w:sz w:val="24"/>
          <w:szCs w:val="24"/>
        </w:rPr>
      </w:pPr>
      <w:bookmarkStart w:id="21" w:name="_Toc95830550"/>
      <w:bookmarkStart w:id="22" w:name="_Toc96435884"/>
      <w:bookmarkStart w:id="23" w:name="_Toc96526491"/>
      <w:bookmarkStart w:id="24" w:name="_Toc97713774"/>
      <w:bookmarkStart w:id="25" w:name="_Toc99353118"/>
      <w:r w:rsidRPr="00D2510D">
        <w:rPr>
          <w:rFonts w:ascii="Times New Roman" w:hAnsi="Times New Roman"/>
          <w:kern w:val="0"/>
          <w:sz w:val="24"/>
          <w:szCs w:val="24"/>
        </w:rPr>
        <w:t>註</w:t>
      </w:r>
      <w:r w:rsidRPr="00D2510D">
        <w:rPr>
          <w:rFonts w:ascii="Times New Roman" w:hAnsi="Times New Roman"/>
          <w:kern w:val="0"/>
          <w:sz w:val="24"/>
          <w:szCs w:val="24"/>
        </w:rPr>
        <w:t>4</w:t>
      </w:r>
      <w:r w:rsidRPr="00D2510D">
        <w:rPr>
          <w:rFonts w:ascii="Times New Roman" w:hAnsi="Times New Roman"/>
          <w:sz w:val="24"/>
          <w:szCs w:val="24"/>
        </w:rPr>
        <w:t>：</w:t>
      </w:r>
      <w:r w:rsidRPr="00D2510D">
        <w:rPr>
          <w:rFonts w:ascii="Times New Roman" w:hAnsi="Times New Roman"/>
          <w:kern w:val="0"/>
          <w:sz w:val="24"/>
          <w:szCs w:val="24"/>
        </w:rPr>
        <w:t>已完成斷水電</w:t>
      </w:r>
      <w:r w:rsidRPr="00D2510D">
        <w:rPr>
          <w:rFonts w:ascii="Times New Roman" w:hAnsi="Times New Roman"/>
          <w:kern w:val="0"/>
          <w:sz w:val="24"/>
          <w:szCs w:val="24"/>
        </w:rPr>
        <w:t>/(</w:t>
      </w:r>
      <w:r w:rsidRPr="00D2510D">
        <w:rPr>
          <w:rFonts w:ascii="Times New Roman" w:hAnsi="Times New Roman"/>
          <w:kern w:val="0"/>
          <w:sz w:val="24"/>
          <w:szCs w:val="24"/>
        </w:rPr>
        <w:t>經濟部通報</w:t>
      </w:r>
      <w:r w:rsidRPr="00D2510D">
        <w:rPr>
          <w:rFonts w:ascii="Times New Roman" w:hAnsi="Times New Roman"/>
          <w:kern w:val="0"/>
          <w:sz w:val="24"/>
          <w:szCs w:val="24"/>
        </w:rPr>
        <w:t>-</w:t>
      </w:r>
      <w:r w:rsidRPr="00D2510D">
        <w:rPr>
          <w:rFonts w:ascii="Times New Roman" w:hAnsi="Times New Roman"/>
          <w:kern w:val="0"/>
          <w:sz w:val="24"/>
          <w:szCs w:val="24"/>
        </w:rPr>
        <w:t>無須執行斷水電</w:t>
      </w:r>
      <w:r w:rsidRPr="00D2510D">
        <w:rPr>
          <w:rFonts w:ascii="Times New Roman" w:hAnsi="Times New Roman"/>
          <w:kern w:val="0"/>
          <w:sz w:val="24"/>
          <w:szCs w:val="24"/>
        </w:rPr>
        <w:t>)</w:t>
      </w:r>
      <w:bookmarkEnd w:id="21"/>
      <w:bookmarkEnd w:id="22"/>
      <w:bookmarkEnd w:id="23"/>
      <w:bookmarkEnd w:id="24"/>
      <w:bookmarkEnd w:id="25"/>
    </w:p>
    <w:p w:rsidR="009E08C9" w:rsidRPr="008C558E" w:rsidRDefault="009E08C9" w:rsidP="009E08C9">
      <w:pPr>
        <w:widowControl/>
        <w:rPr>
          <w:rFonts w:ascii="標楷體" w:eastAsia="標楷體" w:hAnsi="標楷體"/>
          <w:sz w:val="28"/>
          <w:szCs w:val="28"/>
        </w:rPr>
      </w:pPr>
      <w:bookmarkStart w:id="26" w:name="_Toc95830551"/>
      <w:bookmarkStart w:id="27" w:name="_Toc96435885"/>
      <w:bookmarkStart w:id="28" w:name="_Toc96526492"/>
      <w:bookmarkStart w:id="29" w:name="_Toc97713775"/>
      <w:bookmarkStart w:id="30" w:name="_Toc99353119"/>
      <w:r w:rsidRPr="008C558E">
        <w:rPr>
          <w:rFonts w:ascii="標楷體" w:eastAsia="標楷體" w:hAnsi="標楷體"/>
          <w:szCs w:val="24"/>
        </w:rPr>
        <w:t>資料來源：經濟部中部辦公室網站。</w:t>
      </w:r>
      <w:bookmarkEnd w:id="26"/>
      <w:bookmarkEnd w:id="27"/>
      <w:bookmarkEnd w:id="28"/>
      <w:bookmarkEnd w:id="29"/>
      <w:bookmarkEnd w:id="30"/>
    </w:p>
    <w:p w:rsidR="009E08C9" w:rsidRDefault="009E08C9" w:rsidP="009E08C9">
      <w:pPr>
        <w:widowControl/>
        <w:rPr>
          <w:rFonts w:ascii="標楷體" w:eastAsia="標楷體" w:hAnsi="標楷體"/>
          <w:sz w:val="28"/>
          <w:szCs w:val="28"/>
        </w:rPr>
      </w:pPr>
    </w:p>
    <w:p w:rsidR="009E08C9" w:rsidRDefault="009E08C9" w:rsidP="009E08C9">
      <w:pPr>
        <w:widowControl/>
        <w:rPr>
          <w:rFonts w:ascii="標楷體" w:eastAsia="標楷體" w:hAnsi="標楷體"/>
          <w:sz w:val="28"/>
          <w:szCs w:val="28"/>
        </w:rPr>
      </w:pPr>
    </w:p>
    <w:p w:rsidR="006E707D" w:rsidRPr="009E08C9" w:rsidRDefault="006E707D"/>
    <w:sectPr w:rsidR="006E707D" w:rsidRPr="009E08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10C"/>
    <w:multiLevelType w:val="multilevel"/>
    <w:tmpl w:val="837CA6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249" w:hanging="681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928" w:hanging="510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7" w:tentative="1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8" w:tentative="1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pacing w:val="0"/>
        <w:w w:val="100"/>
        <w:kern w:val="32"/>
        <w:position w:val="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C9"/>
    <w:rsid w:val="006E707D"/>
    <w:rsid w:val="009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A36B6-C45C-4C82-B73D-ED34515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8C9"/>
    <w:pPr>
      <w:widowControl w:val="0"/>
    </w:pPr>
  </w:style>
  <w:style w:type="paragraph" w:styleId="1">
    <w:name w:val="heading 1"/>
    <w:basedOn w:val="a"/>
    <w:link w:val="10"/>
    <w:qFormat/>
    <w:rsid w:val="009E08C9"/>
    <w:pPr>
      <w:numPr>
        <w:numId w:val="1"/>
      </w:numPr>
      <w:overflowPunct w:val="0"/>
      <w:autoSpaceDE w:val="0"/>
      <w:autoSpaceDN w:val="0"/>
      <w:jc w:val="both"/>
      <w:outlineLvl w:val="0"/>
    </w:pPr>
    <w:rPr>
      <w:rFonts w:ascii="標楷體" w:eastAsia="標楷體" w:hAnsi="Arial" w:cs="Times New Roman"/>
      <w:bCs/>
      <w:kern w:val="32"/>
      <w:sz w:val="32"/>
      <w:szCs w:val="52"/>
    </w:rPr>
  </w:style>
  <w:style w:type="paragraph" w:styleId="2">
    <w:name w:val="heading 2"/>
    <w:basedOn w:val="a"/>
    <w:link w:val="20"/>
    <w:qFormat/>
    <w:rsid w:val="009E08C9"/>
    <w:pPr>
      <w:numPr>
        <w:ilvl w:val="1"/>
        <w:numId w:val="1"/>
      </w:numPr>
      <w:overflowPunct w:val="0"/>
      <w:autoSpaceDE w:val="0"/>
      <w:autoSpaceDN w:val="0"/>
      <w:ind w:left="1021"/>
      <w:jc w:val="both"/>
      <w:outlineLvl w:val="1"/>
    </w:pPr>
    <w:rPr>
      <w:rFonts w:ascii="標楷體" w:eastAsia="標楷體" w:hAnsi="Arial" w:cs="Times New Roman"/>
      <w:bCs/>
      <w:kern w:val="32"/>
      <w:sz w:val="32"/>
      <w:szCs w:val="48"/>
    </w:rPr>
  </w:style>
  <w:style w:type="paragraph" w:styleId="3">
    <w:name w:val="heading 3"/>
    <w:basedOn w:val="a"/>
    <w:link w:val="30"/>
    <w:qFormat/>
    <w:rsid w:val="009E08C9"/>
    <w:pPr>
      <w:numPr>
        <w:ilvl w:val="2"/>
        <w:numId w:val="1"/>
      </w:numPr>
      <w:overflowPunct w:val="0"/>
      <w:autoSpaceDE w:val="0"/>
      <w:autoSpaceDN w:val="0"/>
      <w:jc w:val="both"/>
      <w:outlineLvl w:val="2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4">
    <w:name w:val="heading 4"/>
    <w:basedOn w:val="a"/>
    <w:link w:val="40"/>
    <w:qFormat/>
    <w:rsid w:val="009E08C9"/>
    <w:pPr>
      <w:numPr>
        <w:ilvl w:val="3"/>
        <w:numId w:val="1"/>
      </w:numPr>
      <w:overflowPunct w:val="0"/>
      <w:autoSpaceDE w:val="0"/>
      <w:autoSpaceDN w:val="0"/>
      <w:ind w:left="1701"/>
      <w:jc w:val="both"/>
      <w:outlineLvl w:val="3"/>
    </w:pPr>
    <w:rPr>
      <w:rFonts w:ascii="標楷體" w:eastAsia="標楷體" w:hAnsi="Arial" w:cs="Times New Roman"/>
      <w:kern w:val="32"/>
      <w:sz w:val="32"/>
      <w:szCs w:val="36"/>
    </w:rPr>
  </w:style>
  <w:style w:type="paragraph" w:styleId="5">
    <w:name w:val="heading 5"/>
    <w:basedOn w:val="a"/>
    <w:link w:val="50"/>
    <w:qFormat/>
    <w:rsid w:val="009E08C9"/>
    <w:pPr>
      <w:numPr>
        <w:ilvl w:val="4"/>
        <w:numId w:val="1"/>
      </w:numPr>
      <w:overflowPunct w:val="0"/>
      <w:autoSpaceDE w:val="0"/>
      <w:autoSpaceDN w:val="0"/>
      <w:jc w:val="both"/>
      <w:outlineLvl w:val="4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6">
    <w:name w:val="heading 6"/>
    <w:basedOn w:val="a"/>
    <w:link w:val="60"/>
    <w:qFormat/>
    <w:rsid w:val="009E08C9"/>
    <w:pPr>
      <w:numPr>
        <w:ilvl w:val="5"/>
        <w:numId w:val="1"/>
      </w:numPr>
      <w:tabs>
        <w:tab w:val="left" w:pos="2094"/>
      </w:tabs>
      <w:overflowPunct w:val="0"/>
      <w:autoSpaceDE w:val="0"/>
      <w:autoSpaceDN w:val="0"/>
      <w:jc w:val="both"/>
      <w:outlineLvl w:val="5"/>
    </w:pPr>
    <w:rPr>
      <w:rFonts w:ascii="標楷體" w:eastAsia="標楷體" w:hAnsi="Arial" w:cs="Times New Roman"/>
      <w:kern w:val="32"/>
      <w:sz w:val="32"/>
      <w:szCs w:val="36"/>
    </w:rPr>
  </w:style>
  <w:style w:type="paragraph" w:styleId="7">
    <w:name w:val="heading 7"/>
    <w:basedOn w:val="a"/>
    <w:link w:val="70"/>
    <w:qFormat/>
    <w:rsid w:val="009E08C9"/>
    <w:pPr>
      <w:numPr>
        <w:ilvl w:val="6"/>
        <w:numId w:val="1"/>
      </w:numPr>
      <w:overflowPunct w:val="0"/>
      <w:autoSpaceDE w:val="0"/>
      <w:autoSpaceDN w:val="0"/>
      <w:jc w:val="both"/>
      <w:outlineLvl w:val="6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8">
    <w:name w:val="heading 8"/>
    <w:basedOn w:val="a"/>
    <w:link w:val="80"/>
    <w:qFormat/>
    <w:rsid w:val="009E08C9"/>
    <w:pPr>
      <w:numPr>
        <w:ilvl w:val="7"/>
        <w:numId w:val="1"/>
      </w:numPr>
      <w:overflowPunct w:val="0"/>
      <w:autoSpaceDE w:val="0"/>
      <w:autoSpaceDN w:val="0"/>
      <w:jc w:val="both"/>
      <w:outlineLvl w:val="7"/>
    </w:pPr>
    <w:rPr>
      <w:rFonts w:ascii="標楷體" w:eastAsia="標楷體" w:hAnsi="Arial" w:cs="Times New Roman"/>
      <w:kern w:val="32"/>
      <w:sz w:val="32"/>
      <w:szCs w:val="36"/>
    </w:rPr>
  </w:style>
  <w:style w:type="paragraph" w:styleId="9">
    <w:name w:val="heading 9"/>
    <w:basedOn w:val="a"/>
    <w:link w:val="90"/>
    <w:uiPriority w:val="9"/>
    <w:unhideWhenUsed/>
    <w:qFormat/>
    <w:rsid w:val="009E08C9"/>
    <w:pPr>
      <w:numPr>
        <w:ilvl w:val="8"/>
        <w:numId w:val="1"/>
      </w:numPr>
      <w:overflowPunct w:val="0"/>
      <w:autoSpaceDE w:val="0"/>
      <w:autoSpaceDN w:val="0"/>
      <w:jc w:val="both"/>
      <w:outlineLvl w:val="8"/>
    </w:pPr>
    <w:rPr>
      <w:rFonts w:ascii="標楷體" w:eastAsia="標楷體" w:hAnsi="Cambria" w:cs="Times New Roman"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8C9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0"/>
    <w:link w:val="2"/>
    <w:rsid w:val="009E08C9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0"/>
    <w:link w:val="3"/>
    <w:rsid w:val="009E08C9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0"/>
    <w:link w:val="4"/>
    <w:rsid w:val="009E08C9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0"/>
    <w:link w:val="5"/>
    <w:rsid w:val="009E08C9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0"/>
    <w:link w:val="6"/>
    <w:rsid w:val="009E08C9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0"/>
    <w:link w:val="7"/>
    <w:rsid w:val="009E08C9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0"/>
    <w:link w:val="8"/>
    <w:rsid w:val="009E08C9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0"/>
    <w:link w:val="9"/>
    <w:uiPriority w:val="9"/>
    <w:rsid w:val="009E08C9"/>
    <w:rPr>
      <w:rFonts w:ascii="標楷體" w:eastAsia="標楷體" w:hAnsi="Cambria" w:cs="Times New Roman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2022-04-07T07:05:00Z</dcterms:created>
  <dcterms:modified xsi:type="dcterms:W3CDTF">2022-04-07T07:06:00Z</dcterms:modified>
</cp:coreProperties>
</file>