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7D" w:rsidRPr="004E3056" w:rsidRDefault="002D607D" w:rsidP="002D607D">
      <w:pPr>
        <w:pStyle w:val="3"/>
        <w:numPr>
          <w:ilvl w:val="0"/>
          <w:numId w:val="0"/>
        </w:numPr>
        <w:rPr>
          <w:rFonts w:ascii="Times New Roman" w:hAnsi="Times New Roman"/>
          <w:color w:val="000000" w:themeColor="text1"/>
          <w:lang w:eastAsia="zh-HK"/>
        </w:rPr>
      </w:pPr>
      <w:r w:rsidRPr="004E3056">
        <w:rPr>
          <w:rFonts w:ascii="Times New Roman" w:hAnsi="Times New Roman" w:hint="eastAsia"/>
          <w:color w:val="000000" w:themeColor="text1"/>
          <w:lang w:eastAsia="zh-HK"/>
        </w:rPr>
        <w:t>附件</w:t>
      </w:r>
      <w:r w:rsidRPr="004E3056">
        <w:rPr>
          <w:rFonts w:ascii="Times New Roman" w:hAnsi="Times New Roman"/>
          <w:color w:val="000000" w:themeColor="text1"/>
        </w:rPr>
        <w:t xml:space="preserve">  </w:t>
      </w:r>
      <w:bookmarkStart w:id="0" w:name="_GoBack"/>
      <w:r w:rsidRPr="004E3056">
        <w:rPr>
          <w:rFonts w:ascii="Times New Roman" w:hAnsi="Times New Roman"/>
          <w:color w:val="000000" w:themeColor="text1"/>
          <w:lang w:eastAsia="zh-HK"/>
        </w:rPr>
        <w:t>衛生福利部</w:t>
      </w:r>
      <w:r w:rsidRPr="004E3056">
        <w:rPr>
          <w:rFonts w:ascii="Times New Roman" w:hAnsi="Times New Roman"/>
          <w:color w:val="000000" w:themeColor="text1"/>
          <w:lang w:eastAsia="zh-HK"/>
        </w:rPr>
        <w:t>10</w:t>
      </w:r>
      <w:r w:rsidRPr="004E3056">
        <w:rPr>
          <w:rFonts w:ascii="Times New Roman" w:hAnsi="Times New Roman" w:hint="eastAsia"/>
          <w:color w:val="000000" w:themeColor="text1"/>
        </w:rPr>
        <w:t>9</w:t>
      </w:r>
      <w:r w:rsidRPr="004E3056">
        <w:rPr>
          <w:rFonts w:ascii="Times New Roman" w:hAnsi="Times New Roman"/>
          <w:color w:val="000000" w:themeColor="text1"/>
          <w:lang w:eastAsia="zh-HK"/>
        </w:rPr>
        <w:t>年地方衛生機關業務考評事宜</w:t>
      </w:r>
      <w:r w:rsidRPr="004E3056">
        <w:rPr>
          <w:rFonts w:ascii="Times New Roman" w:hAnsi="Times New Roman" w:hint="eastAsia"/>
          <w:color w:val="000000" w:themeColor="text1"/>
          <w:lang w:eastAsia="zh-HK"/>
        </w:rPr>
        <w:t>所訂之考評類別及項目</w:t>
      </w:r>
      <w:bookmarkEnd w:id="0"/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1747"/>
        <w:gridCol w:w="1405"/>
        <w:gridCol w:w="6204"/>
      </w:tblGrid>
      <w:tr w:rsidR="002D607D" w:rsidRPr="004E3056" w:rsidTr="00ED21C1">
        <w:trPr>
          <w:tblHeader/>
        </w:trPr>
        <w:tc>
          <w:tcPr>
            <w:tcW w:w="1747" w:type="dxa"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  <w:lang w:eastAsia="zh-HK"/>
              </w:rPr>
              <w:t>類別</w:t>
            </w:r>
          </w:p>
        </w:tc>
        <w:tc>
          <w:tcPr>
            <w:tcW w:w="7609" w:type="dxa"/>
            <w:gridSpan w:val="2"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  <w:lang w:eastAsia="zh-HK"/>
              </w:rPr>
              <w:t>考評項目</w:t>
            </w:r>
          </w:p>
        </w:tc>
      </w:tr>
      <w:tr w:rsidR="002D607D" w:rsidRPr="004E3056" w:rsidTr="00ED21C1">
        <w:tc>
          <w:tcPr>
            <w:tcW w:w="1747" w:type="dxa"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醫政類</w:t>
            </w:r>
          </w:p>
        </w:tc>
        <w:tc>
          <w:tcPr>
            <w:tcW w:w="7609" w:type="dxa"/>
            <w:gridSpan w:val="2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診所負責醫師之管理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醫療機構收費之管理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強化廣告之查處效率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）衛福部醫事司交查案件回復效率。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醫事管理系統異常資料修正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輔導轄區醫療院所推動病人安全作業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）加強醫院防災及應變。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醫療暴力應變執行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強化醫療爭議處理能力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）提升醫療爭議調處效能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）督導醫院處理事業廢棄物。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）安寧緩和醫療意願推廣。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）器官捐贈意願推廣。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）醫事機構檢驗、放射品質訪查合格率。</w:t>
            </w:r>
          </w:p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）預立醫療照護諮商推廣。</w:t>
            </w:r>
          </w:p>
        </w:tc>
      </w:tr>
      <w:tr w:rsidR="002D607D" w:rsidRPr="004E3056" w:rsidTr="00ED21C1">
        <w:tc>
          <w:tcPr>
            <w:tcW w:w="1747" w:type="dxa"/>
            <w:vMerge w:val="restart"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  <w:t>長期照顧類</w:t>
            </w: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資源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社區整體照顧服務體系建置情形。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居家式、社區式及綜合式長照機構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不含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據點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照顧服務員成長率。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日間照顧中心布建率。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新特約居家照顧服務員薪資保障。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服務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家庭照顧者支持性服務創新計畫辦理情形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長期照顧輔具服務辦理情形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辦理出備銜接復能多元服務試辦計畫執行情形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）縣市政府推動照顧管理共通性服務機制之辦理情形。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失智社區照護服務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）居家失能個案家庭醫師照護方案推動情形。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、服務人數及費用審核通過效率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）全年長照服務之需求涵蓋率。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）長照服務給付及支付費用審核通過率。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、宣傳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全年辦理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1966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專線及長照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2.0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宣導場次達成數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建置長照及失智症照顧與服務資訊網頁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動員轄內第一線為民服務單位辦理長照溝通宣導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前瞻計畫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6"/>
              <w:numPr>
                <w:ilvl w:val="0"/>
                <w:numId w:val="0"/>
              </w:numPr>
              <w:ind w:leftChars="-21" w:left="15" w:hangingChars="25" w:hanging="65"/>
              <w:outlineLvl w:val="5"/>
              <w:rPr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color w:val="000000" w:themeColor="text1"/>
                <w:sz w:val="26"/>
                <w:szCs w:val="26"/>
              </w:rPr>
              <w:t>整建長照衛福</w:t>
            </w:r>
            <w:r w:rsidRPr="004E305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據點</w:t>
            </w:r>
            <w:r w:rsidRPr="004E3056">
              <w:rPr>
                <w:color w:val="000000" w:themeColor="text1"/>
                <w:sz w:val="26"/>
                <w:szCs w:val="26"/>
              </w:rPr>
              <w:t>數達成率</w:t>
            </w:r>
            <w:r w:rsidRPr="004E3056">
              <w:rPr>
                <w:rFonts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6"/>
              <w:numPr>
                <w:ilvl w:val="0"/>
                <w:numId w:val="0"/>
              </w:numPr>
              <w:ind w:leftChars="-21" w:left="15" w:hangingChars="25" w:hanging="65"/>
              <w:outlineLvl w:val="5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color w:val="000000" w:themeColor="text1"/>
                <w:sz w:val="26"/>
                <w:szCs w:val="26"/>
              </w:rPr>
              <w:t>整建長照衛福據點經費執行率</w:t>
            </w:r>
            <w:r w:rsidRPr="004E3056">
              <w:rPr>
                <w:rFonts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3"/>
              <w:numPr>
                <w:ilvl w:val="0"/>
                <w:numId w:val="0"/>
              </w:numPr>
              <w:outlineLvl w:val="2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加分項目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6"/>
              <w:numPr>
                <w:ilvl w:val="0"/>
                <w:numId w:val="0"/>
              </w:numPr>
              <w:ind w:leftChars="-21" w:left="15" w:hangingChars="25" w:hanging="65"/>
              <w:outlineLvl w:val="5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家庭托顧服務布建及推動情形</w:t>
            </w:r>
            <w:r w:rsidRPr="004E3056">
              <w:rPr>
                <w:rFonts w:ascii="Times New Roman" w:hAnsi="Times New Roman" w:hint="eastAsia"/>
                <w:bCs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628" w:hangingChars="260" w:hanging="676"/>
              <w:outlineLvl w:val="4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失智</w:t>
            </w:r>
            <w:r w:rsidRPr="004E3056">
              <w:rPr>
                <w:rFonts w:ascii="Times New Roman" w:hAnsi="Times New Roman" w:hint="eastAsia"/>
                <w:bCs w:val="0"/>
                <w:color w:val="000000" w:themeColor="text1"/>
                <w:sz w:val="26"/>
                <w:szCs w:val="26"/>
              </w:rPr>
              <w:t>症</w:t>
            </w:r>
            <w:r w:rsidRPr="004E3056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團體家屋布建及推動情形</w:t>
            </w:r>
            <w:r w:rsidRPr="004E3056">
              <w:rPr>
                <w:rFonts w:ascii="Times New Roman" w:hAnsi="Times New Roman" w:hint="eastAsia"/>
                <w:bCs w:val="0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）建立長期照顧高風險家庭照顧者通報及服務機制。</w:t>
            </w:r>
          </w:p>
        </w:tc>
      </w:tr>
      <w:tr w:rsidR="002D607D" w:rsidRPr="004E3056" w:rsidTr="00ED21C1">
        <w:tc>
          <w:tcPr>
            <w:tcW w:w="1747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照護類</w:t>
            </w:r>
          </w:p>
        </w:tc>
        <w:tc>
          <w:tcPr>
            <w:tcW w:w="7609" w:type="dxa"/>
            <w:gridSpan w:val="2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628" w:hangingChars="260" w:hanging="67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護理機構評鑑資訊系統之管理及利用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628" w:hangingChars="260" w:hanging="67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護理人力及服務資料建置管理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628" w:hangingChars="260" w:hanging="67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強化護理機構安全措施及教育訓練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 w:val="restart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心理及口腔健康類</w:t>
            </w: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、推動心理健康促進及自殺防治業務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提供免費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或優惠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心理健康諮詢服務情形。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）自殺防治業務推動成果。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、推動社區精神病人追縱照護管理業務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）轄區內精神追蹤照護個案自殺粗死亡率較前一年下降。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）精神病人平均面訪次數。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）精神病人出院後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星期內完成出院準備計畫上傳精照系統比率。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輔導精神護理之家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/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精神復健機構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辦理火災實地災害情境模擬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示範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演練及辦理防火管理種子人員培訓課程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配合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109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年「護理之家機構改善公共安全設施設備補助計畫」之推動情形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、推動酒癮防治業務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）辦理酒癮防治宣導情形。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）建立轄內酒癮治療轉介機制，並統計轉介人數與治療人數。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）轄內辦理酒癮治療服務執行機構之年度訪查率。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）建立網路成癮防治合作網絡。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、推動家庭暴力、性侵害防治業務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）期滿出監中高再犯性侵害加害人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週內執行社區處遇比率。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）家庭暴力與性侵害加害人處遇執行人員參訓與接受督導之比率。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）強化社會安全網計畫策略三－整合加害人合併精神疾病與自殺防治服務社工人力進用率。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家庭暴力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及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性侵害加害人處遇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行政業務之人力配置情形。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、推動口腔健康促進及特殊族群口腔健康照護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）各縣（市）輔導所轄醫療機構開設身心障礙者牙科服務門診之情形。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）辦理氟鹽宣導及使用情形。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）兒童牙齒塗氟社區巡迴不定期訪視。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、心理與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lastRenderedPageBreak/>
              <w:t>口腔健康創新方案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lastRenderedPageBreak/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）創新方案。</w:t>
            </w:r>
          </w:p>
        </w:tc>
      </w:tr>
      <w:tr w:rsidR="002D607D" w:rsidRPr="004E3056" w:rsidTr="00ED21C1">
        <w:tc>
          <w:tcPr>
            <w:tcW w:w="1747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衛教宣導類</w:t>
            </w:r>
          </w:p>
        </w:tc>
        <w:tc>
          <w:tcPr>
            <w:tcW w:w="7609" w:type="dxa"/>
            <w:gridSpan w:val="2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）教材及文宣製作物之設計與運用情形。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）年度衛生教育宣導辦理情形。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）成效評價及各通路露出情形。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）中央與地方夥伴關係。</w:t>
            </w:r>
          </w:p>
        </w:tc>
      </w:tr>
      <w:tr w:rsidR="002D607D" w:rsidRPr="004E3056" w:rsidTr="00ED21C1">
        <w:tc>
          <w:tcPr>
            <w:tcW w:w="1747" w:type="dxa"/>
            <w:vMerge w:val="restart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食品藥物類（含中醫藥）</w:t>
            </w: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藥政業務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稽查未經醫師處方販售處方藥品成效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稽查無照藥商及不法藥品查核成效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藥品追溯追蹤之管理成效及稽查藥品合法來源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執行自用原料查核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）標示稽查暨各縣市醫療器材不良反應通報情形。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稽查市售化粧品與輔導化粧品業者登錄「化粧品產品登錄平台系統」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及新法宣導活動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成效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違規藥物、化粧品廣告監控與查處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食藥署指定之藥政專案稽查，不合格案件裁處罰鍰率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579" w:hangingChars="241" w:hanging="627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協助執行西藥製造業者及領有藥品許可證之販賣業業者檢查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執行管制藥品證照管理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稽核管制藥品流通及醫療處方使用情形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執行管制藥品申報及濫用通報作業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Malgun Gothic" w:eastAsia="Malgun Gothic" w:hAnsi="Malgun Gothic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中藥藥政業務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（中醫藥司）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）違規中藥廣告查核情形。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）中藥藥政管理執行成效。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）辦理中藥相關宣導。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食品業務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食品業者登錄之確認率及善用食品業者登錄平台之成效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食品追溯追蹤電子上傳非追不可完成率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辦理食品中毒案件結案績效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強化食品添加物販售業者自主管理能力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食品輸入業者法規政策輔導績效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學校午餐稽查成效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專案查驗及應處分案件之辦理時效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後市場產品監測計畫辦理時效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外銷產品製造工廠查核及檢警衛合作案件回報時效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落實產品通路管理資訊系統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(PMDS)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業者資料整併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「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108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年獎勵地方政府落實推動食安五環改革政策計畫」強化方案之獎勵金使用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違規食品廣告監控與查處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lastRenderedPageBreak/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聯合分工及自行檢驗之成效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提升檢驗品質之成效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食安情資蒐集運用及食安稽查會同參與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 w:val="restart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lastRenderedPageBreak/>
              <w:t>防疫類</w:t>
            </w: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、急性傳染病防治作為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）防治時效掌控程度。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、愛滋病防治成效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）愛滋新通報個案之下降績效。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）易感族群愛滋病毒篩檢成效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）通報個案服藥率。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、結核病防治成效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）發生率下降績效。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）潛伏結核感染介入績效。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、預防接種防治成效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）常規疫苗接種成效。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）流感疫苗接種率。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、新興傳染病整備作為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）新興傳染病整備度。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）防疫物資整備度。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、感染管制成效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）提升醫療機構感染管制品質。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0" w:left="758" w:hangingChars="310" w:hanging="806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提升長期照護矯正機關（構）與場所感染管制品質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09" w:type="dxa"/>
            <w:gridSpan w:val="2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Pr="004E30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特殊防疫成果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D607D" w:rsidRPr="004E3056" w:rsidTr="00ED21C1">
        <w:tc>
          <w:tcPr>
            <w:tcW w:w="1747" w:type="dxa"/>
            <w:vMerge w:val="restart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保健類</w:t>
            </w: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、菸害防制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）整體策略目標。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）菸害防制執法稽查取締。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）青少年菸害防制。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）戒菸服務。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）無菸環境與宣導。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）其他。</w:t>
            </w:r>
          </w:p>
        </w:tc>
      </w:tr>
      <w:tr w:rsidR="002D607D" w:rsidRPr="004E3056" w:rsidTr="00ED21C1">
        <w:tc>
          <w:tcPr>
            <w:tcW w:w="1747" w:type="dxa"/>
            <w:vMerge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-50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、衛生保健</w:t>
            </w:r>
          </w:p>
        </w:tc>
        <w:tc>
          <w:tcPr>
            <w:tcW w:w="6204" w:type="dxa"/>
          </w:tcPr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）營造健康生活環境。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）中老年健康促進。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）癌症篩檢與檳榔健康危害防制。</w:t>
            </w:r>
          </w:p>
          <w:p w:rsidR="002D607D" w:rsidRPr="004E3056" w:rsidRDefault="002D607D" w:rsidP="00ED21C1">
            <w:pPr>
              <w:pStyle w:val="5"/>
              <w:numPr>
                <w:ilvl w:val="0"/>
                <w:numId w:val="0"/>
              </w:numPr>
              <w:ind w:leftChars="-21" w:left="15" w:hangingChars="25" w:hanging="65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（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</w:t>
            </w:r>
            <w:r w:rsidRPr="004E3056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）婦幼健康促進。</w:t>
            </w:r>
          </w:p>
        </w:tc>
      </w:tr>
    </w:tbl>
    <w:p w:rsidR="002D607D" w:rsidRPr="004E3056" w:rsidRDefault="002D607D" w:rsidP="002D607D">
      <w:pPr>
        <w:pStyle w:val="a3"/>
        <w:spacing w:beforeLines="50" w:before="120" w:line="300" w:lineRule="auto"/>
        <w:rPr>
          <w:rFonts w:ascii="標楷體" w:eastAsia="標楷體" w:hAnsi="標楷體"/>
          <w:color w:val="000000" w:themeColor="text1"/>
          <w:sz w:val="32"/>
          <w:szCs w:val="32"/>
        </w:rPr>
        <w:sectPr w:rsidR="002D607D" w:rsidRPr="004E3056" w:rsidSect="006A6051">
          <w:pgSz w:w="11906" w:h="16838"/>
          <w:pgMar w:top="1418" w:right="1418" w:bottom="1418" w:left="1418" w:header="709" w:footer="851" w:gutter="0"/>
          <w:cols w:space="720"/>
          <w:docGrid w:linePitch="326"/>
        </w:sectPr>
      </w:pPr>
    </w:p>
    <w:p w:rsidR="008201F2" w:rsidRDefault="00982412"/>
    <w:sectPr w:rsidR="008201F2" w:rsidSect="002D60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A57E47C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7D"/>
    <w:rsid w:val="002D607D"/>
    <w:rsid w:val="004A418C"/>
    <w:rsid w:val="005942A3"/>
    <w:rsid w:val="00636513"/>
    <w:rsid w:val="006723B9"/>
    <w:rsid w:val="009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9754B-0F7A-4707-B325-442D671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題號1,壹"/>
    <w:basedOn w:val="a"/>
    <w:link w:val="10"/>
    <w:qFormat/>
    <w:rsid w:val="002D607D"/>
    <w:pPr>
      <w:numPr>
        <w:numId w:val="1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 w:cs="Times New Roman"/>
      <w:bCs/>
      <w:kern w:val="32"/>
      <w:sz w:val="32"/>
      <w:szCs w:val="52"/>
    </w:rPr>
  </w:style>
  <w:style w:type="paragraph" w:styleId="2">
    <w:name w:val="heading 2"/>
    <w:aliases w:val="標題110/111,節,節1,標題110/111 + 內文"/>
    <w:basedOn w:val="a"/>
    <w:link w:val="20"/>
    <w:qFormat/>
    <w:rsid w:val="002D607D"/>
    <w:pPr>
      <w:numPr>
        <w:ilvl w:val="1"/>
        <w:numId w:val="1"/>
      </w:numPr>
      <w:overflowPunct w:val="0"/>
      <w:autoSpaceDE w:val="0"/>
      <w:autoSpaceDN w:val="0"/>
      <w:jc w:val="both"/>
      <w:outlineLvl w:val="1"/>
    </w:pPr>
    <w:rPr>
      <w:rFonts w:ascii="標楷體" w:eastAsia="標楷體" w:hAnsi="Arial" w:cs="Times New Roman"/>
      <w:bCs/>
      <w:kern w:val="32"/>
      <w:sz w:val="32"/>
      <w:szCs w:val="48"/>
    </w:rPr>
  </w:style>
  <w:style w:type="paragraph" w:styleId="3">
    <w:name w:val="heading 3"/>
    <w:basedOn w:val="a"/>
    <w:link w:val="30"/>
    <w:qFormat/>
    <w:rsid w:val="002D607D"/>
    <w:pPr>
      <w:numPr>
        <w:ilvl w:val="2"/>
        <w:numId w:val="1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4">
    <w:name w:val="heading 4"/>
    <w:aliases w:val="表格,一"/>
    <w:basedOn w:val="a"/>
    <w:link w:val="40"/>
    <w:qFormat/>
    <w:rsid w:val="002D607D"/>
    <w:pPr>
      <w:numPr>
        <w:ilvl w:val="3"/>
        <w:numId w:val="1"/>
      </w:numPr>
      <w:overflowPunct w:val="0"/>
      <w:autoSpaceDE w:val="0"/>
      <w:autoSpaceDN w:val="0"/>
      <w:jc w:val="both"/>
      <w:outlineLvl w:val="3"/>
    </w:pPr>
    <w:rPr>
      <w:rFonts w:ascii="標楷體" w:eastAsia="標楷體" w:hAnsi="Arial" w:cs="Times New Roman"/>
      <w:kern w:val="32"/>
      <w:sz w:val="32"/>
      <w:szCs w:val="36"/>
    </w:rPr>
  </w:style>
  <w:style w:type="paragraph" w:styleId="5">
    <w:name w:val="heading 5"/>
    <w:aliases w:val="(一)"/>
    <w:basedOn w:val="a"/>
    <w:link w:val="50"/>
    <w:qFormat/>
    <w:rsid w:val="002D607D"/>
    <w:pPr>
      <w:numPr>
        <w:ilvl w:val="4"/>
        <w:numId w:val="1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6">
    <w:name w:val="heading 6"/>
    <w:aliases w:val="1"/>
    <w:basedOn w:val="a"/>
    <w:link w:val="60"/>
    <w:qFormat/>
    <w:rsid w:val="002D607D"/>
    <w:pPr>
      <w:numPr>
        <w:ilvl w:val="5"/>
        <w:numId w:val="1"/>
      </w:numPr>
      <w:tabs>
        <w:tab w:val="left" w:pos="2094"/>
      </w:tabs>
      <w:overflowPunct w:val="0"/>
      <w:autoSpaceDE w:val="0"/>
      <w:autoSpaceDN w:val="0"/>
      <w:jc w:val="both"/>
      <w:outlineLvl w:val="5"/>
    </w:pPr>
    <w:rPr>
      <w:rFonts w:ascii="標楷體" w:eastAsia="標楷體" w:hAnsi="Arial" w:cs="Times New Roman"/>
      <w:kern w:val="32"/>
      <w:sz w:val="32"/>
      <w:szCs w:val="36"/>
    </w:rPr>
  </w:style>
  <w:style w:type="paragraph" w:styleId="7">
    <w:name w:val="heading 7"/>
    <w:aliases w:val="(1)"/>
    <w:basedOn w:val="a"/>
    <w:link w:val="70"/>
    <w:qFormat/>
    <w:rsid w:val="002D607D"/>
    <w:pPr>
      <w:numPr>
        <w:ilvl w:val="6"/>
        <w:numId w:val="1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8">
    <w:name w:val="heading 8"/>
    <w:basedOn w:val="a"/>
    <w:link w:val="80"/>
    <w:qFormat/>
    <w:rsid w:val="002D607D"/>
    <w:pPr>
      <w:numPr>
        <w:ilvl w:val="7"/>
        <w:numId w:val="1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 w:cs="Times New Roman"/>
      <w:kern w:val="32"/>
      <w:sz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2D607D"/>
    <w:pPr>
      <w:numPr>
        <w:ilvl w:val="8"/>
        <w:numId w:val="1"/>
      </w:numPr>
      <w:overflowPunct w:val="0"/>
      <w:autoSpaceDE w:val="0"/>
      <w:autoSpaceDN w:val="0"/>
      <w:ind w:left="3403" w:hanging="851"/>
      <w:jc w:val="both"/>
      <w:outlineLvl w:val="8"/>
    </w:pPr>
    <w:rPr>
      <w:rFonts w:ascii="標楷體" w:eastAsia="標楷體" w:hAnsiTheme="majorHAnsi" w:cstheme="majorBidi"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D607D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2D607D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2D607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2D607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aliases w:val="(一) 字元"/>
    <w:basedOn w:val="a0"/>
    <w:link w:val="5"/>
    <w:rsid w:val="002D607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aliases w:val="1 字元"/>
    <w:basedOn w:val="a0"/>
    <w:link w:val="6"/>
    <w:rsid w:val="002D607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2D607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2D607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2D607D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a3">
    <w:name w:val="預設值"/>
    <w:rsid w:val="002D60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table" w:styleId="a4">
    <w:name w:val="Table Grid"/>
    <w:basedOn w:val="a1"/>
    <w:uiPriority w:val="39"/>
    <w:rsid w:val="002D60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2</cp:revision>
  <dcterms:created xsi:type="dcterms:W3CDTF">2020-07-06T06:18:00Z</dcterms:created>
  <dcterms:modified xsi:type="dcterms:W3CDTF">2020-07-06T06:18:00Z</dcterms:modified>
</cp:coreProperties>
</file>