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FD" w:rsidRPr="00FF1202" w:rsidRDefault="003017FD" w:rsidP="003017FD">
      <w:pPr>
        <w:kinsoku w:val="0"/>
        <w:overflowPunct w:val="0"/>
        <w:autoSpaceDE w:val="0"/>
        <w:autoSpaceDN w:val="0"/>
        <w:spacing w:line="360" w:lineRule="exact"/>
        <w:ind w:leftChars="-58" w:left="1" w:hangingChars="50" w:hanging="140"/>
        <w:jc w:val="center"/>
        <w:rPr>
          <w:rFonts w:ascii="Times New Roman" w:hAnsi="Times New Roman"/>
          <w:b/>
        </w:rPr>
      </w:pPr>
      <w:r w:rsidRPr="00905AEA">
        <w:rPr>
          <w:rFonts w:ascii="Times New Roman" w:eastAsia="標楷體" w:hAnsi="Times New Roman"/>
          <w:b/>
          <w:sz w:val="28"/>
          <w:szCs w:val="28"/>
        </w:rPr>
        <w:t>附</w:t>
      </w:r>
      <w:r>
        <w:rPr>
          <w:rFonts w:ascii="Times New Roman" w:eastAsia="標楷體" w:hAnsi="Times New Roman" w:hint="eastAsia"/>
          <w:b/>
          <w:sz w:val="28"/>
          <w:szCs w:val="28"/>
        </w:rPr>
        <w:t>表</w:t>
      </w:r>
      <w:r w:rsidRPr="00905AEA">
        <w:rPr>
          <w:rFonts w:ascii="Times New Roman" w:eastAsia="標楷體" w:hAnsi="Times New Roman"/>
          <w:b/>
          <w:sz w:val="28"/>
          <w:szCs w:val="28"/>
        </w:rPr>
        <w:t xml:space="preserve">1  </w:t>
      </w:r>
      <w:r>
        <w:rPr>
          <w:rFonts w:ascii="Times New Roman" w:eastAsia="標楷體" w:hAnsi="Times New Roman" w:hint="eastAsia"/>
          <w:b/>
          <w:sz w:val="28"/>
          <w:szCs w:val="28"/>
        </w:rPr>
        <w:t>各地方政府發放中央法定以外老人福利現金給付之名稱態樣及資格條件</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57"/>
        <w:gridCol w:w="6978"/>
      </w:tblGrid>
      <w:tr w:rsidR="003017FD" w:rsidRPr="00CF0FE2" w:rsidTr="00CB5DAD">
        <w:tc>
          <w:tcPr>
            <w:tcW w:w="1668" w:type="dxa"/>
            <w:shd w:val="clear" w:color="auto" w:fill="DAEEF3"/>
            <w:vAlign w:val="center"/>
          </w:tcPr>
          <w:p w:rsidR="003017FD" w:rsidRPr="00CF0FE2" w:rsidRDefault="003017FD" w:rsidP="00CB5DAD">
            <w:pPr>
              <w:kinsoku w:val="0"/>
              <w:overflowPunct w:val="0"/>
              <w:autoSpaceDE w:val="0"/>
              <w:autoSpaceDN w:val="0"/>
              <w:spacing w:line="360" w:lineRule="exact"/>
              <w:jc w:val="center"/>
              <w:rPr>
                <w:rFonts w:ascii="Times New Roman" w:eastAsia="標楷體" w:hAnsi="Times New Roman"/>
                <w:sz w:val="28"/>
                <w:szCs w:val="28"/>
              </w:rPr>
            </w:pPr>
            <w:r w:rsidRPr="00CF0FE2">
              <w:rPr>
                <w:rFonts w:ascii="Times New Roman" w:eastAsia="標楷體" w:hAnsi="Times New Roman"/>
                <w:b/>
                <w:bCs/>
                <w:sz w:val="28"/>
                <w:szCs w:val="28"/>
              </w:rPr>
              <w:t>名稱態樣</w:t>
            </w:r>
          </w:p>
        </w:tc>
        <w:tc>
          <w:tcPr>
            <w:tcW w:w="7039" w:type="dxa"/>
            <w:shd w:val="clear" w:color="auto" w:fill="auto"/>
          </w:tcPr>
          <w:p w:rsidR="003017FD" w:rsidRPr="00CF0FE2" w:rsidRDefault="003017FD" w:rsidP="00CB5DAD">
            <w:pPr>
              <w:kinsoku w:val="0"/>
              <w:overflowPunct w:val="0"/>
              <w:autoSpaceDE w:val="0"/>
              <w:autoSpaceDN w:val="0"/>
              <w:spacing w:line="360" w:lineRule="exact"/>
              <w:jc w:val="both"/>
              <w:rPr>
                <w:rFonts w:ascii="Times New Roman" w:eastAsia="標楷體" w:hAnsi="Times New Roman"/>
                <w:sz w:val="28"/>
                <w:szCs w:val="28"/>
              </w:rPr>
            </w:pPr>
            <w:r w:rsidRPr="00CF0FE2">
              <w:rPr>
                <w:rFonts w:ascii="Times New Roman" w:eastAsia="標楷體" w:hAnsi="Times New Roman"/>
                <w:spacing w:val="-6"/>
                <w:sz w:val="28"/>
                <w:szCs w:val="28"/>
              </w:rPr>
              <w:t>重陽敬老禮金</w:t>
            </w:r>
            <w:r w:rsidRPr="00CF0FE2">
              <w:rPr>
                <w:rFonts w:ascii="Times New Roman" w:eastAsia="標楷體" w:hAnsi="Times New Roman"/>
                <w:sz w:val="28"/>
                <w:szCs w:val="28"/>
              </w:rPr>
              <w:t>、老年市民三節禮金、百歲人瑞敬老禮金、</w:t>
            </w:r>
            <w:r w:rsidRPr="00CF0FE2">
              <w:rPr>
                <w:rFonts w:ascii="Times New Roman" w:eastAsia="標楷體" w:hAnsi="Times New Roman"/>
                <w:sz w:val="28"/>
                <w:szCs w:val="28"/>
              </w:rPr>
              <w:t>65</w:t>
            </w:r>
            <w:r w:rsidRPr="00CF0FE2">
              <w:rPr>
                <w:rFonts w:ascii="Times New Roman" w:eastAsia="標楷體" w:hAnsi="Times New Roman"/>
                <w:sz w:val="28"/>
                <w:szCs w:val="28"/>
              </w:rPr>
              <w:t>歲以上老人重陽節敬老金及禮品、敬老福利津貼、鑽石婚夫妻禮金、百歲人瑞禮金、人瑞禮金、鑽石婚百金婚禮金、重陽節年長者敬老禮金、重陽敬老慰問金、百歲人瑞營養補助、</w:t>
            </w:r>
            <w:r w:rsidRPr="00CF0FE2">
              <w:rPr>
                <w:rFonts w:ascii="Times New Roman" w:eastAsia="標楷體" w:hAnsi="Times New Roman"/>
                <w:sz w:val="28"/>
                <w:szCs w:val="28"/>
              </w:rPr>
              <w:t>90</w:t>
            </w:r>
            <w:r w:rsidRPr="00CF0FE2">
              <w:rPr>
                <w:rFonts w:ascii="Times New Roman" w:eastAsia="標楷體" w:hAnsi="Times New Roman"/>
                <w:sz w:val="28"/>
                <w:szCs w:val="28"/>
              </w:rPr>
              <w:t>歲以上敬老津貼、重陽敬老平安禮金、敬老三節慰問</w:t>
            </w:r>
            <w:r w:rsidRPr="00CF0FE2">
              <w:rPr>
                <w:rFonts w:ascii="Times New Roman" w:eastAsia="標楷體" w:hAnsi="Times New Roman"/>
                <w:sz w:val="28"/>
                <w:szCs w:val="28"/>
              </w:rPr>
              <w:t>(</w:t>
            </w:r>
            <w:r w:rsidRPr="00CF0FE2">
              <w:rPr>
                <w:rFonts w:ascii="Times New Roman" w:eastAsia="標楷體" w:hAnsi="Times New Roman"/>
                <w:sz w:val="28"/>
                <w:szCs w:val="28"/>
              </w:rPr>
              <w:t>助</w:t>
            </w:r>
            <w:r w:rsidRPr="00CF0FE2">
              <w:rPr>
                <w:rFonts w:ascii="Times New Roman" w:eastAsia="標楷體" w:hAnsi="Times New Roman"/>
                <w:sz w:val="28"/>
                <w:szCs w:val="28"/>
              </w:rPr>
              <w:t>)</w:t>
            </w:r>
            <w:r w:rsidRPr="00CF0FE2">
              <w:rPr>
                <w:rFonts w:ascii="Times New Roman" w:eastAsia="標楷體" w:hAnsi="Times New Roman"/>
                <w:sz w:val="28"/>
                <w:szCs w:val="28"/>
              </w:rPr>
              <w:t>金、重陽禮金、安老津貼、歷經戰地軍管期間老人慰</w:t>
            </w:r>
            <w:r w:rsidRPr="00CF0FE2">
              <w:rPr>
                <w:rFonts w:ascii="Times New Roman" w:eastAsia="標楷體" w:hAnsi="Times New Roman"/>
                <w:spacing w:val="-6"/>
                <w:sz w:val="28"/>
                <w:szCs w:val="28"/>
              </w:rPr>
              <w:t>助金、</w:t>
            </w:r>
            <w:r w:rsidRPr="00CF0FE2">
              <w:rPr>
                <w:rFonts w:ascii="Times New Roman" w:eastAsia="標楷體" w:hAnsi="Times New Roman"/>
                <w:spacing w:val="-6"/>
                <w:sz w:val="28"/>
                <w:szCs w:val="28"/>
              </w:rPr>
              <w:t>65</w:t>
            </w:r>
            <w:r w:rsidRPr="00CF0FE2">
              <w:rPr>
                <w:rFonts w:ascii="Times New Roman" w:eastAsia="標楷體" w:hAnsi="Times New Roman"/>
                <w:spacing w:val="-6"/>
                <w:sz w:val="28"/>
                <w:szCs w:val="28"/>
              </w:rPr>
              <w:t>歲以上老人居家生活補助費、養老生活</w:t>
            </w:r>
            <w:r w:rsidRPr="00CF0FE2">
              <w:rPr>
                <w:rFonts w:ascii="Times New Roman" w:eastAsia="標楷體" w:hAnsi="Times New Roman"/>
                <w:sz w:val="28"/>
                <w:szCs w:val="28"/>
              </w:rPr>
              <w:t>補助費等</w:t>
            </w:r>
            <w:r w:rsidRPr="00CF0FE2">
              <w:rPr>
                <w:rFonts w:ascii="Times New Roman" w:eastAsia="標楷體" w:hAnsi="Times New Roman"/>
                <w:sz w:val="28"/>
                <w:szCs w:val="28"/>
              </w:rPr>
              <w:t>20</w:t>
            </w:r>
            <w:r w:rsidRPr="00CF0FE2">
              <w:rPr>
                <w:rFonts w:ascii="Times New Roman" w:eastAsia="標楷體" w:hAnsi="Times New Roman"/>
                <w:sz w:val="28"/>
                <w:szCs w:val="28"/>
              </w:rPr>
              <w:t>種名目</w:t>
            </w:r>
          </w:p>
        </w:tc>
      </w:tr>
      <w:tr w:rsidR="003017FD" w:rsidRPr="00CF0FE2" w:rsidTr="00CB5DAD">
        <w:tc>
          <w:tcPr>
            <w:tcW w:w="1668" w:type="dxa"/>
            <w:shd w:val="clear" w:color="auto" w:fill="DAEEF3"/>
            <w:vAlign w:val="center"/>
          </w:tcPr>
          <w:p w:rsidR="003017FD" w:rsidRPr="00CF0FE2" w:rsidRDefault="003017FD" w:rsidP="00CB5DAD">
            <w:pPr>
              <w:kinsoku w:val="0"/>
              <w:overflowPunct w:val="0"/>
              <w:autoSpaceDE w:val="0"/>
              <w:autoSpaceDN w:val="0"/>
              <w:spacing w:line="360" w:lineRule="exact"/>
              <w:jc w:val="center"/>
              <w:rPr>
                <w:rFonts w:ascii="Times New Roman" w:eastAsia="標楷體" w:hAnsi="Times New Roman"/>
                <w:sz w:val="28"/>
                <w:szCs w:val="28"/>
              </w:rPr>
            </w:pPr>
            <w:r w:rsidRPr="00CF0FE2">
              <w:rPr>
                <w:rFonts w:ascii="Times New Roman" w:eastAsia="標楷體" w:hAnsi="Times New Roman"/>
                <w:b/>
                <w:bCs/>
                <w:sz w:val="28"/>
                <w:szCs w:val="28"/>
              </w:rPr>
              <w:t>資格條件</w:t>
            </w:r>
          </w:p>
        </w:tc>
        <w:tc>
          <w:tcPr>
            <w:tcW w:w="7039" w:type="dxa"/>
            <w:shd w:val="clear" w:color="auto" w:fill="auto"/>
          </w:tcPr>
          <w:p w:rsidR="003017FD" w:rsidRPr="00CF0FE2" w:rsidRDefault="003017FD" w:rsidP="00CB5DAD">
            <w:pPr>
              <w:kinsoku w:val="0"/>
              <w:overflowPunct w:val="0"/>
              <w:autoSpaceDE w:val="0"/>
              <w:autoSpaceDN w:val="0"/>
              <w:spacing w:line="360" w:lineRule="exact"/>
              <w:jc w:val="both"/>
              <w:rPr>
                <w:rFonts w:ascii="Times New Roman" w:eastAsia="標楷體" w:hAnsi="Times New Roman"/>
                <w:sz w:val="28"/>
                <w:szCs w:val="28"/>
              </w:rPr>
            </w:pPr>
            <w:r w:rsidRPr="00CF0FE2">
              <w:rPr>
                <w:rFonts w:ascii="Times New Roman" w:eastAsia="標楷體" w:hAnsi="Times New Roman" w:hint="eastAsia"/>
                <w:sz w:val="28"/>
                <w:szCs w:val="28"/>
              </w:rPr>
              <w:t>地方依施政及財力狀況，訂有年齡級距、設籍時間、原住民身分等相關發放條件，惟僅少數訂有排富條款</w:t>
            </w:r>
            <w:r w:rsidRPr="00CF0FE2">
              <w:rPr>
                <w:rFonts w:ascii="Times New Roman" w:eastAsia="標楷體" w:hAnsi="Times New Roman" w:hint="eastAsia"/>
                <w:sz w:val="28"/>
                <w:szCs w:val="28"/>
              </w:rPr>
              <w:t>(</w:t>
            </w:r>
            <w:r w:rsidRPr="00CF0FE2">
              <w:rPr>
                <w:rFonts w:ascii="Times New Roman" w:eastAsia="標楷體" w:hAnsi="Times New Roman" w:hint="eastAsia"/>
                <w:sz w:val="28"/>
                <w:szCs w:val="28"/>
              </w:rPr>
              <w:t>如臺北市及新竹縣；另彰化縣係自</w:t>
            </w:r>
            <w:r w:rsidRPr="00CF0FE2">
              <w:rPr>
                <w:rFonts w:ascii="Times New Roman" w:eastAsia="標楷體" w:hAnsi="Times New Roman" w:hint="eastAsia"/>
                <w:sz w:val="28"/>
                <w:szCs w:val="28"/>
              </w:rPr>
              <w:t>108</w:t>
            </w:r>
            <w:r w:rsidRPr="00CF0FE2">
              <w:rPr>
                <w:rFonts w:ascii="Times New Roman" w:eastAsia="標楷體" w:hAnsi="Times New Roman" w:hint="eastAsia"/>
                <w:sz w:val="28"/>
                <w:szCs w:val="28"/>
              </w:rPr>
              <w:t>年設有排富條款</w:t>
            </w:r>
            <w:r w:rsidRPr="00CF0FE2">
              <w:rPr>
                <w:rFonts w:ascii="Times New Roman" w:eastAsia="標楷體" w:hAnsi="Times New Roman" w:hint="eastAsia"/>
                <w:sz w:val="28"/>
                <w:szCs w:val="28"/>
              </w:rPr>
              <w:t>)</w:t>
            </w:r>
            <w:r w:rsidRPr="00CF0FE2">
              <w:rPr>
                <w:rFonts w:ascii="Times New Roman" w:eastAsia="標楷體" w:hAnsi="Times New Roman" w:hint="eastAsia"/>
                <w:sz w:val="28"/>
                <w:szCs w:val="28"/>
              </w:rPr>
              <w:t>及排除重複領取機制</w:t>
            </w:r>
            <w:r w:rsidRPr="00CF0FE2">
              <w:rPr>
                <w:rFonts w:ascii="Times New Roman" w:eastAsia="標楷體" w:hAnsi="Times New Roman" w:hint="eastAsia"/>
                <w:sz w:val="28"/>
                <w:szCs w:val="28"/>
              </w:rPr>
              <w:t>(</w:t>
            </w:r>
            <w:r w:rsidRPr="00CF0FE2">
              <w:rPr>
                <w:rFonts w:ascii="Times New Roman" w:eastAsia="標楷體" w:hAnsi="Times New Roman" w:hint="eastAsia"/>
                <w:sz w:val="28"/>
                <w:szCs w:val="28"/>
              </w:rPr>
              <w:t>如新竹縣、新竹市及基隆市</w:t>
            </w:r>
            <w:r w:rsidRPr="00CF0FE2">
              <w:rPr>
                <w:rFonts w:ascii="Times New Roman" w:eastAsia="標楷體" w:hAnsi="Times New Roman" w:hint="eastAsia"/>
                <w:sz w:val="28"/>
                <w:szCs w:val="28"/>
              </w:rPr>
              <w:t>)</w:t>
            </w:r>
            <w:r w:rsidRPr="00CF0FE2">
              <w:rPr>
                <w:rFonts w:ascii="Times New Roman" w:eastAsia="標楷體" w:hAnsi="Times New Roman" w:hint="eastAsia"/>
                <w:sz w:val="28"/>
                <w:szCs w:val="28"/>
              </w:rPr>
              <w:t>。</w:t>
            </w:r>
          </w:p>
        </w:tc>
      </w:tr>
    </w:tbl>
    <w:p w:rsidR="003017FD" w:rsidRDefault="003017FD" w:rsidP="003017FD">
      <w:pPr>
        <w:spacing w:afterLines="50" w:after="180" w:line="320" w:lineRule="exact"/>
        <w:ind w:leftChars="-52" w:left="998" w:hangingChars="468" w:hanging="1123"/>
        <w:rPr>
          <w:rFonts w:ascii="標楷體" w:eastAsia="標楷體" w:hAnsi="標楷體" w:hint="eastAsia"/>
          <w:szCs w:val="24"/>
        </w:rPr>
      </w:pPr>
      <w:r w:rsidRPr="00AD4489">
        <w:rPr>
          <w:rFonts w:ascii="標楷體" w:eastAsia="標楷體" w:hAnsi="標楷體"/>
          <w:szCs w:val="24"/>
        </w:rPr>
        <w:t>資料來源：衛福部</w:t>
      </w:r>
      <w:r w:rsidRPr="00AD4489">
        <w:rPr>
          <w:rFonts w:ascii="標楷體" w:eastAsia="標楷體" w:hAnsi="標楷體" w:hint="eastAsia"/>
          <w:szCs w:val="24"/>
        </w:rPr>
        <w:t>，本院整理製</w:t>
      </w:r>
      <w:r>
        <w:rPr>
          <w:rFonts w:ascii="標楷體" w:eastAsia="標楷體" w:hAnsi="標楷體" w:hint="eastAsia"/>
          <w:szCs w:val="24"/>
        </w:rPr>
        <w:t>表</w:t>
      </w:r>
      <w:r w:rsidRPr="00AD4489">
        <w:rPr>
          <w:rFonts w:ascii="標楷體" w:eastAsia="標楷體" w:hAnsi="標楷體"/>
          <w:szCs w:val="24"/>
        </w:rPr>
        <w:t>。</w:t>
      </w:r>
    </w:p>
    <w:p w:rsidR="003017FD" w:rsidRPr="00C13B11"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Pr="00E15410" w:rsidRDefault="003017FD" w:rsidP="003017FD">
      <w:pPr>
        <w:kinsoku w:val="0"/>
        <w:overflowPunct w:val="0"/>
        <w:autoSpaceDE w:val="0"/>
        <w:autoSpaceDN w:val="0"/>
        <w:spacing w:line="360" w:lineRule="exact"/>
        <w:ind w:leftChars="-58" w:left="1" w:hangingChars="50" w:hanging="140"/>
        <w:jc w:val="center"/>
        <w:rPr>
          <w:rFonts w:ascii="Times New Roman" w:eastAsia="標楷體" w:hAnsi="Times New Roman" w:hint="eastAsia"/>
          <w:b/>
          <w:sz w:val="28"/>
          <w:szCs w:val="28"/>
        </w:rPr>
      </w:pPr>
      <w:r>
        <w:rPr>
          <w:rFonts w:ascii="Times New Roman" w:eastAsia="標楷體" w:hAnsi="Times New Roman" w:hint="eastAsia"/>
          <w:b/>
          <w:sz w:val="28"/>
          <w:szCs w:val="28"/>
        </w:rPr>
        <w:t>附表</w:t>
      </w:r>
      <w:r>
        <w:rPr>
          <w:rFonts w:ascii="Times New Roman" w:eastAsia="標楷體" w:hAnsi="Times New Roman" w:hint="eastAsia"/>
          <w:b/>
          <w:sz w:val="28"/>
          <w:szCs w:val="28"/>
        </w:rPr>
        <w:t>2</w:t>
      </w:r>
      <w:r>
        <w:rPr>
          <w:rFonts w:ascii="Times New Roman" w:eastAsia="標楷體" w:hAnsi="Times New Roman" w:hint="eastAsia"/>
          <w:b/>
          <w:sz w:val="28"/>
          <w:szCs w:val="28"/>
        </w:rPr>
        <w:t>、各地方政府發放中央法定以外老人福利現金給付之</w:t>
      </w:r>
      <w:r w:rsidRPr="00E15410">
        <w:rPr>
          <w:rFonts w:ascii="Times New Roman" w:eastAsia="標楷體" w:hAnsi="Times New Roman" w:hint="eastAsia"/>
          <w:b/>
          <w:sz w:val="28"/>
          <w:szCs w:val="28"/>
        </w:rPr>
        <w:t>態樣及額度</w:t>
      </w:r>
    </w:p>
    <w:tbl>
      <w:tblPr>
        <w:tblW w:w="8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790"/>
        <w:gridCol w:w="2418"/>
        <w:gridCol w:w="5699"/>
      </w:tblGrid>
      <w:tr w:rsidR="003017FD" w:rsidRPr="00E15410" w:rsidTr="00CB5DAD">
        <w:trPr>
          <w:trHeight w:val="18"/>
          <w:tblHeader/>
        </w:trPr>
        <w:tc>
          <w:tcPr>
            <w:tcW w:w="1894" w:type="dxa"/>
            <w:gridSpan w:val="2"/>
            <w:shd w:val="clear" w:color="auto" w:fill="DAEEF3"/>
            <w:tcMar>
              <w:top w:w="72" w:type="dxa"/>
              <w:left w:w="144" w:type="dxa"/>
              <w:bottom w:w="72" w:type="dxa"/>
              <w:right w:w="144" w:type="dxa"/>
            </w:tcMar>
            <w:vAlign w:val="center"/>
            <w:hideMark/>
          </w:tcPr>
          <w:p w:rsidR="003017FD" w:rsidRPr="003017FD" w:rsidRDefault="003017FD" w:rsidP="00CB5DAD">
            <w:pPr>
              <w:widowControl/>
              <w:spacing w:line="360" w:lineRule="exact"/>
              <w:jc w:val="center"/>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pP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給付態樣</w:t>
            </w:r>
          </w:p>
        </w:tc>
        <w:tc>
          <w:tcPr>
            <w:tcW w:w="7013" w:type="dxa"/>
            <w:shd w:val="clear" w:color="auto" w:fill="DAEEF3"/>
            <w:tcMar>
              <w:top w:w="72" w:type="dxa"/>
              <w:left w:w="144" w:type="dxa"/>
              <w:bottom w:w="72" w:type="dxa"/>
              <w:right w:w="144" w:type="dxa"/>
            </w:tcMar>
            <w:vAlign w:val="center"/>
            <w:hideMark/>
          </w:tcPr>
          <w:p w:rsidR="003017FD" w:rsidRPr="00CF0FE2" w:rsidRDefault="003017FD" w:rsidP="00CB5DAD">
            <w:pPr>
              <w:widowControl/>
              <w:spacing w:line="360" w:lineRule="exact"/>
              <w:jc w:val="center"/>
              <w:rPr>
                <w:rFonts w:ascii="Times New Roman" w:eastAsia="標楷體" w:hAnsi="Times New Roman"/>
                <w:b/>
                <w:color w:val="000000"/>
                <w:kern w:val="0"/>
                <w:sz w:val="28"/>
                <w:szCs w:val="28"/>
              </w:rPr>
            </w:pP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給</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 xml:space="preserve">    </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付</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 xml:space="preserve">    </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額</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 xml:space="preserve">    </w:t>
            </w:r>
            <w:r w:rsidRPr="003017FD">
              <w:rPr>
                <w:rFonts w:ascii="Times New Roman" w:eastAsia="標楷體" w:hAnsi="Times New Roman"/>
                <w:b/>
                <w:bCs/>
                <w:color w:val="000000"/>
                <w:kern w:val="24"/>
                <w:sz w:val="28"/>
                <w:szCs w:val="28"/>
                <w14:shadow w14:blurRad="50800" w14:dist="38100" w14:dir="2700000" w14:sx="100000" w14:sy="100000" w14:kx="0" w14:ky="0" w14:algn="tl">
                  <w14:srgbClr w14:val="000000">
                    <w14:alpha w14:val="60000"/>
                  </w14:srgbClr>
                </w14:shadow>
              </w:rPr>
              <w:t>度</w:t>
            </w:r>
          </w:p>
        </w:tc>
      </w:tr>
      <w:tr w:rsidR="003017FD" w:rsidRPr="00E15410" w:rsidTr="00CB5DAD">
        <w:trPr>
          <w:trHeight w:val="730"/>
        </w:trPr>
        <w:tc>
          <w:tcPr>
            <w:tcW w:w="1894" w:type="dxa"/>
            <w:gridSpan w:val="2"/>
            <w:vMerge w:val="restart"/>
            <w:shd w:val="clear" w:color="auto" w:fill="auto"/>
            <w:tcMar>
              <w:top w:w="72" w:type="dxa"/>
              <w:left w:w="144" w:type="dxa"/>
              <w:bottom w:w="72" w:type="dxa"/>
              <w:right w:w="144" w:type="dxa"/>
            </w:tcMar>
            <w:vAlign w:val="center"/>
            <w:hideMark/>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pP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每年</w:t>
            </w: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1</w:t>
            </w: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次或一次性發放</w:t>
            </w:r>
          </w:p>
        </w:tc>
        <w:tc>
          <w:tcPr>
            <w:tcW w:w="7013" w:type="dxa"/>
            <w:shd w:val="clear" w:color="auto" w:fill="auto"/>
            <w:tcMar>
              <w:top w:w="72" w:type="dxa"/>
              <w:left w:w="144" w:type="dxa"/>
              <w:bottom w:w="72" w:type="dxa"/>
              <w:right w:w="144" w:type="dxa"/>
            </w:tcMar>
            <w:vAlign w:val="center"/>
            <w:hideMark/>
          </w:tcPr>
          <w:p w:rsidR="003017FD" w:rsidRPr="00CF0FE2" w:rsidRDefault="003017FD" w:rsidP="00CB5DAD">
            <w:pPr>
              <w:widowControl/>
              <w:kinsoku w:val="0"/>
              <w:overflowPunct w:val="0"/>
              <w:autoSpaceDE w:val="0"/>
              <w:autoSpaceDN w:val="0"/>
              <w:spacing w:line="360" w:lineRule="exact"/>
              <w:jc w:val="both"/>
              <w:rPr>
                <w:rFonts w:ascii="Times New Roman" w:eastAsia="標楷體" w:hAnsi="Times New Roman"/>
                <w:color w:val="000000"/>
                <w:kern w:val="0"/>
                <w:sz w:val="28"/>
                <w:szCs w:val="28"/>
              </w:rPr>
            </w:pP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重陽節敬老禮金</w:t>
            </w:r>
            <w:r w:rsidRPr="00CF0FE2">
              <w:rPr>
                <w:rFonts w:ascii="Times New Roman" w:eastAsia="標楷體" w:hAnsi="Times New Roman"/>
                <w:bCs/>
                <w:color w:val="000000"/>
                <w:kern w:val="24"/>
                <w:sz w:val="28"/>
                <w:szCs w:val="28"/>
              </w:rPr>
              <w:t>：每年於重陽節時辦理發放，每次金額為</w:t>
            </w:r>
            <w:r w:rsidRPr="00CF0FE2">
              <w:rPr>
                <w:rFonts w:ascii="Times New Roman" w:eastAsia="標楷體" w:hAnsi="Times New Roman"/>
                <w:bCs/>
                <w:color w:val="000000"/>
                <w:kern w:val="24"/>
                <w:sz w:val="28"/>
                <w:szCs w:val="28"/>
              </w:rPr>
              <w:t>500</w:t>
            </w:r>
            <w:r w:rsidRPr="00CF0FE2">
              <w:rPr>
                <w:rFonts w:ascii="Times New Roman" w:eastAsia="標楷體" w:hAnsi="Times New Roman"/>
                <w:bCs/>
                <w:color w:val="000000"/>
                <w:kern w:val="24"/>
                <w:sz w:val="28"/>
                <w:szCs w:val="28"/>
              </w:rPr>
              <w:t>元</w:t>
            </w:r>
            <w:r w:rsidRPr="00CF0FE2">
              <w:rPr>
                <w:rFonts w:ascii="Times New Roman" w:eastAsia="標楷體" w:hAnsi="Times New Roman"/>
                <w:bCs/>
                <w:color w:val="000000"/>
                <w:kern w:val="24"/>
                <w:sz w:val="28"/>
                <w:szCs w:val="28"/>
              </w:rPr>
              <w:t>~1</w:t>
            </w:r>
            <w:r w:rsidRPr="00CF0FE2">
              <w:rPr>
                <w:rFonts w:ascii="Times New Roman" w:eastAsia="標楷體" w:hAnsi="Times New Roman"/>
                <w:bCs/>
                <w:color w:val="000000"/>
                <w:kern w:val="24"/>
                <w:sz w:val="28"/>
                <w:szCs w:val="28"/>
              </w:rPr>
              <w:t>萬</w:t>
            </w:r>
            <w:r w:rsidRPr="00CF0FE2">
              <w:rPr>
                <w:rFonts w:ascii="Times New Roman" w:eastAsia="標楷體" w:hAnsi="Times New Roman"/>
                <w:bCs/>
                <w:color w:val="000000"/>
                <w:kern w:val="24"/>
                <w:sz w:val="28"/>
                <w:szCs w:val="28"/>
              </w:rPr>
              <w:t>5,000</w:t>
            </w:r>
            <w:r w:rsidRPr="00CF0FE2">
              <w:rPr>
                <w:rFonts w:ascii="Times New Roman" w:eastAsia="標楷體" w:hAnsi="Times New Roman"/>
                <w:bCs/>
                <w:color w:val="000000"/>
                <w:kern w:val="24"/>
                <w:sz w:val="28"/>
                <w:szCs w:val="28"/>
              </w:rPr>
              <w:t>元不等</w:t>
            </w:r>
            <w:r w:rsidRPr="00CF0FE2">
              <w:rPr>
                <w:rFonts w:ascii="Times New Roman" w:eastAsia="標楷體" w:hAnsi="Times New Roman"/>
                <w:bCs/>
                <w:color w:val="000000"/>
                <w:kern w:val="24"/>
                <w:sz w:val="28"/>
                <w:szCs w:val="28"/>
              </w:rPr>
              <w:t>(</w:t>
            </w:r>
            <w:r w:rsidRPr="00CF0FE2">
              <w:rPr>
                <w:rFonts w:ascii="Times New Roman" w:eastAsia="標楷體" w:hAnsi="Times New Roman"/>
                <w:bCs/>
                <w:color w:val="000000"/>
                <w:kern w:val="24"/>
                <w:sz w:val="28"/>
                <w:szCs w:val="28"/>
              </w:rPr>
              <w:t>各縣市依年齡級距或排富機制訂之</w:t>
            </w:r>
            <w:r w:rsidRPr="00CF0FE2">
              <w:rPr>
                <w:rFonts w:ascii="Times New Roman" w:eastAsia="標楷體" w:hAnsi="Times New Roman"/>
                <w:bCs/>
                <w:color w:val="000000"/>
                <w:kern w:val="24"/>
                <w:sz w:val="28"/>
                <w:szCs w:val="28"/>
              </w:rPr>
              <w:t>)</w:t>
            </w:r>
            <w:r w:rsidRPr="00CF0FE2">
              <w:rPr>
                <w:rFonts w:ascii="Times New Roman" w:eastAsia="標楷體" w:hAnsi="Times New Roman"/>
                <w:bCs/>
                <w:color w:val="000000"/>
                <w:kern w:val="24"/>
                <w:sz w:val="28"/>
                <w:szCs w:val="28"/>
              </w:rPr>
              <w:t>。</w:t>
            </w:r>
          </w:p>
        </w:tc>
      </w:tr>
      <w:tr w:rsidR="003017FD" w:rsidRPr="00E15410" w:rsidTr="00CB5DAD">
        <w:trPr>
          <w:trHeight w:val="53"/>
        </w:trPr>
        <w:tc>
          <w:tcPr>
            <w:tcW w:w="1894" w:type="dxa"/>
            <w:gridSpan w:val="2"/>
            <w:vMerge/>
            <w:shd w:val="clear" w:color="auto" w:fill="auto"/>
            <w:vAlign w:val="center"/>
            <w:hideMark/>
          </w:tcPr>
          <w:p w:rsidR="003017FD" w:rsidRPr="003017FD" w:rsidRDefault="003017FD" w:rsidP="00CB5DAD">
            <w:pPr>
              <w:widowControl/>
              <w:kinsoku w:val="0"/>
              <w:overflowPunct w:val="0"/>
              <w:autoSpaceDE w:val="0"/>
              <w:autoSpaceDN w:val="0"/>
              <w:spacing w:line="360" w:lineRule="exact"/>
              <w:jc w:val="both"/>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pPr>
          </w:p>
        </w:tc>
        <w:tc>
          <w:tcPr>
            <w:tcW w:w="7013" w:type="dxa"/>
            <w:shd w:val="clear" w:color="auto" w:fill="auto"/>
            <w:tcMar>
              <w:top w:w="72" w:type="dxa"/>
              <w:left w:w="144" w:type="dxa"/>
              <w:bottom w:w="72" w:type="dxa"/>
              <w:right w:w="144" w:type="dxa"/>
            </w:tcMar>
            <w:vAlign w:val="center"/>
            <w:hideMark/>
          </w:tcPr>
          <w:p w:rsidR="003017FD" w:rsidRPr="00CF0FE2" w:rsidRDefault="003017FD" w:rsidP="00CB5DAD">
            <w:pPr>
              <w:widowControl/>
              <w:kinsoku w:val="0"/>
              <w:overflowPunct w:val="0"/>
              <w:autoSpaceDE w:val="0"/>
              <w:autoSpaceDN w:val="0"/>
              <w:spacing w:line="360" w:lineRule="exact"/>
              <w:jc w:val="both"/>
              <w:rPr>
                <w:rFonts w:ascii="Times New Roman" w:eastAsia="標楷體" w:hAnsi="Times New Roman"/>
                <w:color w:val="000000"/>
                <w:kern w:val="0"/>
                <w:sz w:val="28"/>
                <w:szCs w:val="28"/>
              </w:rPr>
            </w:pP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春節敬老禮金</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慰問金</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CF0FE2">
              <w:rPr>
                <w:rFonts w:ascii="Times New Roman" w:eastAsia="標楷體" w:hAnsi="Times New Roman"/>
                <w:bCs/>
                <w:color w:val="000000"/>
                <w:kern w:val="24"/>
                <w:position w:val="1"/>
                <w:sz w:val="28"/>
                <w:szCs w:val="28"/>
              </w:rPr>
              <w:t>：每年於春節時辦理發放</w:t>
            </w:r>
            <w:r w:rsidRPr="00CF0FE2">
              <w:rPr>
                <w:rFonts w:ascii="Times New Roman" w:eastAsia="標楷體" w:hAnsi="Times New Roman"/>
                <w:bCs/>
                <w:color w:val="000000"/>
                <w:kern w:val="24"/>
                <w:sz w:val="28"/>
                <w:szCs w:val="28"/>
              </w:rPr>
              <w:t>，金額為</w:t>
            </w:r>
            <w:r w:rsidRPr="00CF0FE2">
              <w:rPr>
                <w:rFonts w:ascii="Times New Roman" w:eastAsia="標楷體" w:hAnsi="Times New Roman"/>
                <w:bCs/>
                <w:color w:val="000000"/>
                <w:kern w:val="24"/>
                <w:sz w:val="28"/>
                <w:szCs w:val="28"/>
              </w:rPr>
              <w:t>1,000</w:t>
            </w:r>
            <w:r w:rsidRPr="00CF0FE2">
              <w:rPr>
                <w:rFonts w:ascii="Times New Roman" w:eastAsia="標楷體" w:hAnsi="Times New Roman"/>
                <w:bCs/>
                <w:color w:val="000000"/>
                <w:kern w:val="24"/>
                <w:sz w:val="28"/>
                <w:szCs w:val="28"/>
              </w:rPr>
              <w:t>元</w:t>
            </w:r>
            <w:r w:rsidRPr="00CF0FE2">
              <w:rPr>
                <w:rFonts w:ascii="Times New Roman" w:eastAsia="標楷體" w:hAnsi="Times New Roman"/>
                <w:bCs/>
                <w:color w:val="000000"/>
                <w:kern w:val="24"/>
                <w:sz w:val="28"/>
                <w:szCs w:val="28"/>
              </w:rPr>
              <w:t>~3,000</w:t>
            </w:r>
            <w:r w:rsidRPr="00CF0FE2">
              <w:rPr>
                <w:rFonts w:ascii="Times New Roman" w:eastAsia="標楷體" w:hAnsi="Times New Roman"/>
                <w:bCs/>
                <w:color w:val="000000"/>
                <w:kern w:val="24"/>
                <w:sz w:val="28"/>
                <w:szCs w:val="28"/>
              </w:rPr>
              <w:t>元不等</w:t>
            </w:r>
          </w:p>
        </w:tc>
      </w:tr>
      <w:tr w:rsidR="003017FD" w:rsidRPr="00E15410" w:rsidTr="00CB5DAD">
        <w:trPr>
          <w:trHeight w:val="20"/>
        </w:trPr>
        <w:tc>
          <w:tcPr>
            <w:tcW w:w="1894" w:type="dxa"/>
            <w:gridSpan w:val="2"/>
            <w:vMerge/>
            <w:shd w:val="clear" w:color="auto" w:fill="auto"/>
            <w:vAlign w:val="center"/>
            <w:hideMark/>
          </w:tcPr>
          <w:p w:rsidR="003017FD" w:rsidRPr="003017FD" w:rsidRDefault="003017FD" w:rsidP="00CB5DAD">
            <w:pPr>
              <w:widowControl/>
              <w:kinsoku w:val="0"/>
              <w:overflowPunct w:val="0"/>
              <w:autoSpaceDE w:val="0"/>
              <w:autoSpaceDN w:val="0"/>
              <w:spacing w:line="360" w:lineRule="exact"/>
              <w:jc w:val="both"/>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pPr>
          </w:p>
        </w:tc>
        <w:tc>
          <w:tcPr>
            <w:tcW w:w="7013" w:type="dxa"/>
            <w:shd w:val="clear" w:color="auto" w:fill="auto"/>
            <w:tcMar>
              <w:top w:w="72" w:type="dxa"/>
              <w:left w:w="144" w:type="dxa"/>
              <w:bottom w:w="72" w:type="dxa"/>
              <w:right w:w="144" w:type="dxa"/>
            </w:tcMar>
            <w:vAlign w:val="center"/>
            <w:hideMark/>
          </w:tcPr>
          <w:p w:rsidR="003017FD" w:rsidRPr="00CF0FE2" w:rsidRDefault="003017FD" w:rsidP="00CB5DAD">
            <w:pPr>
              <w:widowControl/>
              <w:kinsoku w:val="0"/>
              <w:overflowPunct w:val="0"/>
              <w:autoSpaceDE w:val="0"/>
              <w:autoSpaceDN w:val="0"/>
              <w:spacing w:line="360" w:lineRule="exact"/>
              <w:jc w:val="both"/>
              <w:rPr>
                <w:rFonts w:ascii="Times New Roman" w:eastAsia="標楷體" w:hAnsi="Times New Roman"/>
                <w:color w:val="000000"/>
                <w:kern w:val="0"/>
                <w:sz w:val="28"/>
                <w:szCs w:val="28"/>
              </w:rPr>
            </w:pP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人瑞敬老金</w:t>
            </w:r>
            <w:r w:rsidRPr="00CF0FE2">
              <w:rPr>
                <w:rFonts w:ascii="Times New Roman" w:eastAsia="標楷體" w:hAnsi="Times New Roman"/>
                <w:bCs/>
                <w:color w:val="000000"/>
                <w:kern w:val="24"/>
                <w:sz w:val="28"/>
                <w:szCs w:val="28"/>
              </w:rPr>
              <w:t>：</w:t>
            </w:r>
            <w:r w:rsidRPr="00CF0FE2">
              <w:rPr>
                <w:rFonts w:ascii="Times New Roman" w:eastAsia="標楷體" w:hAnsi="Times New Roman"/>
                <w:bCs/>
                <w:color w:val="000000"/>
                <w:kern w:val="24"/>
                <w:sz w:val="28"/>
                <w:szCs w:val="28"/>
              </w:rPr>
              <w:t>6,000</w:t>
            </w:r>
            <w:r w:rsidRPr="00CF0FE2">
              <w:rPr>
                <w:rFonts w:ascii="Times New Roman" w:eastAsia="標楷體" w:hAnsi="Times New Roman"/>
                <w:bCs/>
                <w:color w:val="000000"/>
                <w:kern w:val="24"/>
                <w:sz w:val="28"/>
                <w:szCs w:val="28"/>
              </w:rPr>
              <w:t>元</w:t>
            </w:r>
            <w:r w:rsidRPr="00CF0FE2">
              <w:rPr>
                <w:rFonts w:ascii="Times New Roman" w:eastAsia="標楷體" w:hAnsi="Times New Roman"/>
                <w:bCs/>
                <w:color w:val="000000"/>
                <w:kern w:val="24"/>
                <w:sz w:val="28"/>
                <w:szCs w:val="28"/>
              </w:rPr>
              <w:t>~2</w:t>
            </w:r>
            <w:r w:rsidRPr="00CF0FE2">
              <w:rPr>
                <w:rFonts w:ascii="Times New Roman" w:eastAsia="標楷體" w:hAnsi="Times New Roman"/>
                <w:bCs/>
                <w:color w:val="000000"/>
                <w:kern w:val="24"/>
                <w:sz w:val="28"/>
                <w:szCs w:val="28"/>
              </w:rPr>
              <w:t>萬元不等</w:t>
            </w:r>
          </w:p>
        </w:tc>
      </w:tr>
      <w:tr w:rsidR="003017FD" w:rsidRPr="00E15410" w:rsidTr="00CB5DAD">
        <w:trPr>
          <w:trHeight w:val="20"/>
        </w:trPr>
        <w:tc>
          <w:tcPr>
            <w:tcW w:w="1894" w:type="dxa"/>
            <w:gridSpan w:val="2"/>
            <w:vMerge/>
            <w:shd w:val="clear" w:color="auto" w:fill="auto"/>
            <w:vAlign w:val="center"/>
            <w:hideMark/>
          </w:tcPr>
          <w:p w:rsidR="003017FD" w:rsidRPr="003017FD" w:rsidRDefault="003017FD" w:rsidP="00CB5DAD">
            <w:pPr>
              <w:widowControl/>
              <w:kinsoku w:val="0"/>
              <w:overflowPunct w:val="0"/>
              <w:autoSpaceDE w:val="0"/>
              <w:autoSpaceDN w:val="0"/>
              <w:spacing w:line="360" w:lineRule="exact"/>
              <w:jc w:val="both"/>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pPr>
          </w:p>
        </w:tc>
        <w:tc>
          <w:tcPr>
            <w:tcW w:w="7013" w:type="dxa"/>
            <w:shd w:val="clear" w:color="auto" w:fill="auto"/>
            <w:tcMar>
              <w:top w:w="72" w:type="dxa"/>
              <w:left w:w="144" w:type="dxa"/>
              <w:bottom w:w="72" w:type="dxa"/>
              <w:right w:w="144" w:type="dxa"/>
            </w:tcMar>
            <w:vAlign w:val="center"/>
            <w:hideMark/>
          </w:tcPr>
          <w:p w:rsidR="003017FD" w:rsidRPr="00CF0FE2" w:rsidRDefault="003017FD" w:rsidP="00CB5DAD">
            <w:pPr>
              <w:widowControl/>
              <w:kinsoku w:val="0"/>
              <w:overflowPunct w:val="0"/>
              <w:autoSpaceDE w:val="0"/>
              <w:autoSpaceDN w:val="0"/>
              <w:spacing w:line="360" w:lineRule="exact"/>
              <w:jc w:val="both"/>
              <w:rPr>
                <w:rFonts w:ascii="Times New Roman" w:eastAsia="標楷體" w:hAnsi="Times New Roman"/>
                <w:color w:val="000000"/>
                <w:kern w:val="0"/>
                <w:sz w:val="28"/>
                <w:szCs w:val="28"/>
              </w:rPr>
            </w:pP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鑽石婚</w:t>
            </w: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w:t>
            </w: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白金婚禮金</w:t>
            </w:r>
            <w:r w:rsidRPr="00CF0FE2">
              <w:rPr>
                <w:rFonts w:ascii="Times New Roman" w:eastAsia="標楷體" w:hAnsi="Times New Roman"/>
                <w:bCs/>
                <w:color w:val="000000"/>
                <w:kern w:val="24"/>
                <w:sz w:val="28"/>
                <w:szCs w:val="28"/>
              </w:rPr>
              <w:t>：</w:t>
            </w:r>
            <w:r w:rsidRPr="00CF0FE2">
              <w:rPr>
                <w:rFonts w:ascii="Times New Roman" w:eastAsia="標楷體" w:hAnsi="Times New Roman"/>
                <w:bCs/>
                <w:color w:val="000000"/>
                <w:kern w:val="24"/>
                <w:sz w:val="28"/>
                <w:szCs w:val="28"/>
              </w:rPr>
              <w:t>3,000</w:t>
            </w:r>
            <w:r w:rsidRPr="00CF0FE2">
              <w:rPr>
                <w:rFonts w:ascii="Times New Roman" w:eastAsia="標楷體" w:hAnsi="Times New Roman"/>
                <w:bCs/>
                <w:color w:val="000000"/>
                <w:kern w:val="24"/>
                <w:sz w:val="28"/>
                <w:szCs w:val="28"/>
              </w:rPr>
              <w:t>元</w:t>
            </w:r>
            <w:r w:rsidRPr="00CF0FE2">
              <w:rPr>
                <w:rFonts w:ascii="Times New Roman" w:eastAsia="標楷體" w:hAnsi="Times New Roman"/>
                <w:bCs/>
                <w:color w:val="000000"/>
                <w:kern w:val="24"/>
                <w:sz w:val="28"/>
                <w:szCs w:val="28"/>
              </w:rPr>
              <w:t>~3,200</w:t>
            </w:r>
            <w:r w:rsidRPr="00CF0FE2">
              <w:rPr>
                <w:rFonts w:ascii="Times New Roman" w:eastAsia="標楷體" w:hAnsi="Times New Roman"/>
                <w:bCs/>
                <w:color w:val="000000"/>
                <w:kern w:val="24"/>
                <w:sz w:val="28"/>
                <w:szCs w:val="28"/>
              </w:rPr>
              <w:t>元不等。</w:t>
            </w:r>
          </w:p>
        </w:tc>
      </w:tr>
      <w:tr w:rsidR="003017FD" w:rsidRPr="00E15410" w:rsidTr="00CB5DAD">
        <w:trPr>
          <w:trHeight w:val="18"/>
        </w:trPr>
        <w:tc>
          <w:tcPr>
            <w:tcW w:w="1894" w:type="dxa"/>
            <w:gridSpan w:val="2"/>
            <w:shd w:val="clear" w:color="auto" w:fill="auto"/>
            <w:tcMar>
              <w:top w:w="72" w:type="dxa"/>
              <w:left w:w="144" w:type="dxa"/>
              <w:bottom w:w="72" w:type="dxa"/>
              <w:right w:w="144" w:type="dxa"/>
            </w:tcMar>
            <w:vAlign w:val="center"/>
            <w:hideMark/>
          </w:tcPr>
          <w:p w:rsidR="003017FD" w:rsidRPr="003017FD" w:rsidRDefault="003017FD" w:rsidP="00CB5DAD">
            <w:pPr>
              <w:widowControl/>
              <w:kinsoku w:val="0"/>
              <w:overflowPunct w:val="0"/>
              <w:autoSpaceDE w:val="0"/>
              <w:autoSpaceDN w:val="0"/>
              <w:spacing w:line="360" w:lineRule="exact"/>
              <w:jc w:val="both"/>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pPr>
            <w:r w:rsidRPr="003017FD">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t>三節發放</w:t>
            </w:r>
          </w:p>
        </w:tc>
        <w:tc>
          <w:tcPr>
            <w:tcW w:w="7013" w:type="dxa"/>
            <w:shd w:val="clear" w:color="auto" w:fill="auto"/>
            <w:tcMar>
              <w:top w:w="72" w:type="dxa"/>
              <w:left w:w="144" w:type="dxa"/>
              <w:bottom w:w="72" w:type="dxa"/>
              <w:right w:w="144" w:type="dxa"/>
            </w:tcMar>
            <w:vAlign w:val="center"/>
            <w:hideMark/>
          </w:tcPr>
          <w:p w:rsidR="003017FD" w:rsidRPr="00CF0FE2" w:rsidRDefault="003017FD" w:rsidP="00CB5DAD">
            <w:pPr>
              <w:widowControl/>
              <w:kinsoku w:val="0"/>
              <w:overflowPunct w:val="0"/>
              <w:autoSpaceDE w:val="0"/>
              <w:autoSpaceDN w:val="0"/>
              <w:spacing w:line="360" w:lineRule="exact"/>
              <w:jc w:val="both"/>
              <w:rPr>
                <w:rFonts w:ascii="Times New Roman" w:eastAsia="標楷體" w:hAnsi="Times New Roman"/>
                <w:color w:val="000000"/>
                <w:kern w:val="0"/>
                <w:sz w:val="28"/>
                <w:szCs w:val="28"/>
              </w:rPr>
            </w:pP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敬老三節慰問</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助</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金</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禮金</w:t>
            </w:r>
            <w:r w:rsidRPr="003017FD">
              <w:rPr>
                <w:rFonts w:ascii="Times New Roman" w:eastAsia="標楷體" w:hAnsi="Times New Roman"/>
                <w:bCs/>
                <w:color w:val="000000"/>
                <w:kern w:val="24"/>
                <w:position w:val="1"/>
                <w:sz w:val="28"/>
                <w:szCs w:val="28"/>
                <w14:shadow w14:blurRad="50800" w14:dist="38100" w14:dir="2700000" w14:sx="100000" w14:sy="100000" w14:kx="0" w14:ky="0" w14:algn="tl">
                  <w14:srgbClr w14:val="000000">
                    <w14:alpha w14:val="60000"/>
                  </w14:srgbClr>
                </w14:shadow>
              </w:rPr>
              <w:t>)</w:t>
            </w:r>
            <w:r w:rsidRPr="00CF0FE2">
              <w:rPr>
                <w:rFonts w:ascii="Times New Roman" w:eastAsia="標楷體" w:hAnsi="Times New Roman"/>
                <w:bCs/>
                <w:color w:val="000000"/>
                <w:kern w:val="24"/>
                <w:position w:val="1"/>
                <w:sz w:val="28"/>
                <w:szCs w:val="28"/>
              </w:rPr>
              <w:t>：每年於春節、端午節</w:t>
            </w:r>
            <w:r w:rsidRPr="00CF0FE2">
              <w:rPr>
                <w:rFonts w:ascii="Times New Roman" w:eastAsia="標楷體" w:hAnsi="Times New Roman"/>
                <w:bCs/>
                <w:color w:val="000000"/>
                <w:kern w:val="24"/>
                <w:sz w:val="28"/>
                <w:szCs w:val="28"/>
              </w:rPr>
              <w:t>及中秋節辦理發放，金額為</w:t>
            </w:r>
            <w:r w:rsidRPr="00CF0FE2">
              <w:rPr>
                <w:rFonts w:ascii="Times New Roman" w:eastAsia="標楷體" w:hAnsi="Times New Roman"/>
                <w:bCs/>
                <w:color w:val="000000"/>
                <w:kern w:val="24"/>
                <w:sz w:val="28"/>
                <w:szCs w:val="28"/>
              </w:rPr>
              <w:t>1,000</w:t>
            </w:r>
            <w:r w:rsidRPr="00CF0FE2">
              <w:rPr>
                <w:rFonts w:ascii="Times New Roman" w:eastAsia="標楷體" w:hAnsi="Times New Roman"/>
                <w:bCs/>
                <w:color w:val="000000"/>
                <w:kern w:val="24"/>
                <w:sz w:val="28"/>
                <w:szCs w:val="28"/>
              </w:rPr>
              <w:t>元</w:t>
            </w:r>
            <w:r w:rsidRPr="00CF0FE2">
              <w:rPr>
                <w:rFonts w:ascii="Times New Roman" w:eastAsia="標楷體" w:hAnsi="Times New Roman"/>
                <w:bCs/>
                <w:color w:val="000000"/>
                <w:kern w:val="24"/>
                <w:sz w:val="28"/>
                <w:szCs w:val="28"/>
              </w:rPr>
              <w:t>~3,000</w:t>
            </w:r>
            <w:r w:rsidRPr="00CF0FE2">
              <w:rPr>
                <w:rFonts w:ascii="Times New Roman" w:eastAsia="標楷體" w:hAnsi="Times New Roman"/>
                <w:bCs/>
                <w:color w:val="000000"/>
                <w:kern w:val="24"/>
                <w:sz w:val="28"/>
                <w:szCs w:val="28"/>
              </w:rPr>
              <w:t>元不等。</w:t>
            </w:r>
          </w:p>
        </w:tc>
      </w:tr>
      <w:tr w:rsidR="003017FD" w:rsidRPr="00E15410" w:rsidTr="00CB5DAD">
        <w:trPr>
          <w:trHeight w:val="18"/>
        </w:trPr>
        <w:tc>
          <w:tcPr>
            <w:tcW w:w="853" w:type="dxa"/>
            <w:vMerge w:val="restart"/>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bCs/>
                <w:color w:val="000000"/>
                <w:kern w:val="24"/>
                <w:sz w:val="28"/>
                <w:szCs w:val="28"/>
                <w14:shadow w14:blurRad="50800" w14:dist="38100" w14:dir="2700000" w14:sx="100000" w14:sy="100000" w14:kx="0" w14:ky="0" w14:algn="tl">
                  <w14:srgbClr w14:val="000000">
                    <w14:alpha w14:val="60000"/>
                  </w14:srgbClr>
                </w14:shadow>
              </w:rPr>
            </w:pPr>
            <w:r w:rsidRPr="003017FD">
              <w:rPr>
                <w:rFonts w:ascii="Times New Roman" w:eastAsia="標楷體" w:hAnsi="Times New Roman" w:hint="eastAsia"/>
                <w:bCs/>
                <w:color w:val="000000"/>
                <w:kern w:val="24"/>
                <w:sz w:val="28"/>
                <w:szCs w:val="28"/>
                <w14:shadow w14:blurRad="50800" w14:dist="38100" w14:dir="2700000" w14:sx="100000" w14:sy="100000" w14:kx="0" w14:ky="0" w14:algn="tl">
                  <w14:srgbClr w14:val="000000">
                    <w14:alpha w14:val="60000"/>
                  </w14:srgbClr>
                </w14:shadow>
              </w:rPr>
              <w:t>每月定期</w:t>
            </w:r>
            <w:r w:rsidRPr="003017FD">
              <w:rPr>
                <w:rFonts w:ascii="Times New Roman" w:eastAsia="標楷體" w:hAnsi="Times New Roman" w:hint="eastAsia"/>
                <w:bCs/>
                <w:color w:val="000000"/>
                <w:kern w:val="24"/>
                <w:sz w:val="28"/>
                <w:szCs w:val="28"/>
                <w14:shadow w14:blurRad="50800" w14:dist="38100" w14:dir="2700000" w14:sx="100000" w14:sy="100000" w14:kx="0" w14:ky="0" w14:algn="tl">
                  <w14:srgbClr w14:val="000000">
                    <w14:alpha w14:val="60000"/>
                  </w14:srgbClr>
                </w14:shadow>
              </w:rPr>
              <w:lastRenderedPageBreak/>
              <w:t>發放</w:t>
            </w: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ind w:left="1829" w:hanging="1829"/>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lastRenderedPageBreak/>
              <w:t>新竹縣</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ind w:left="144" w:hanging="144"/>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「敬老福利津貼」，每月</w:t>
            </w:r>
            <w:r w:rsidRPr="00CF0FE2">
              <w:rPr>
                <w:rFonts w:ascii="Times New Roman" w:eastAsia="標楷體" w:hAnsi="Times New Roman" w:cs="Times New Roman" w:hint="eastAsia"/>
                <w:bCs/>
                <w:color w:val="000000"/>
                <w:kern w:val="24"/>
                <w:position w:val="1"/>
                <w:sz w:val="28"/>
                <w:szCs w:val="28"/>
              </w:rPr>
              <w:t>1,500</w:t>
            </w:r>
            <w:r w:rsidRPr="00CF0FE2">
              <w:rPr>
                <w:rFonts w:ascii="Times New Roman" w:eastAsia="標楷體" w:hAnsi="Times New Roman" w:cs="Times New Roman" w:hint="eastAsia"/>
                <w:bCs/>
                <w:color w:val="000000"/>
                <w:kern w:val="24"/>
                <w:position w:val="1"/>
                <w:sz w:val="28"/>
                <w:szCs w:val="28"/>
              </w:rPr>
              <w:t>元</w:t>
            </w:r>
            <w:r w:rsidRPr="00CF0FE2">
              <w:rPr>
                <w:rFonts w:ascii="Times New Roman" w:eastAsia="標楷體" w:hAnsi="Times New Roman" w:cs="Times New Roman" w:hint="eastAsia"/>
                <w:bCs/>
                <w:color w:val="000000"/>
                <w:kern w:val="24"/>
                <w:position w:val="1"/>
                <w:sz w:val="28"/>
                <w:szCs w:val="28"/>
              </w:rPr>
              <w:t>(108</w:t>
            </w:r>
            <w:r w:rsidRPr="00CF0FE2">
              <w:rPr>
                <w:rFonts w:ascii="Times New Roman" w:eastAsia="標楷體" w:hAnsi="Times New Roman" w:cs="Times New Roman" w:hint="eastAsia"/>
                <w:bCs/>
                <w:color w:val="000000"/>
                <w:kern w:val="24"/>
                <w:position w:val="1"/>
                <w:sz w:val="28"/>
                <w:szCs w:val="28"/>
              </w:rPr>
              <w:t>年調回至</w:t>
            </w:r>
            <w:r w:rsidRPr="00CF0FE2">
              <w:rPr>
                <w:rFonts w:ascii="Times New Roman" w:eastAsia="標楷體" w:hAnsi="Times New Roman" w:cs="Times New Roman" w:hint="eastAsia"/>
                <w:bCs/>
                <w:color w:val="000000"/>
                <w:kern w:val="24"/>
                <w:position w:val="1"/>
                <w:sz w:val="28"/>
                <w:szCs w:val="28"/>
              </w:rPr>
              <w:t>3,000</w:t>
            </w:r>
            <w:r w:rsidRPr="00CF0FE2">
              <w:rPr>
                <w:rFonts w:ascii="Times New Roman" w:eastAsia="標楷體" w:hAnsi="Times New Roman" w:cs="Times New Roman" w:hint="eastAsia"/>
                <w:bCs/>
                <w:color w:val="000000"/>
                <w:kern w:val="24"/>
                <w:position w:val="1"/>
                <w:sz w:val="28"/>
                <w:szCs w:val="28"/>
              </w:rPr>
              <w:t>元</w:t>
            </w:r>
            <w:r w:rsidRPr="00CF0FE2">
              <w:rPr>
                <w:rFonts w:ascii="Times New Roman" w:eastAsia="標楷體" w:hAnsi="Times New Roman" w:cs="Times New Roman" w:hint="eastAsia"/>
                <w:bCs/>
                <w:color w:val="000000"/>
                <w:kern w:val="24"/>
                <w:position w:val="1"/>
                <w:sz w:val="28"/>
                <w:szCs w:val="28"/>
              </w:rPr>
              <w:t>)</w:t>
            </w:r>
            <w:r w:rsidRPr="00CF0FE2">
              <w:rPr>
                <w:rFonts w:ascii="Times New Roman" w:eastAsia="標楷體" w:hAnsi="Times New Roman" w:cs="Times New Roman" w:hint="eastAsia"/>
                <w:bCs/>
                <w:color w:val="000000"/>
                <w:kern w:val="24"/>
                <w:position w:val="1"/>
                <w:sz w:val="28"/>
                <w:szCs w:val="28"/>
              </w:rPr>
              <w:t>；滿百歲者，每月</w:t>
            </w:r>
            <w:r w:rsidRPr="00CF0FE2">
              <w:rPr>
                <w:rFonts w:ascii="Times New Roman" w:eastAsia="標楷體" w:hAnsi="Times New Roman" w:cs="Times New Roman" w:hint="eastAsia"/>
                <w:bCs/>
                <w:color w:val="000000"/>
                <w:kern w:val="24"/>
                <w:position w:val="1"/>
                <w:sz w:val="28"/>
                <w:szCs w:val="28"/>
              </w:rPr>
              <w:t>6,000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1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ind w:left="1829" w:hanging="1829"/>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新竹市</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「安老津貼」，每月</w:t>
            </w:r>
            <w:r w:rsidRPr="00CF0FE2">
              <w:rPr>
                <w:rFonts w:ascii="Times New Roman" w:eastAsia="標楷體" w:hAnsi="Times New Roman" w:cs="Times New Roman" w:hint="eastAsia"/>
                <w:bCs/>
                <w:color w:val="000000"/>
                <w:kern w:val="24"/>
                <w:position w:val="1"/>
                <w:sz w:val="28"/>
                <w:szCs w:val="28"/>
              </w:rPr>
              <w:t>3,000</w:t>
            </w:r>
            <w:r w:rsidRPr="00CF0FE2">
              <w:rPr>
                <w:rFonts w:ascii="Times New Roman" w:eastAsia="標楷體" w:hAnsi="Times New Roman" w:cs="Times New Roman" w:hint="eastAsia"/>
                <w:bCs/>
                <w:color w:val="000000"/>
                <w:kern w:val="24"/>
                <w:position w:val="1"/>
                <w:sz w:val="28"/>
                <w:szCs w:val="28"/>
              </w:rPr>
              <w:t>元；滿百歲者，每月</w:t>
            </w:r>
            <w:r w:rsidRPr="00CF0FE2">
              <w:rPr>
                <w:rFonts w:ascii="Times New Roman" w:eastAsia="標楷體" w:hAnsi="Times New Roman" w:cs="Times New Roman" w:hint="eastAsia"/>
                <w:bCs/>
                <w:color w:val="000000"/>
                <w:kern w:val="24"/>
                <w:position w:val="1"/>
                <w:sz w:val="28"/>
                <w:szCs w:val="28"/>
              </w:rPr>
              <w:t>8,000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1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嘉義市</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「百歲人瑞營養禮金」，每月</w:t>
            </w:r>
            <w:r w:rsidRPr="00CF0FE2">
              <w:rPr>
                <w:rFonts w:ascii="Times New Roman" w:eastAsia="標楷體" w:hAnsi="Times New Roman" w:cs="Times New Roman" w:hint="eastAsia"/>
                <w:bCs/>
                <w:color w:val="000000"/>
                <w:kern w:val="24"/>
                <w:position w:val="1"/>
                <w:sz w:val="28"/>
                <w:szCs w:val="28"/>
              </w:rPr>
              <w:t>5,000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1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臺東縣</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60" w:lineRule="exact"/>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「百歲人瑞營養補助」，每月</w:t>
            </w:r>
            <w:r w:rsidRPr="00CF0FE2">
              <w:rPr>
                <w:rFonts w:ascii="Times New Roman" w:eastAsia="標楷體" w:hAnsi="Times New Roman" w:cs="Times New Roman" w:hint="eastAsia"/>
                <w:bCs/>
                <w:color w:val="000000"/>
                <w:kern w:val="24"/>
                <w:position w:val="1"/>
                <w:sz w:val="28"/>
                <w:szCs w:val="28"/>
              </w:rPr>
              <w:t>5,000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22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ind w:left="1973" w:hanging="1973"/>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花蓮縣</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w:t>
            </w:r>
            <w:r w:rsidRPr="00CF0FE2">
              <w:rPr>
                <w:rFonts w:ascii="Times New Roman" w:eastAsia="標楷體" w:hAnsi="Times New Roman" w:cs="Times New Roman" w:hint="eastAsia"/>
                <w:bCs/>
                <w:color w:val="000000"/>
                <w:kern w:val="24"/>
                <w:position w:val="1"/>
                <w:sz w:val="28"/>
                <w:szCs w:val="28"/>
              </w:rPr>
              <w:t>90</w:t>
            </w:r>
            <w:r w:rsidRPr="00CF0FE2">
              <w:rPr>
                <w:rFonts w:ascii="Times New Roman" w:eastAsia="標楷體" w:hAnsi="Times New Roman" w:cs="Times New Roman" w:hint="eastAsia"/>
                <w:bCs/>
                <w:color w:val="000000"/>
                <w:kern w:val="24"/>
                <w:position w:val="1"/>
                <w:sz w:val="28"/>
                <w:szCs w:val="28"/>
              </w:rPr>
              <w:t>歲以上敬老津貼」，每月</w:t>
            </w:r>
            <w:r w:rsidRPr="00CF0FE2">
              <w:rPr>
                <w:rFonts w:ascii="Times New Roman" w:eastAsia="標楷體" w:hAnsi="Times New Roman" w:cs="Times New Roman" w:hint="eastAsia"/>
                <w:bCs/>
                <w:color w:val="000000"/>
                <w:kern w:val="24"/>
                <w:position w:val="1"/>
                <w:sz w:val="28"/>
                <w:szCs w:val="28"/>
              </w:rPr>
              <w:t>3,000</w:t>
            </w:r>
            <w:r w:rsidRPr="00CF0FE2">
              <w:rPr>
                <w:rFonts w:ascii="Times New Roman" w:eastAsia="標楷體" w:hAnsi="Times New Roman" w:cs="Times New Roman" w:hint="eastAsia"/>
                <w:bCs/>
                <w:color w:val="000000"/>
                <w:kern w:val="24"/>
                <w:position w:val="1"/>
                <w:sz w:val="28"/>
                <w:szCs w:val="28"/>
              </w:rPr>
              <w:t>元；滿百歲者，每月</w:t>
            </w:r>
            <w:r w:rsidRPr="00CF0FE2">
              <w:rPr>
                <w:rFonts w:ascii="Times New Roman" w:eastAsia="標楷體" w:hAnsi="Times New Roman" w:cs="Times New Roman" w:hint="eastAsia"/>
                <w:bCs/>
                <w:color w:val="000000"/>
                <w:kern w:val="24"/>
                <w:position w:val="1"/>
                <w:sz w:val="28"/>
                <w:szCs w:val="28"/>
              </w:rPr>
              <w:t>7,000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1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ind w:left="1973" w:hanging="1973"/>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金門縣</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「歷經戰地軍管時期老人慰助金」，依年齡級距每月分別為</w:t>
            </w:r>
            <w:r w:rsidRPr="00CF0FE2">
              <w:rPr>
                <w:rFonts w:ascii="Times New Roman" w:eastAsia="標楷體" w:hAnsi="Times New Roman" w:cs="Times New Roman" w:hint="eastAsia"/>
                <w:bCs/>
                <w:color w:val="000000"/>
                <w:kern w:val="24"/>
                <w:position w:val="1"/>
                <w:sz w:val="28"/>
                <w:szCs w:val="28"/>
              </w:rPr>
              <w:t>4,000</w:t>
            </w:r>
            <w:r w:rsidRPr="00CF0FE2">
              <w:rPr>
                <w:rFonts w:ascii="Times New Roman" w:eastAsia="標楷體" w:hAnsi="Times New Roman" w:cs="Times New Roman" w:hint="eastAsia"/>
                <w:bCs/>
                <w:color w:val="000000"/>
                <w:kern w:val="24"/>
                <w:position w:val="1"/>
                <w:sz w:val="28"/>
                <w:szCs w:val="28"/>
              </w:rPr>
              <w:t>元、</w:t>
            </w:r>
            <w:r w:rsidRPr="00CF0FE2">
              <w:rPr>
                <w:rFonts w:ascii="Times New Roman" w:eastAsia="標楷體" w:hAnsi="Times New Roman" w:cs="Times New Roman" w:hint="eastAsia"/>
                <w:bCs/>
                <w:color w:val="000000"/>
                <w:kern w:val="24"/>
                <w:position w:val="1"/>
                <w:sz w:val="28"/>
                <w:szCs w:val="28"/>
              </w:rPr>
              <w:t>5,000</w:t>
            </w:r>
            <w:r w:rsidRPr="00CF0FE2">
              <w:rPr>
                <w:rFonts w:ascii="Times New Roman" w:eastAsia="標楷體" w:hAnsi="Times New Roman" w:cs="Times New Roman" w:hint="eastAsia"/>
                <w:bCs/>
                <w:color w:val="000000"/>
                <w:kern w:val="24"/>
                <w:position w:val="1"/>
                <w:sz w:val="28"/>
                <w:szCs w:val="28"/>
              </w:rPr>
              <w:t>元及</w:t>
            </w:r>
            <w:r w:rsidRPr="00CF0FE2">
              <w:rPr>
                <w:rFonts w:ascii="Times New Roman" w:eastAsia="標楷體" w:hAnsi="Times New Roman" w:cs="Times New Roman" w:hint="eastAsia"/>
                <w:bCs/>
                <w:color w:val="000000"/>
                <w:kern w:val="24"/>
                <w:position w:val="1"/>
                <w:sz w:val="28"/>
                <w:szCs w:val="28"/>
              </w:rPr>
              <w:t>7,000</w:t>
            </w:r>
            <w:r w:rsidRPr="00CF0FE2">
              <w:rPr>
                <w:rFonts w:ascii="Times New Roman" w:eastAsia="標楷體" w:hAnsi="Times New Roman" w:cs="Times New Roman" w:hint="eastAsia"/>
                <w:bCs/>
                <w:color w:val="000000"/>
                <w:kern w:val="24"/>
                <w:position w:val="1"/>
                <w:sz w:val="28"/>
                <w:szCs w:val="28"/>
              </w:rPr>
              <w:t>元。</w:t>
            </w:r>
          </w:p>
        </w:tc>
      </w:tr>
      <w:tr w:rsidR="003017FD" w:rsidRPr="00E15410" w:rsidTr="00CB5DAD">
        <w:trPr>
          <w:trHeight w:val="18"/>
        </w:trPr>
        <w:tc>
          <w:tcPr>
            <w:tcW w:w="853" w:type="dxa"/>
            <w:vMerge/>
            <w:shd w:val="clear" w:color="auto" w:fill="auto"/>
            <w:tcMar>
              <w:top w:w="72" w:type="dxa"/>
              <w:left w:w="144" w:type="dxa"/>
              <w:bottom w:w="72" w:type="dxa"/>
              <w:right w:w="144" w:type="dxa"/>
            </w:tcMar>
            <w:vAlign w:val="center"/>
          </w:tcPr>
          <w:p w:rsidR="003017FD" w:rsidRPr="003017FD" w:rsidRDefault="003017FD" w:rsidP="00CB5DAD">
            <w:pPr>
              <w:widowControl/>
              <w:kinsoku w:val="0"/>
              <w:overflowPunct w:val="0"/>
              <w:autoSpaceDE w:val="0"/>
              <w:autoSpaceDN w:val="0"/>
              <w:spacing w:line="360" w:lineRule="exact"/>
              <w:jc w:val="center"/>
              <w:rPr>
                <w:rFonts w:ascii="Times New Roman" w:eastAsia="標楷體" w:hAnsi="Times New Roman" w:hint="eastAsia"/>
                <w:b/>
                <w:bCs/>
                <w:color w:val="000000"/>
                <w:kern w:val="24"/>
                <w:sz w:val="28"/>
                <w:szCs w:val="28"/>
                <w14:shadow w14:blurRad="50800" w14:dist="38100" w14:dir="2700000" w14:sx="100000" w14:sy="100000" w14:kx="0" w14:ky="0" w14:algn="tl">
                  <w14:srgbClr w14:val="000000">
                    <w14:alpha w14:val="60000"/>
                  </w14:srgbClr>
                </w14:shadow>
              </w:rPr>
            </w:pPr>
          </w:p>
        </w:tc>
        <w:tc>
          <w:tcPr>
            <w:tcW w:w="1041" w:type="dxa"/>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ind w:left="2117" w:hanging="2117"/>
              <w:jc w:val="center"/>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連江縣</w:t>
            </w:r>
          </w:p>
        </w:tc>
        <w:tc>
          <w:tcPr>
            <w:tcW w:w="7013" w:type="dxa"/>
            <w:shd w:val="clear" w:color="auto" w:fill="auto"/>
            <w:tcMar>
              <w:top w:w="72" w:type="dxa"/>
              <w:left w:w="144" w:type="dxa"/>
              <w:bottom w:w="72" w:type="dxa"/>
              <w:right w:w="144" w:type="dxa"/>
            </w:tcMar>
            <w:vAlign w:val="center"/>
          </w:tcPr>
          <w:p w:rsidR="003017FD" w:rsidRPr="00CF0FE2" w:rsidRDefault="003017FD" w:rsidP="00CB5DAD">
            <w:pPr>
              <w:pStyle w:val="Web"/>
              <w:kinsoku w:val="0"/>
              <w:overflowPunct w:val="0"/>
              <w:autoSpaceDE w:val="0"/>
              <w:autoSpaceDN w:val="0"/>
              <w:spacing w:before="0" w:beforeAutospacing="0" w:after="0" w:afterAutospacing="0" w:line="340" w:lineRule="exact"/>
              <w:jc w:val="both"/>
              <w:rPr>
                <w:rFonts w:ascii="Times New Roman" w:eastAsia="標楷體" w:hAnsi="Times New Roman" w:cs="Times New Roman"/>
                <w:bCs/>
                <w:color w:val="000000"/>
                <w:kern w:val="24"/>
                <w:position w:val="1"/>
                <w:sz w:val="28"/>
                <w:szCs w:val="28"/>
              </w:rPr>
            </w:pPr>
            <w:r w:rsidRPr="00CF0FE2">
              <w:rPr>
                <w:rFonts w:ascii="Times New Roman" w:eastAsia="標楷體" w:hAnsi="Times New Roman" w:cs="Times New Roman" w:hint="eastAsia"/>
                <w:bCs/>
                <w:color w:val="000000"/>
                <w:kern w:val="24"/>
                <w:position w:val="1"/>
                <w:sz w:val="28"/>
                <w:szCs w:val="28"/>
              </w:rPr>
              <w:t>「</w:t>
            </w:r>
            <w:r w:rsidRPr="00CF0FE2">
              <w:rPr>
                <w:rFonts w:ascii="Times New Roman" w:eastAsia="標楷體" w:hAnsi="Times New Roman" w:cs="Times New Roman" w:hint="eastAsia"/>
                <w:bCs/>
                <w:color w:val="000000"/>
                <w:kern w:val="24"/>
                <w:position w:val="1"/>
                <w:sz w:val="28"/>
                <w:szCs w:val="28"/>
              </w:rPr>
              <w:t>65</w:t>
            </w:r>
            <w:r w:rsidRPr="00CF0FE2">
              <w:rPr>
                <w:rFonts w:ascii="Times New Roman" w:eastAsia="標楷體" w:hAnsi="Times New Roman" w:cs="Times New Roman" w:hint="eastAsia"/>
                <w:bCs/>
                <w:color w:val="000000"/>
                <w:kern w:val="24"/>
                <w:position w:val="1"/>
                <w:sz w:val="28"/>
                <w:szCs w:val="28"/>
              </w:rPr>
              <w:t>歲以上老人居家生活補助費」及「養老生活補助費」，每月均為</w:t>
            </w:r>
            <w:r w:rsidRPr="00CF0FE2">
              <w:rPr>
                <w:rFonts w:ascii="Times New Roman" w:eastAsia="標楷體" w:hAnsi="Times New Roman" w:cs="Times New Roman" w:hint="eastAsia"/>
                <w:bCs/>
                <w:color w:val="000000"/>
                <w:kern w:val="24"/>
                <w:position w:val="1"/>
                <w:sz w:val="28"/>
                <w:szCs w:val="28"/>
              </w:rPr>
              <w:t>3,000</w:t>
            </w:r>
            <w:r w:rsidRPr="00CF0FE2">
              <w:rPr>
                <w:rFonts w:ascii="Times New Roman" w:eastAsia="標楷體" w:hAnsi="Times New Roman" w:cs="Times New Roman" w:hint="eastAsia"/>
                <w:bCs/>
                <w:color w:val="000000"/>
                <w:kern w:val="24"/>
                <w:position w:val="1"/>
                <w:sz w:val="28"/>
                <w:szCs w:val="28"/>
              </w:rPr>
              <w:t>元。</w:t>
            </w:r>
          </w:p>
        </w:tc>
      </w:tr>
    </w:tbl>
    <w:p w:rsidR="003017FD" w:rsidRPr="00E15410" w:rsidRDefault="003017FD" w:rsidP="003017FD">
      <w:pPr>
        <w:spacing w:afterLines="50" w:after="180" w:line="320" w:lineRule="exact"/>
        <w:ind w:leftChars="-58" w:left="999" w:hangingChars="474" w:hanging="1138"/>
        <w:rPr>
          <w:rFonts w:ascii="標楷體" w:eastAsia="標楷體" w:hAnsi="標楷體" w:hint="eastAsia"/>
          <w:szCs w:val="24"/>
        </w:rPr>
      </w:pPr>
      <w:r w:rsidRPr="00AD4489">
        <w:rPr>
          <w:rFonts w:ascii="標楷體" w:eastAsia="標楷體" w:hAnsi="標楷體"/>
          <w:szCs w:val="24"/>
        </w:rPr>
        <w:t>資料來源：衛福部</w:t>
      </w:r>
      <w:r w:rsidRPr="00AD4489">
        <w:rPr>
          <w:rFonts w:ascii="標楷體" w:eastAsia="標楷體" w:hAnsi="標楷體" w:hint="eastAsia"/>
          <w:szCs w:val="24"/>
        </w:rPr>
        <w:t>，本院整理製</w:t>
      </w:r>
      <w:r>
        <w:rPr>
          <w:rFonts w:ascii="標楷體" w:eastAsia="標楷體" w:hAnsi="標楷體" w:hint="eastAsia"/>
          <w:szCs w:val="24"/>
        </w:rPr>
        <w:t>表</w:t>
      </w:r>
      <w:r w:rsidRPr="00AD4489">
        <w:rPr>
          <w:rFonts w:ascii="標楷體" w:eastAsia="標楷體" w:hAnsi="標楷體"/>
          <w:szCs w:val="24"/>
        </w:rPr>
        <w:t>。</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ind w:firstLineChars="12" w:firstLine="29"/>
        <w:rPr>
          <w:rFonts w:ascii="Times New Roman" w:hint="eastAsia"/>
          <w:sz w:val="20"/>
          <w:szCs w:val="20"/>
        </w:rPr>
      </w:pPr>
      <w:r w:rsidRPr="00593E41">
        <w:rPr>
          <w:noProof/>
        </w:rPr>
        <w:drawing>
          <wp:inline distT="0" distB="0" distL="0" distR="0">
            <wp:extent cx="5488940" cy="3147695"/>
            <wp:effectExtent l="0" t="0" r="16510" b="14605"/>
            <wp:docPr id="1"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017FD" w:rsidRPr="00905AEA" w:rsidRDefault="003017FD" w:rsidP="003017FD">
      <w:pPr>
        <w:kinsoku w:val="0"/>
        <w:overflowPunct w:val="0"/>
        <w:autoSpaceDE w:val="0"/>
        <w:autoSpaceDN w:val="0"/>
        <w:spacing w:line="360" w:lineRule="exact"/>
        <w:ind w:firstLineChars="11" w:firstLine="31"/>
        <w:jc w:val="center"/>
        <w:rPr>
          <w:rFonts w:ascii="Times New Roman" w:eastAsia="標楷體" w:hAnsi="Times New Roman"/>
          <w:b/>
          <w:bCs/>
          <w:sz w:val="28"/>
          <w:szCs w:val="28"/>
        </w:rPr>
      </w:pPr>
      <w:r>
        <w:rPr>
          <w:rFonts w:ascii="Times New Roman" w:eastAsia="標楷體" w:hAnsi="Times New Roman" w:hint="eastAsia"/>
          <w:b/>
          <w:bCs/>
          <w:sz w:val="28"/>
          <w:szCs w:val="28"/>
        </w:rPr>
        <w:t>附圖</w:t>
      </w:r>
      <w:r>
        <w:rPr>
          <w:rFonts w:ascii="Times New Roman" w:eastAsia="標楷體" w:hAnsi="Times New Roman" w:hint="eastAsia"/>
          <w:b/>
          <w:bCs/>
          <w:sz w:val="28"/>
          <w:szCs w:val="28"/>
        </w:rPr>
        <w:t xml:space="preserve">1 </w:t>
      </w:r>
      <w:r w:rsidRPr="00FE3EE1">
        <w:rPr>
          <w:rFonts w:ascii="Times New Roman" w:eastAsia="標楷體" w:hAnsi="Times New Roman" w:hint="eastAsia"/>
          <w:b/>
          <w:bCs/>
          <w:spacing w:val="-6"/>
          <w:sz w:val="28"/>
          <w:szCs w:val="28"/>
        </w:rPr>
        <w:t xml:space="preserve"> 100</w:t>
      </w:r>
      <w:r w:rsidRPr="00FE3EE1">
        <w:rPr>
          <w:rFonts w:ascii="Times New Roman" w:eastAsia="標楷體" w:hAnsi="Times New Roman" w:hint="eastAsia"/>
          <w:b/>
          <w:bCs/>
          <w:spacing w:val="-6"/>
          <w:sz w:val="28"/>
          <w:szCs w:val="28"/>
        </w:rPr>
        <w:t>年至</w:t>
      </w:r>
      <w:r w:rsidRPr="00FE3EE1">
        <w:rPr>
          <w:rFonts w:ascii="Times New Roman" w:eastAsia="標楷體" w:hAnsi="Times New Roman" w:hint="eastAsia"/>
          <w:b/>
          <w:bCs/>
          <w:spacing w:val="-6"/>
          <w:sz w:val="28"/>
          <w:szCs w:val="28"/>
        </w:rPr>
        <w:t>107</w:t>
      </w:r>
      <w:r w:rsidRPr="00FE3EE1">
        <w:rPr>
          <w:rFonts w:ascii="Times New Roman" w:eastAsia="標楷體" w:hAnsi="Times New Roman" w:hint="eastAsia"/>
          <w:b/>
          <w:bCs/>
          <w:spacing w:val="-6"/>
          <w:sz w:val="28"/>
          <w:szCs w:val="28"/>
        </w:rPr>
        <w:t>年</w:t>
      </w:r>
      <w:r w:rsidRPr="00FE3EE1">
        <w:rPr>
          <w:rFonts w:ascii="Times New Roman" w:eastAsia="標楷體" w:hAnsi="Times New Roman"/>
          <w:b/>
          <w:bCs/>
          <w:spacing w:val="-6"/>
          <w:sz w:val="28"/>
          <w:szCs w:val="28"/>
        </w:rPr>
        <w:t>各地方政府</w:t>
      </w:r>
      <w:r w:rsidRPr="00FE3EE1">
        <w:rPr>
          <w:rFonts w:ascii="Times New Roman" w:eastAsia="標楷體" w:hAnsi="Times New Roman" w:hint="eastAsia"/>
          <w:b/>
          <w:spacing w:val="-6"/>
          <w:sz w:val="28"/>
          <w:szCs w:val="28"/>
        </w:rPr>
        <w:t>中央法定以外老人福利現金給付之發放</w:t>
      </w:r>
      <w:r>
        <w:rPr>
          <w:rFonts w:ascii="Times New Roman" w:eastAsia="標楷體" w:hAnsi="Times New Roman" w:hint="eastAsia"/>
          <w:b/>
          <w:sz w:val="28"/>
          <w:szCs w:val="28"/>
        </w:rPr>
        <w:t>金額成長情形</w:t>
      </w:r>
    </w:p>
    <w:p w:rsidR="003017FD" w:rsidRPr="00D1475B" w:rsidRDefault="003017FD" w:rsidP="003017FD">
      <w:pPr>
        <w:kinsoku w:val="0"/>
        <w:overflowPunct w:val="0"/>
        <w:autoSpaceDE w:val="0"/>
        <w:autoSpaceDN w:val="0"/>
        <w:spacing w:line="320" w:lineRule="exact"/>
        <w:ind w:leftChars="40" w:left="739" w:hangingChars="268" w:hanging="643"/>
        <w:jc w:val="both"/>
        <w:rPr>
          <w:rFonts w:ascii="Times New Roman" w:eastAsia="標楷體" w:hAnsi="Times New Roman"/>
        </w:rPr>
      </w:pPr>
      <w:r>
        <w:rPr>
          <w:rFonts w:ascii="標楷體" w:eastAsia="標楷體" w:hAnsi="標楷體" w:hint="eastAsia"/>
          <w:szCs w:val="24"/>
        </w:rPr>
        <w:t>備註：</w:t>
      </w:r>
      <w:r w:rsidRPr="00D1475B">
        <w:rPr>
          <w:rFonts w:ascii="Times New Roman" w:eastAsia="標楷體" w:hAnsi="Times New Roman"/>
        </w:rPr>
        <w:t>105</w:t>
      </w:r>
      <w:r w:rsidRPr="00D1475B">
        <w:rPr>
          <w:rFonts w:ascii="Times New Roman" w:eastAsia="標楷體" w:hAnsi="Times New Roman"/>
        </w:rPr>
        <w:t>年起臺北市老人重陽敬老禮金設有排富條件，</w:t>
      </w:r>
      <w:r w:rsidRPr="00D1475B">
        <w:rPr>
          <w:rFonts w:ascii="Times New Roman" w:eastAsia="標楷體" w:hAnsi="Times New Roman"/>
        </w:rPr>
        <w:t>106</w:t>
      </w:r>
      <w:r w:rsidRPr="00D1475B">
        <w:rPr>
          <w:rFonts w:ascii="Times New Roman" w:eastAsia="標楷體" w:hAnsi="Times New Roman"/>
        </w:rPr>
        <w:t>年及</w:t>
      </w:r>
      <w:r w:rsidRPr="00D1475B">
        <w:rPr>
          <w:rFonts w:ascii="Times New Roman" w:eastAsia="標楷體" w:hAnsi="Times New Roman"/>
        </w:rPr>
        <w:t>107</w:t>
      </w:r>
      <w:r w:rsidRPr="00D1475B">
        <w:rPr>
          <w:rFonts w:ascii="Times New Roman" w:eastAsia="標楷體" w:hAnsi="Times New Roman"/>
        </w:rPr>
        <w:t>年新竹縣敬老福利津貼給付額度降低，因此</w:t>
      </w:r>
      <w:r w:rsidRPr="00D1475B">
        <w:rPr>
          <w:rFonts w:ascii="Times New Roman" w:eastAsia="標楷體" w:hAnsi="Times New Roman"/>
        </w:rPr>
        <w:t>105</w:t>
      </w:r>
      <w:r w:rsidRPr="00D1475B">
        <w:rPr>
          <w:rFonts w:ascii="Times New Roman" w:eastAsia="標楷體" w:hAnsi="Times New Roman"/>
        </w:rPr>
        <w:t>年及</w:t>
      </w:r>
      <w:r w:rsidRPr="00D1475B">
        <w:rPr>
          <w:rFonts w:ascii="Times New Roman" w:eastAsia="標楷體" w:hAnsi="Times New Roman"/>
        </w:rPr>
        <w:t>106</w:t>
      </w:r>
      <w:r w:rsidRPr="00D1475B">
        <w:rPr>
          <w:rFonts w:ascii="Times New Roman" w:eastAsia="標楷體" w:hAnsi="Times New Roman"/>
        </w:rPr>
        <w:t>年核發金額總計較</w:t>
      </w:r>
      <w:r w:rsidRPr="00D1475B">
        <w:rPr>
          <w:rFonts w:ascii="Times New Roman" w:eastAsia="標楷體" w:hAnsi="Times New Roman"/>
        </w:rPr>
        <w:t>104</w:t>
      </w:r>
      <w:r w:rsidRPr="00D1475B">
        <w:rPr>
          <w:rFonts w:ascii="Times New Roman" w:eastAsia="標楷體" w:hAnsi="Times New Roman"/>
        </w:rPr>
        <w:t>年為少。</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r w:rsidRPr="00775E59">
        <w:rPr>
          <w:rFonts w:ascii="標楷體" w:eastAsia="標楷體" w:hAnsi="標楷體"/>
          <w:szCs w:val="24"/>
        </w:rPr>
        <w:t>資料來源：衛福部</w:t>
      </w:r>
      <w:r w:rsidRPr="00775E59">
        <w:rPr>
          <w:rFonts w:ascii="標楷體" w:eastAsia="標楷體" w:hAnsi="標楷體" w:hint="eastAsia"/>
          <w:szCs w:val="24"/>
        </w:rPr>
        <w:t>，本院整理製圖</w:t>
      </w:r>
      <w:r w:rsidRPr="00775E59">
        <w:rPr>
          <w:rFonts w:ascii="標楷體" w:eastAsia="標楷體" w:hAnsi="標楷體"/>
          <w:szCs w:val="24"/>
        </w:rPr>
        <w:t>。</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Pr="00FE3EE1" w:rsidRDefault="003017FD" w:rsidP="003017FD">
      <w:pPr>
        <w:kinsoku w:val="0"/>
        <w:overflowPunct w:val="0"/>
        <w:autoSpaceDE w:val="0"/>
        <w:autoSpaceDN w:val="0"/>
        <w:spacing w:line="320" w:lineRule="exact"/>
        <w:ind w:leftChars="12" w:left="713" w:hangingChars="285" w:hanging="684"/>
        <w:jc w:val="center"/>
        <w:rPr>
          <w:rFonts w:ascii="標楷體" w:eastAsia="標楷體" w:hAnsi="標楷體" w:hint="eastAsia"/>
          <w:szCs w:val="24"/>
        </w:rPr>
      </w:pPr>
      <w:r>
        <w:rPr>
          <w:noProof/>
        </w:rPr>
        <w:drawing>
          <wp:anchor distT="0" distB="0" distL="114300" distR="114300" simplePos="0" relativeHeight="251661312" behindDoc="0" locked="0" layoutInCell="1" allowOverlap="1">
            <wp:simplePos x="0" y="0"/>
            <wp:positionH relativeFrom="column">
              <wp:posOffset>36830</wp:posOffset>
            </wp:positionH>
            <wp:positionV relativeFrom="paragraph">
              <wp:posOffset>-10795</wp:posOffset>
            </wp:positionV>
            <wp:extent cx="5448300" cy="2753995"/>
            <wp:effectExtent l="0" t="0" r="0" b="8255"/>
            <wp:wrapSquare wrapText="bothSides"/>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bCs/>
          <w:sz w:val="28"/>
          <w:szCs w:val="28"/>
        </w:rPr>
        <w:t>附圖</w:t>
      </w:r>
      <w:r>
        <w:rPr>
          <w:rFonts w:ascii="Times New Roman" w:eastAsia="標楷體" w:hAnsi="Times New Roman" w:hint="eastAsia"/>
          <w:b/>
          <w:bCs/>
          <w:sz w:val="28"/>
          <w:szCs w:val="28"/>
        </w:rPr>
        <w:t xml:space="preserve">2  </w:t>
      </w:r>
      <w:r w:rsidRPr="001A4701">
        <w:rPr>
          <w:rFonts w:ascii="Times New Roman" w:eastAsia="標楷體" w:hAnsi="Times New Roman" w:hint="eastAsia"/>
          <w:b/>
          <w:bCs/>
          <w:spacing w:val="-6"/>
          <w:sz w:val="28"/>
          <w:szCs w:val="28"/>
        </w:rPr>
        <w:t>100</w:t>
      </w:r>
      <w:r w:rsidRPr="001A4701">
        <w:rPr>
          <w:rFonts w:ascii="Times New Roman" w:eastAsia="標楷體" w:hAnsi="Times New Roman" w:hint="eastAsia"/>
          <w:b/>
          <w:bCs/>
          <w:spacing w:val="-6"/>
          <w:sz w:val="28"/>
          <w:szCs w:val="28"/>
        </w:rPr>
        <w:t>年至</w:t>
      </w:r>
      <w:r w:rsidRPr="001A4701">
        <w:rPr>
          <w:rFonts w:ascii="Times New Roman" w:eastAsia="標楷體" w:hAnsi="Times New Roman" w:hint="eastAsia"/>
          <w:b/>
          <w:bCs/>
          <w:spacing w:val="-6"/>
          <w:sz w:val="28"/>
          <w:szCs w:val="28"/>
        </w:rPr>
        <w:t>107</w:t>
      </w:r>
      <w:r w:rsidRPr="001A4701">
        <w:rPr>
          <w:rFonts w:ascii="Times New Roman" w:eastAsia="標楷體" w:hAnsi="Times New Roman" w:hint="eastAsia"/>
          <w:b/>
          <w:bCs/>
          <w:spacing w:val="-6"/>
          <w:sz w:val="28"/>
          <w:szCs w:val="28"/>
        </w:rPr>
        <w:t>年</w:t>
      </w:r>
      <w:r w:rsidRPr="001A4701">
        <w:rPr>
          <w:rFonts w:ascii="Times New Roman" w:eastAsia="標楷體" w:hAnsi="Times New Roman"/>
          <w:b/>
          <w:bCs/>
          <w:spacing w:val="-6"/>
          <w:sz w:val="28"/>
          <w:szCs w:val="28"/>
        </w:rPr>
        <w:t>各地方政府</w:t>
      </w:r>
      <w:r w:rsidRPr="001A4701">
        <w:rPr>
          <w:rFonts w:ascii="Times New Roman" w:eastAsia="標楷體" w:hAnsi="Times New Roman" w:hint="eastAsia"/>
          <w:b/>
          <w:spacing w:val="-6"/>
          <w:sz w:val="28"/>
          <w:szCs w:val="28"/>
        </w:rPr>
        <w:t>中央法定以外老人福利現金給付之發放</w:t>
      </w:r>
      <w:r>
        <w:rPr>
          <w:rFonts w:ascii="Times New Roman" w:eastAsia="標楷體" w:hAnsi="Times New Roman" w:hint="eastAsia"/>
          <w:b/>
          <w:spacing w:val="-6"/>
          <w:sz w:val="28"/>
          <w:szCs w:val="28"/>
        </w:rPr>
        <w:t>人數</w:t>
      </w:r>
      <w:r>
        <w:rPr>
          <w:rFonts w:ascii="Times New Roman" w:eastAsia="標楷體" w:hAnsi="Times New Roman" w:hint="eastAsia"/>
          <w:b/>
          <w:sz w:val="28"/>
          <w:szCs w:val="28"/>
        </w:rPr>
        <w:t>成長情形</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r w:rsidRPr="00775E59">
        <w:rPr>
          <w:rFonts w:ascii="標楷體" w:eastAsia="標楷體" w:hAnsi="標楷體"/>
          <w:szCs w:val="24"/>
        </w:rPr>
        <w:t>資料來源：衛福部</w:t>
      </w:r>
      <w:r w:rsidRPr="00775E59">
        <w:rPr>
          <w:rFonts w:ascii="標楷體" w:eastAsia="標楷體" w:hAnsi="標楷體" w:hint="eastAsia"/>
          <w:szCs w:val="24"/>
        </w:rPr>
        <w:t>，本院整理製圖</w:t>
      </w:r>
      <w:r w:rsidRPr="00775E59">
        <w:rPr>
          <w:rFonts w:ascii="標楷體" w:eastAsia="標楷體" w:hAnsi="標楷體"/>
          <w:szCs w:val="24"/>
        </w:rPr>
        <w:t>。</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Pr="00905AEA" w:rsidRDefault="003017FD" w:rsidP="003017FD">
      <w:pPr>
        <w:kinsoku w:val="0"/>
        <w:overflowPunct w:val="0"/>
        <w:autoSpaceDE w:val="0"/>
        <w:autoSpaceDN w:val="0"/>
        <w:spacing w:line="360" w:lineRule="exact"/>
        <w:ind w:firstLineChars="11" w:firstLine="26"/>
        <w:jc w:val="center"/>
        <w:rPr>
          <w:rFonts w:ascii="Times New Roman" w:eastAsia="標楷體" w:hAnsi="Times New Roman"/>
          <w:b/>
          <w:bCs/>
          <w:sz w:val="28"/>
          <w:szCs w:val="28"/>
        </w:rPr>
      </w:pPr>
      <w:r>
        <w:rPr>
          <w:noProof/>
        </w:rPr>
        <w:drawing>
          <wp:anchor distT="0" distB="0" distL="114300" distR="114300" simplePos="0" relativeHeight="251659264" behindDoc="0" locked="0" layoutInCell="1" allowOverlap="1">
            <wp:simplePos x="0" y="0"/>
            <wp:positionH relativeFrom="column">
              <wp:posOffset>36830</wp:posOffset>
            </wp:positionH>
            <wp:positionV relativeFrom="paragraph">
              <wp:posOffset>63500</wp:posOffset>
            </wp:positionV>
            <wp:extent cx="5448300" cy="2914650"/>
            <wp:effectExtent l="0" t="0" r="0" b="0"/>
            <wp:wrapSquare wrapText="bothSides"/>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bCs/>
          <w:sz w:val="28"/>
          <w:szCs w:val="28"/>
        </w:rPr>
        <w:t>附圖</w:t>
      </w:r>
      <w:r>
        <w:rPr>
          <w:rFonts w:ascii="Times New Roman" w:eastAsia="標楷體" w:hAnsi="Times New Roman" w:hint="eastAsia"/>
          <w:b/>
          <w:bCs/>
          <w:sz w:val="28"/>
          <w:szCs w:val="28"/>
        </w:rPr>
        <w:t xml:space="preserve">3  </w:t>
      </w:r>
      <w:r w:rsidRPr="001A4701">
        <w:rPr>
          <w:rFonts w:ascii="Times New Roman" w:eastAsia="標楷體" w:hAnsi="Times New Roman" w:hint="eastAsia"/>
          <w:b/>
          <w:bCs/>
          <w:spacing w:val="-6"/>
          <w:sz w:val="28"/>
          <w:szCs w:val="28"/>
        </w:rPr>
        <w:t>103</w:t>
      </w:r>
      <w:r w:rsidRPr="001A4701">
        <w:rPr>
          <w:rFonts w:ascii="Times New Roman" w:eastAsia="標楷體" w:hAnsi="Times New Roman" w:hint="eastAsia"/>
          <w:b/>
          <w:bCs/>
          <w:spacing w:val="-6"/>
          <w:sz w:val="28"/>
          <w:szCs w:val="28"/>
        </w:rPr>
        <w:t>年至</w:t>
      </w:r>
      <w:r w:rsidRPr="001A4701">
        <w:rPr>
          <w:rFonts w:ascii="Times New Roman" w:eastAsia="標楷體" w:hAnsi="Times New Roman" w:hint="eastAsia"/>
          <w:b/>
          <w:bCs/>
          <w:spacing w:val="-6"/>
          <w:sz w:val="28"/>
          <w:szCs w:val="28"/>
        </w:rPr>
        <w:t>107</w:t>
      </w:r>
      <w:r w:rsidRPr="001A4701">
        <w:rPr>
          <w:rFonts w:ascii="Times New Roman" w:eastAsia="標楷體" w:hAnsi="Times New Roman" w:hint="eastAsia"/>
          <w:b/>
          <w:bCs/>
          <w:spacing w:val="-6"/>
          <w:sz w:val="28"/>
          <w:szCs w:val="28"/>
        </w:rPr>
        <w:t>年</w:t>
      </w:r>
      <w:r w:rsidRPr="001A4701">
        <w:rPr>
          <w:rFonts w:ascii="Times New Roman" w:eastAsia="標楷體" w:hAnsi="Times New Roman"/>
          <w:b/>
          <w:bCs/>
          <w:spacing w:val="-6"/>
          <w:sz w:val="28"/>
          <w:szCs w:val="28"/>
        </w:rPr>
        <w:t>各地方政府</w:t>
      </w:r>
      <w:r w:rsidRPr="001A4701">
        <w:rPr>
          <w:rFonts w:ascii="Times New Roman" w:eastAsia="標楷體" w:hAnsi="Times New Roman" w:hint="eastAsia"/>
          <w:b/>
          <w:spacing w:val="-6"/>
          <w:sz w:val="28"/>
          <w:szCs w:val="28"/>
        </w:rPr>
        <w:t>中央法定以外老人福利現金給付之支出</w:t>
      </w:r>
      <w:r>
        <w:rPr>
          <w:rFonts w:ascii="Times New Roman" w:eastAsia="標楷體" w:hAnsi="Times New Roman" w:hint="eastAsia"/>
          <w:b/>
          <w:sz w:val="28"/>
          <w:szCs w:val="28"/>
        </w:rPr>
        <w:t>預算占各該地方政府社福支出之比率</w:t>
      </w:r>
    </w:p>
    <w:p w:rsidR="003017FD" w:rsidRPr="00F72042" w:rsidRDefault="003017FD" w:rsidP="003017FD">
      <w:pPr>
        <w:autoSpaceDE w:val="0"/>
        <w:autoSpaceDN w:val="0"/>
        <w:spacing w:line="320" w:lineRule="exact"/>
        <w:ind w:leftChars="40" w:left="739" w:hangingChars="268" w:hanging="643"/>
        <w:jc w:val="both"/>
        <w:rPr>
          <w:rFonts w:ascii="標楷體" w:eastAsia="標楷體" w:hAnsi="標楷體"/>
          <w:szCs w:val="24"/>
        </w:rPr>
      </w:pPr>
      <w:r>
        <w:rPr>
          <w:rFonts w:ascii="標楷體" w:eastAsia="標楷體" w:hAnsi="標楷體" w:hint="eastAsia"/>
          <w:szCs w:val="24"/>
        </w:rPr>
        <w:t>備註：</w:t>
      </w:r>
      <w:r w:rsidRPr="00F72042">
        <w:rPr>
          <w:rFonts w:ascii="Times New Roman" w:eastAsia="標楷體" w:hAnsi="Times New Roman"/>
          <w:szCs w:val="24"/>
        </w:rPr>
        <w:t>本圖係</w:t>
      </w:r>
      <w:r>
        <w:rPr>
          <w:rFonts w:ascii="Times New Roman" w:eastAsia="標楷體" w:hAnsi="Times New Roman" w:hint="eastAsia"/>
          <w:szCs w:val="24"/>
        </w:rPr>
        <w:t>就</w:t>
      </w:r>
      <w:r w:rsidRPr="00F72042">
        <w:rPr>
          <w:rFonts w:ascii="Times New Roman" w:eastAsia="標楷體" w:hAnsi="Times New Roman"/>
          <w:szCs w:val="24"/>
        </w:rPr>
        <w:t>各地方政府自行辦理且逾主計總處所設預警門檻的老人福利現金給付項目</w:t>
      </w:r>
      <w:r w:rsidRPr="00F72042">
        <w:rPr>
          <w:rFonts w:ascii="Times New Roman" w:eastAsia="標楷體" w:hAnsi="Times New Roman"/>
          <w:szCs w:val="24"/>
        </w:rPr>
        <w:t>(</w:t>
      </w:r>
      <w:r w:rsidRPr="00F72042">
        <w:rPr>
          <w:rFonts w:ascii="Times New Roman" w:eastAsia="標楷體" w:hAnsi="Times New Roman"/>
          <w:szCs w:val="24"/>
        </w:rPr>
        <w:t>預警門檻：財力級次第</w:t>
      </w:r>
      <w:r w:rsidRPr="00F72042">
        <w:rPr>
          <w:rFonts w:ascii="Times New Roman" w:eastAsia="標楷體" w:hAnsi="Times New Roman"/>
          <w:szCs w:val="24"/>
        </w:rPr>
        <w:t>1</w:t>
      </w:r>
      <w:r w:rsidRPr="00F72042">
        <w:rPr>
          <w:rFonts w:ascii="Times New Roman" w:eastAsia="標楷體" w:hAnsi="Times New Roman"/>
          <w:szCs w:val="24"/>
        </w:rPr>
        <w:t>至</w:t>
      </w:r>
      <w:r w:rsidRPr="00F72042">
        <w:rPr>
          <w:rFonts w:ascii="Times New Roman" w:eastAsia="標楷體" w:hAnsi="Times New Roman"/>
          <w:szCs w:val="24"/>
        </w:rPr>
        <w:t>4</w:t>
      </w:r>
      <w:r w:rsidRPr="00F72042">
        <w:rPr>
          <w:rFonts w:ascii="Times New Roman" w:eastAsia="標楷體" w:hAnsi="Times New Roman"/>
          <w:szCs w:val="24"/>
        </w:rPr>
        <w:t>級者為</w:t>
      </w:r>
      <w:r w:rsidRPr="00F72042">
        <w:rPr>
          <w:rFonts w:ascii="Times New Roman" w:eastAsia="標楷體" w:hAnsi="Times New Roman"/>
          <w:szCs w:val="24"/>
        </w:rPr>
        <w:t>5,000</w:t>
      </w:r>
      <w:r w:rsidRPr="00F72042">
        <w:rPr>
          <w:rFonts w:ascii="Times New Roman" w:eastAsia="標楷體" w:hAnsi="Times New Roman"/>
          <w:szCs w:val="24"/>
        </w:rPr>
        <w:t>萬元，第</w:t>
      </w:r>
      <w:r w:rsidRPr="00F72042">
        <w:rPr>
          <w:rFonts w:ascii="Times New Roman" w:eastAsia="標楷體" w:hAnsi="Times New Roman"/>
          <w:szCs w:val="24"/>
        </w:rPr>
        <w:t>5</w:t>
      </w:r>
      <w:r w:rsidRPr="00F72042">
        <w:rPr>
          <w:rFonts w:ascii="Times New Roman" w:eastAsia="標楷體" w:hAnsi="Times New Roman"/>
          <w:szCs w:val="24"/>
        </w:rPr>
        <w:t>級者為</w:t>
      </w:r>
      <w:r w:rsidRPr="00F72042">
        <w:rPr>
          <w:rFonts w:ascii="Times New Roman" w:eastAsia="標楷體" w:hAnsi="Times New Roman"/>
          <w:szCs w:val="24"/>
        </w:rPr>
        <w:t>1,000</w:t>
      </w:r>
      <w:r w:rsidRPr="00F72042">
        <w:rPr>
          <w:rFonts w:ascii="Times New Roman" w:eastAsia="標楷體" w:hAnsi="Times New Roman"/>
          <w:szCs w:val="24"/>
        </w:rPr>
        <w:t>萬元</w:t>
      </w:r>
      <w:r w:rsidRPr="00F72042">
        <w:rPr>
          <w:rFonts w:ascii="Times New Roman" w:eastAsia="標楷體" w:hAnsi="Times New Roman"/>
          <w:szCs w:val="24"/>
        </w:rPr>
        <w:t>)</w:t>
      </w:r>
      <w:r w:rsidRPr="00F72042">
        <w:rPr>
          <w:rFonts w:ascii="Times New Roman" w:eastAsia="標楷體" w:hAnsi="Times New Roman"/>
          <w:szCs w:val="24"/>
        </w:rPr>
        <w:t>，苗栗縣、南投縣、屏東縣及花蓮縣因未逾預警門檻，故未列入統計；另臺北市老人重陽敬老禮金自</w:t>
      </w:r>
      <w:r w:rsidRPr="00F72042">
        <w:rPr>
          <w:rFonts w:ascii="Times New Roman" w:eastAsia="標楷體" w:hAnsi="Times New Roman"/>
          <w:szCs w:val="24"/>
        </w:rPr>
        <w:t>105</w:t>
      </w:r>
      <w:r w:rsidRPr="00F72042">
        <w:rPr>
          <w:rFonts w:ascii="Times New Roman" w:eastAsia="標楷體" w:hAnsi="Times New Roman"/>
          <w:szCs w:val="24"/>
        </w:rPr>
        <w:t>年起設有排富條件，預算金額未逾預警門檻，故自</w:t>
      </w:r>
      <w:r w:rsidRPr="00F72042">
        <w:rPr>
          <w:rFonts w:ascii="Times New Roman" w:eastAsia="標楷體" w:hAnsi="Times New Roman"/>
          <w:szCs w:val="24"/>
        </w:rPr>
        <w:t>105</w:t>
      </w:r>
      <w:r w:rsidRPr="00F72042">
        <w:rPr>
          <w:rFonts w:ascii="Times New Roman" w:eastAsia="標楷體" w:hAnsi="Times New Roman"/>
          <w:szCs w:val="24"/>
        </w:rPr>
        <w:t>年未列入統計。</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r w:rsidRPr="00775E59">
        <w:rPr>
          <w:rFonts w:ascii="標楷體" w:eastAsia="標楷體" w:hAnsi="標楷體"/>
          <w:szCs w:val="24"/>
        </w:rPr>
        <w:t>資料來源：</w:t>
      </w:r>
      <w:r>
        <w:rPr>
          <w:rFonts w:ascii="標楷體" w:eastAsia="標楷體" w:hAnsi="標楷體" w:hint="eastAsia"/>
          <w:szCs w:val="24"/>
        </w:rPr>
        <w:t>主計總處</w:t>
      </w:r>
      <w:r w:rsidRPr="00775E59">
        <w:rPr>
          <w:rFonts w:ascii="標楷體" w:eastAsia="標楷體" w:hAnsi="標楷體" w:hint="eastAsia"/>
          <w:szCs w:val="24"/>
        </w:rPr>
        <w:t>，本院整理製圖</w:t>
      </w:r>
      <w:r w:rsidRPr="00775E59">
        <w:rPr>
          <w:rFonts w:ascii="標楷體" w:eastAsia="標楷體" w:hAnsi="標楷體"/>
          <w:szCs w:val="24"/>
        </w:rPr>
        <w:t>。</w:t>
      </w:r>
    </w:p>
    <w:p w:rsidR="003017FD" w:rsidRDefault="003017FD" w:rsidP="003017FD">
      <w:pPr>
        <w:spacing w:afterLines="50" w:after="180" w:line="320" w:lineRule="exact"/>
        <w:ind w:leftChars="12" w:left="999" w:hangingChars="404" w:hanging="970"/>
        <w:rPr>
          <w:rFonts w:ascii="標楷體" w:eastAsia="標楷體" w:hAnsi="標楷體" w:hint="eastAsia"/>
          <w:szCs w:val="24"/>
        </w:rPr>
      </w:pPr>
    </w:p>
    <w:p w:rsidR="003017FD" w:rsidRDefault="003017FD" w:rsidP="003017FD">
      <w:pPr>
        <w:spacing w:afterLines="50" w:after="180" w:line="320" w:lineRule="exact"/>
        <w:ind w:leftChars="-309" w:left="1000" w:rightChars="-227" w:right="-545" w:hangingChars="725" w:hanging="1742"/>
        <w:rPr>
          <w:rFonts w:ascii="Times New Roman" w:eastAsia="標楷體" w:hAnsi="Times New Roman"/>
          <w:b/>
          <w:bCs/>
          <w:szCs w:val="24"/>
        </w:rPr>
        <w:sectPr w:rsidR="003017FD" w:rsidSect="00C77F2E">
          <w:headerReference w:type="even" r:id="rId7"/>
          <w:headerReference w:type="default" r:id="rId8"/>
          <w:footerReference w:type="default" r:id="rId9"/>
          <w:pgSz w:w="11906" w:h="16838"/>
          <w:pgMar w:top="1440" w:right="1603" w:bottom="1440" w:left="1652" w:header="851" w:footer="420" w:gutter="0"/>
          <w:cols w:space="425"/>
          <w:docGrid w:type="lines" w:linePitch="360"/>
        </w:sectPr>
      </w:pPr>
    </w:p>
    <w:p w:rsidR="003017FD" w:rsidRPr="00DA6DDC" w:rsidRDefault="003017FD" w:rsidP="003017FD">
      <w:pPr>
        <w:spacing w:line="400" w:lineRule="exact"/>
        <w:ind w:leftChars="-326" w:left="996" w:rightChars="-227" w:right="-545" w:hangingChars="741" w:hanging="1778"/>
        <w:jc w:val="center"/>
        <w:rPr>
          <w:rFonts w:ascii="Times New Roman" w:eastAsia="標楷體" w:hAnsi="Times New Roman"/>
          <w:b/>
          <w:bCs/>
          <w:sz w:val="28"/>
          <w:szCs w:val="28"/>
        </w:rPr>
      </w:pPr>
      <w:r>
        <w:rPr>
          <w:noProof/>
        </w:rPr>
        <w:lastRenderedPageBreak/>
        <w:drawing>
          <wp:anchor distT="0" distB="0" distL="114300" distR="114300" simplePos="0" relativeHeight="251662336" behindDoc="0" locked="0" layoutInCell="1" allowOverlap="1">
            <wp:simplePos x="0" y="0"/>
            <wp:positionH relativeFrom="column">
              <wp:posOffset>-25400</wp:posOffset>
            </wp:positionH>
            <wp:positionV relativeFrom="paragraph">
              <wp:posOffset>60325</wp:posOffset>
            </wp:positionV>
            <wp:extent cx="8923655" cy="4114800"/>
            <wp:effectExtent l="0" t="0" r="0" b="0"/>
            <wp:wrapSquare wrapText="bothSides"/>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365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DDC">
        <w:rPr>
          <w:rFonts w:ascii="Times New Roman" w:eastAsia="標楷體" w:hAnsi="Times New Roman" w:hint="eastAsia"/>
          <w:b/>
          <w:bCs/>
          <w:sz w:val="28"/>
          <w:szCs w:val="28"/>
        </w:rPr>
        <w:t>附圖</w:t>
      </w:r>
      <w:r w:rsidRPr="00DA6DDC">
        <w:rPr>
          <w:rFonts w:ascii="Times New Roman" w:eastAsia="標楷體" w:hAnsi="Times New Roman" w:hint="eastAsia"/>
          <w:b/>
          <w:bCs/>
          <w:sz w:val="28"/>
          <w:szCs w:val="28"/>
        </w:rPr>
        <w:t>4</w:t>
      </w:r>
      <w:r w:rsidRPr="00DA6DDC">
        <w:rPr>
          <w:rFonts w:ascii="Times New Roman" w:eastAsia="標楷體" w:hAnsi="Times New Roman" w:hint="eastAsia"/>
          <w:b/>
          <w:bCs/>
          <w:sz w:val="28"/>
          <w:szCs w:val="28"/>
        </w:rPr>
        <w:t>、</w:t>
      </w:r>
      <w:r w:rsidRPr="00DA6DDC">
        <w:rPr>
          <w:rFonts w:ascii="Times New Roman" w:eastAsia="標楷體" w:hAnsi="Times New Roman"/>
          <w:b/>
          <w:bCs/>
          <w:sz w:val="28"/>
          <w:szCs w:val="28"/>
        </w:rPr>
        <w:t>107</w:t>
      </w:r>
      <w:r w:rsidRPr="00DA6DDC">
        <w:rPr>
          <w:rFonts w:ascii="Times New Roman" w:eastAsia="標楷體" w:hAnsi="Times New Roman"/>
          <w:b/>
          <w:bCs/>
          <w:sz w:val="28"/>
          <w:szCs w:val="28"/>
        </w:rPr>
        <w:t>年各地方政府中央法定以外老人福利現金給付</w:t>
      </w:r>
      <w:r>
        <w:rPr>
          <w:rFonts w:ascii="Times New Roman" w:eastAsia="標楷體" w:hAnsi="Times New Roman" w:hint="eastAsia"/>
          <w:b/>
          <w:bCs/>
          <w:sz w:val="28"/>
          <w:szCs w:val="28"/>
        </w:rPr>
        <w:t>之支出預算</w:t>
      </w:r>
      <w:r w:rsidRPr="00DA6DDC">
        <w:rPr>
          <w:rFonts w:ascii="Times New Roman" w:eastAsia="標楷體" w:hAnsi="Times New Roman"/>
          <w:b/>
          <w:bCs/>
          <w:sz w:val="28"/>
          <w:szCs w:val="28"/>
        </w:rPr>
        <w:t>占</w:t>
      </w:r>
      <w:r>
        <w:rPr>
          <w:rFonts w:ascii="Times New Roman" w:eastAsia="標楷體" w:hAnsi="Times New Roman" w:hint="eastAsia"/>
          <w:b/>
          <w:bCs/>
          <w:sz w:val="28"/>
          <w:szCs w:val="28"/>
        </w:rPr>
        <w:t>各該地方政府</w:t>
      </w:r>
      <w:r w:rsidRPr="00DA6DDC">
        <w:rPr>
          <w:rFonts w:ascii="Times New Roman" w:eastAsia="標楷體" w:hAnsi="Times New Roman"/>
          <w:b/>
          <w:bCs/>
          <w:sz w:val="28"/>
          <w:szCs w:val="28"/>
        </w:rPr>
        <w:t>社福支出之比重</w:t>
      </w:r>
    </w:p>
    <w:p w:rsidR="003017FD" w:rsidRPr="00F72042" w:rsidRDefault="003017FD" w:rsidP="003017FD">
      <w:pPr>
        <w:autoSpaceDE w:val="0"/>
        <w:autoSpaceDN w:val="0"/>
        <w:spacing w:line="320" w:lineRule="exact"/>
        <w:ind w:left="713" w:right="2" w:hangingChars="297" w:hanging="713"/>
        <w:jc w:val="both"/>
        <w:rPr>
          <w:rFonts w:ascii="標楷體" w:eastAsia="標楷體" w:hAnsi="標楷體"/>
          <w:szCs w:val="24"/>
        </w:rPr>
      </w:pPr>
      <w:r>
        <w:rPr>
          <w:rFonts w:ascii="標楷體" w:eastAsia="標楷體" w:hAnsi="標楷體" w:hint="eastAsia"/>
          <w:szCs w:val="24"/>
        </w:rPr>
        <w:t>備註：</w:t>
      </w:r>
      <w:r w:rsidRPr="00F72042">
        <w:rPr>
          <w:rFonts w:ascii="Times New Roman" w:eastAsia="標楷體" w:hAnsi="Times New Roman"/>
          <w:szCs w:val="24"/>
        </w:rPr>
        <w:t>本圖係</w:t>
      </w:r>
      <w:r>
        <w:rPr>
          <w:rFonts w:ascii="Times New Roman" w:eastAsia="標楷體" w:hAnsi="Times New Roman" w:hint="eastAsia"/>
          <w:szCs w:val="24"/>
        </w:rPr>
        <w:t>就</w:t>
      </w:r>
      <w:r w:rsidRPr="00F72042">
        <w:rPr>
          <w:rFonts w:ascii="Times New Roman" w:eastAsia="標楷體" w:hAnsi="Times New Roman"/>
          <w:szCs w:val="24"/>
        </w:rPr>
        <w:t>各地方政府自行辦理且逾主計總處所設預警門檻的老人福利現金給付項目</w:t>
      </w:r>
      <w:r w:rsidRPr="00F72042">
        <w:rPr>
          <w:rFonts w:ascii="Times New Roman" w:eastAsia="標楷體" w:hAnsi="Times New Roman"/>
          <w:szCs w:val="24"/>
        </w:rPr>
        <w:t>(</w:t>
      </w:r>
      <w:r w:rsidRPr="00F72042">
        <w:rPr>
          <w:rFonts w:ascii="Times New Roman" w:eastAsia="標楷體" w:hAnsi="Times New Roman"/>
          <w:szCs w:val="24"/>
        </w:rPr>
        <w:t>預警門檻：財力級次第</w:t>
      </w:r>
      <w:r w:rsidRPr="00F72042">
        <w:rPr>
          <w:rFonts w:ascii="Times New Roman" w:eastAsia="標楷體" w:hAnsi="Times New Roman"/>
          <w:szCs w:val="24"/>
        </w:rPr>
        <w:t>1</w:t>
      </w:r>
      <w:r w:rsidRPr="00F72042">
        <w:rPr>
          <w:rFonts w:ascii="Times New Roman" w:eastAsia="標楷體" w:hAnsi="Times New Roman"/>
          <w:szCs w:val="24"/>
        </w:rPr>
        <w:t>至</w:t>
      </w:r>
      <w:r w:rsidRPr="00F72042">
        <w:rPr>
          <w:rFonts w:ascii="Times New Roman" w:eastAsia="標楷體" w:hAnsi="Times New Roman"/>
          <w:szCs w:val="24"/>
        </w:rPr>
        <w:t>4</w:t>
      </w:r>
      <w:r w:rsidRPr="00F72042">
        <w:rPr>
          <w:rFonts w:ascii="Times New Roman" w:eastAsia="標楷體" w:hAnsi="Times New Roman"/>
          <w:szCs w:val="24"/>
        </w:rPr>
        <w:t>級者為</w:t>
      </w:r>
      <w:r w:rsidRPr="00F72042">
        <w:rPr>
          <w:rFonts w:ascii="Times New Roman" w:eastAsia="標楷體" w:hAnsi="Times New Roman"/>
          <w:szCs w:val="24"/>
        </w:rPr>
        <w:t>5,000</w:t>
      </w:r>
      <w:r w:rsidRPr="00F72042">
        <w:rPr>
          <w:rFonts w:ascii="Times New Roman" w:eastAsia="標楷體" w:hAnsi="Times New Roman"/>
          <w:szCs w:val="24"/>
        </w:rPr>
        <w:t>萬元，第</w:t>
      </w:r>
      <w:r w:rsidRPr="00F72042">
        <w:rPr>
          <w:rFonts w:ascii="Times New Roman" w:eastAsia="標楷體" w:hAnsi="Times New Roman"/>
          <w:szCs w:val="24"/>
        </w:rPr>
        <w:t>5</w:t>
      </w:r>
      <w:r w:rsidRPr="00F72042">
        <w:rPr>
          <w:rFonts w:ascii="Times New Roman" w:eastAsia="標楷體" w:hAnsi="Times New Roman"/>
          <w:szCs w:val="24"/>
        </w:rPr>
        <w:t>級者為</w:t>
      </w:r>
      <w:r w:rsidRPr="00F72042">
        <w:rPr>
          <w:rFonts w:ascii="Times New Roman" w:eastAsia="標楷體" w:hAnsi="Times New Roman"/>
          <w:szCs w:val="24"/>
        </w:rPr>
        <w:t>1,000</w:t>
      </w:r>
      <w:r w:rsidRPr="00F72042">
        <w:rPr>
          <w:rFonts w:ascii="Times New Roman" w:eastAsia="標楷體" w:hAnsi="Times New Roman"/>
          <w:szCs w:val="24"/>
        </w:rPr>
        <w:t>萬元</w:t>
      </w:r>
      <w:r w:rsidRPr="00F72042">
        <w:rPr>
          <w:rFonts w:ascii="Times New Roman" w:eastAsia="標楷體" w:hAnsi="Times New Roman"/>
          <w:szCs w:val="24"/>
        </w:rPr>
        <w:t>)</w:t>
      </w:r>
      <w:r w:rsidRPr="00F72042">
        <w:rPr>
          <w:rFonts w:ascii="Times New Roman" w:eastAsia="標楷體" w:hAnsi="Times New Roman"/>
          <w:szCs w:val="24"/>
        </w:rPr>
        <w:t>，苗栗縣、南投縣、屏東縣及花蓮縣因未逾預警門檻，故未列入統計；另臺北市老人重陽敬老禮金自</w:t>
      </w:r>
      <w:r w:rsidRPr="00F72042">
        <w:rPr>
          <w:rFonts w:ascii="Times New Roman" w:eastAsia="標楷體" w:hAnsi="Times New Roman"/>
          <w:szCs w:val="24"/>
        </w:rPr>
        <w:t>105</w:t>
      </w:r>
      <w:r w:rsidRPr="00F72042">
        <w:rPr>
          <w:rFonts w:ascii="Times New Roman" w:eastAsia="標楷體" w:hAnsi="Times New Roman"/>
          <w:szCs w:val="24"/>
        </w:rPr>
        <w:t>年起設有排富條件，預算金額未逾預警門檻，故自</w:t>
      </w:r>
      <w:r w:rsidRPr="00F72042">
        <w:rPr>
          <w:rFonts w:ascii="Times New Roman" w:eastAsia="標楷體" w:hAnsi="Times New Roman"/>
          <w:szCs w:val="24"/>
        </w:rPr>
        <w:t>105</w:t>
      </w:r>
      <w:r w:rsidRPr="00F72042">
        <w:rPr>
          <w:rFonts w:ascii="Times New Roman" w:eastAsia="標楷體" w:hAnsi="Times New Roman"/>
          <w:szCs w:val="24"/>
        </w:rPr>
        <w:t>年未列入統計。</w:t>
      </w:r>
    </w:p>
    <w:p w:rsidR="003017FD" w:rsidRDefault="003017FD" w:rsidP="003017FD">
      <w:pPr>
        <w:spacing w:afterLines="50" w:after="180" w:line="320" w:lineRule="exact"/>
        <w:ind w:leftChars="-18" w:left="994" w:rightChars="-227" w:right="-545" w:hangingChars="432" w:hanging="1037"/>
        <w:rPr>
          <w:rFonts w:ascii="Times New Roman" w:eastAsia="標楷體" w:hAnsi="Times New Roman" w:hint="eastAsia"/>
          <w:b/>
          <w:bCs/>
          <w:szCs w:val="24"/>
        </w:rPr>
      </w:pPr>
      <w:r w:rsidRPr="00775E59">
        <w:rPr>
          <w:rFonts w:ascii="標楷體" w:eastAsia="標楷體" w:hAnsi="標楷體"/>
          <w:szCs w:val="24"/>
        </w:rPr>
        <w:t>資料來源：</w:t>
      </w:r>
      <w:r>
        <w:rPr>
          <w:rFonts w:ascii="標楷體" w:eastAsia="標楷體" w:hAnsi="標楷體" w:hint="eastAsia"/>
          <w:szCs w:val="24"/>
        </w:rPr>
        <w:t>主計總處</w:t>
      </w:r>
      <w:r w:rsidRPr="00775E59">
        <w:rPr>
          <w:rFonts w:ascii="標楷體" w:eastAsia="標楷體" w:hAnsi="標楷體" w:hint="eastAsia"/>
          <w:szCs w:val="24"/>
        </w:rPr>
        <w:t>，本院整理製圖</w:t>
      </w:r>
      <w:r w:rsidRPr="00775E59">
        <w:rPr>
          <w:rFonts w:ascii="標楷體" w:eastAsia="標楷體" w:hAnsi="標楷體"/>
          <w:szCs w:val="24"/>
        </w:rPr>
        <w:t>。</w:t>
      </w:r>
    </w:p>
    <w:p w:rsidR="003017FD" w:rsidRDefault="003017FD" w:rsidP="003017FD">
      <w:pPr>
        <w:spacing w:afterLines="50" w:after="180" w:line="320" w:lineRule="exact"/>
        <w:ind w:leftChars="-309" w:left="1000" w:rightChars="-227" w:right="-545" w:hangingChars="725" w:hanging="1742"/>
        <w:rPr>
          <w:rFonts w:ascii="Times New Roman" w:eastAsia="標楷體" w:hAnsi="Times New Roman"/>
          <w:b/>
          <w:bCs/>
          <w:szCs w:val="24"/>
        </w:rPr>
        <w:sectPr w:rsidR="003017FD" w:rsidSect="00DA6DDC">
          <w:pgSz w:w="16838" w:h="11906" w:orient="landscape"/>
          <w:pgMar w:top="1652" w:right="1440" w:bottom="1603" w:left="1440" w:header="851" w:footer="420" w:gutter="0"/>
          <w:cols w:space="425"/>
          <w:docGrid w:type="lines" w:linePitch="360"/>
        </w:sectPr>
      </w:pPr>
    </w:p>
    <w:p w:rsidR="003017FD" w:rsidRPr="00CF5A06" w:rsidRDefault="003017FD" w:rsidP="003017FD">
      <w:pPr>
        <w:spacing w:line="360" w:lineRule="exact"/>
        <w:ind w:leftChars="-239" w:left="1260" w:rightChars="-227" w:right="-545" w:hangingChars="655" w:hanging="1834"/>
        <w:jc w:val="center"/>
        <w:rPr>
          <w:rFonts w:ascii="Times New Roman" w:eastAsia="標楷體" w:hAnsi="Times New Roman" w:hint="eastAsia"/>
          <w:b/>
          <w:bCs/>
          <w:spacing w:val="-10"/>
          <w:sz w:val="28"/>
          <w:szCs w:val="28"/>
        </w:rPr>
      </w:pPr>
      <w:r w:rsidRPr="00CF5A06">
        <w:rPr>
          <w:noProof/>
          <w:spacing w:val="-10"/>
          <w:sz w:val="28"/>
          <w:szCs w:val="28"/>
        </w:rPr>
        <w:lastRenderedPageBreak/>
        <w:drawing>
          <wp:anchor distT="0" distB="0" distL="114300" distR="114300" simplePos="0" relativeHeight="251660288" behindDoc="0" locked="0" layoutInCell="1" allowOverlap="1">
            <wp:simplePos x="0" y="0"/>
            <wp:positionH relativeFrom="column">
              <wp:posOffset>-352425</wp:posOffset>
            </wp:positionH>
            <wp:positionV relativeFrom="paragraph">
              <wp:posOffset>189230</wp:posOffset>
            </wp:positionV>
            <wp:extent cx="9504680" cy="4162425"/>
            <wp:effectExtent l="0" t="0" r="1270" b="9525"/>
            <wp:wrapSquare wrapText="bothSides"/>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4680"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A06">
        <w:rPr>
          <w:rFonts w:ascii="Times New Roman" w:eastAsia="標楷體" w:hAnsi="Times New Roman"/>
          <w:b/>
          <w:bCs/>
          <w:spacing w:val="-10"/>
          <w:sz w:val="28"/>
          <w:szCs w:val="28"/>
        </w:rPr>
        <w:t>附圖</w:t>
      </w:r>
      <w:r w:rsidRPr="00CF5A06">
        <w:rPr>
          <w:rFonts w:ascii="Times New Roman" w:eastAsia="標楷體" w:hAnsi="Times New Roman" w:hint="eastAsia"/>
          <w:b/>
          <w:bCs/>
          <w:spacing w:val="-10"/>
          <w:sz w:val="28"/>
          <w:szCs w:val="28"/>
        </w:rPr>
        <w:t>5</w:t>
      </w:r>
      <w:r w:rsidRPr="00CF5A06">
        <w:rPr>
          <w:rFonts w:ascii="Times New Roman" w:eastAsia="標楷體" w:hAnsi="Times New Roman"/>
          <w:b/>
          <w:bCs/>
          <w:spacing w:val="-10"/>
          <w:sz w:val="28"/>
          <w:szCs w:val="28"/>
        </w:rPr>
        <w:t>、</w:t>
      </w:r>
      <w:r w:rsidRPr="00CF5A06">
        <w:rPr>
          <w:rFonts w:ascii="Times New Roman" w:eastAsia="標楷體" w:hAnsi="Times New Roman"/>
          <w:b/>
          <w:bCs/>
          <w:spacing w:val="-10"/>
          <w:sz w:val="28"/>
          <w:szCs w:val="28"/>
        </w:rPr>
        <w:t>107</w:t>
      </w:r>
      <w:r w:rsidRPr="00CF5A06">
        <w:rPr>
          <w:rFonts w:ascii="Times New Roman" w:eastAsia="標楷體" w:hAnsi="Times New Roman"/>
          <w:b/>
          <w:bCs/>
          <w:spacing w:val="-10"/>
          <w:sz w:val="28"/>
          <w:szCs w:val="28"/>
        </w:rPr>
        <w:t>年各地方政府中央法定以外老人福利現金給付之核發</w:t>
      </w:r>
      <w:r w:rsidRPr="00CF5A06">
        <w:rPr>
          <w:rFonts w:ascii="Times New Roman" w:eastAsia="標楷體" w:hAnsi="Times New Roman" w:hint="eastAsia"/>
          <w:b/>
          <w:bCs/>
          <w:spacing w:val="-10"/>
          <w:sz w:val="28"/>
          <w:szCs w:val="28"/>
        </w:rPr>
        <w:t>金額</w:t>
      </w:r>
      <w:r w:rsidRPr="00CF5A06">
        <w:rPr>
          <w:rFonts w:ascii="Times New Roman" w:eastAsia="標楷體" w:hAnsi="Times New Roman"/>
          <w:b/>
          <w:bCs/>
          <w:spacing w:val="-10"/>
          <w:sz w:val="28"/>
          <w:szCs w:val="28"/>
        </w:rPr>
        <w:t>占</w:t>
      </w:r>
      <w:r w:rsidRPr="00CF5A06">
        <w:rPr>
          <w:rFonts w:ascii="Times New Roman" w:eastAsia="標楷體" w:hAnsi="Times New Roman" w:hint="eastAsia"/>
          <w:b/>
          <w:bCs/>
          <w:spacing w:val="-10"/>
          <w:sz w:val="28"/>
          <w:szCs w:val="28"/>
        </w:rPr>
        <w:t>各該地方政府社政單位社福支出及老人福利經費之比率</w:t>
      </w:r>
    </w:p>
    <w:p w:rsidR="003017FD" w:rsidRPr="0039434F" w:rsidRDefault="003017FD" w:rsidP="003017FD">
      <w:pPr>
        <w:spacing w:line="320" w:lineRule="exact"/>
        <w:ind w:leftChars="-228" w:left="154" w:rightChars="-31" w:right="-74" w:hangingChars="292" w:hanging="701"/>
        <w:rPr>
          <w:rFonts w:ascii="Times New Roman" w:eastAsia="標楷體" w:hAnsi="Times New Roman"/>
          <w:szCs w:val="24"/>
        </w:rPr>
      </w:pPr>
      <w:r>
        <w:rPr>
          <w:rFonts w:ascii="標楷體" w:eastAsia="標楷體" w:hAnsi="標楷體" w:hint="eastAsia"/>
          <w:szCs w:val="24"/>
        </w:rPr>
        <w:t>備註：</w:t>
      </w:r>
      <w:r w:rsidRPr="0039434F">
        <w:rPr>
          <w:rFonts w:ascii="Times New Roman" w:eastAsia="標楷體" w:hAnsi="Times New Roman"/>
          <w:szCs w:val="24"/>
        </w:rPr>
        <w:t>嘉義市重陽禮金及百歲人瑞營養禮金之預算係編列在社政業務</w:t>
      </w:r>
      <w:r w:rsidRPr="0039434F">
        <w:rPr>
          <w:rFonts w:ascii="Times New Roman" w:eastAsia="標楷體" w:hAnsi="Times New Roman"/>
          <w:szCs w:val="24"/>
        </w:rPr>
        <w:t>-</w:t>
      </w:r>
      <w:r w:rsidRPr="0039434F">
        <w:rPr>
          <w:rFonts w:ascii="Times New Roman" w:eastAsia="標楷體" w:hAnsi="Times New Roman"/>
          <w:szCs w:val="24"/>
        </w:rPr>
        <w:t>社會行政管理項下，未編列於社福支出、老人福利支出等預算項下；金門縣歷經戰地軍管時期老人慰助金預算自</w:t>
      </w:r>
      <w:r w:rsidRPr="0039434F">
        <w:rPr>
          <w:rFonts w:ascii="Times New Roman" w:eastAsia="標楷體" w:hAnsi="Times New Roman"/>
          <w:szCs w:val="24"/>
        </w:rPr>
        <w:t>105</w:t>
      </w:r>
      <w:r w:rsidRPr="0039434F">
        <w:rPr>
          <w:rFonts w:ascii="Times New Roman" w:eastAsia="標楷體" w:hAnsi="Times New Roman"/>
          <w:szCs w:val="24"/>
        </w:rPr>
        <w:t>年編列在金門縣歷經戰地政務時期補償基金項下；爰該</w:t>
      </w:r>
      <w:r w:rsidRPr="0039434F">
        <w:rPr>
          <w:rFonts w:ascii="Times New Roman" w:eastAsia="標楷體" w:hAnsi="Times New Roman"/>
          <w:szCs w:val="24"/>
        </w:rPr>
        <w:t>2</w:t>
      </w:r>
      <w:r w:rsidRPr="0039434F">
        <w:rPr>
          <w:rFonts w:ascii="Times New Roman" w:eastAsia="標楷體" w:hAnsi="Times New Roman"/>
          <w:szCs w:val="24"/>
        </w:rPr>
        <w:t>縣未列入本圖。</w:t>
      </w:r>
    </w:p>
    <w:p w:rsidR="003017FD" w:rsidRPr="00530AC9" w:rsidRDefault="003017FD" w:rsidP="003017FD">
      <w:pPr>
        <w:spacing w:afterLines="50" w:after="180" w:line="320" w:lineRule="exact"/>
        <w:ind w:leftChars="-228" w:left="996" w:rightChars="-227" w:right="-545" w:hangingChars="643" w:hanging="1543"/>
        <w:rPr>
          <w:rFonts w:ascii="標楷體" w:eastAsia="標楷體" w:hAnsi="標楷體" w:hint="eastAsia"/>
          <w:szCs w:val="24"/>
        </w:rPr>
      </w:pPr>
      <w:r w:rsidRPr="00775E59">
        <w:rPr>
          <w:rFonts w:ascii="標楷體" w:eastAsia="標楷體" w:hAnsi="標楷體"/>
          <w:szCs w:val="24"/>
        </w:rPr>
        <w:t>資料來源：衛福部</w:t>
      </w:r>
      <w:r w:rsidRPr="00775E59">
        <w:rPr>
          <w:rFonts w:ascii="標楷體" w:eastAsia="標楷體" w:hAnsi="標楷體" w:hint="eastAsia"/>
          <w:szCs w:val="24"/>
        </w:rPr>
        <w:t>，本院整理製圖</w:t>
      </w:r>
      <w:r w:rsidRPr="00775E59">
        <w:rPr>
          <w:rFonts w:ascii="標楷體" w:eastAsia="標楷體" w:hAnsi="標楷體"/>
          <w:szCs w:val="24"/>
        </w:rPr>
        <w:t>。</w:t>
      </w:r>
    </w:p>
    <w:p w:rsidR="008201F2" w:rsidRPr="003017FD" w:rsidRDefault="003017FD">
      <w:bookmarkStart w:id="0" w:name="_GoBack"/>
      <w:bookmarkEnd w:id="0"/>
    </w:p>
    <w:sectPr w:rsidR="008201F2" w:rsidRPr="003017FD" w:rsidSect="00E21288">
      <w:pgSz w:w="16838" w:h="11906" w:orient="landscape"/>
      <w:pgMar w:top="1652" w:right="1440" w:bottom="1603" w:left="1440" w:header="851" w:footer="42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2E" w:rsidRDefault="003017FD">
    <w:pPr>
      <w:pStyle w:val="a3"/>
      <w:jc w:val="center"/>
    </w:pPr>
    <w:r>
      <w:fldChar w:fldCharType="begin"/>
    </w:r>
    <w:r>
      <w:instrText>PAGE   \* MERGEFORMAT</w:instrText>
    </w:r>
    <w:r>
      <w:fldChar w:fldCharType="separate"/>
    </w:r>
    <w:r w:rsidRPr="003017FD">
      <w:rPr>
        <w:noProof/>
        <w:lang w:val="zh-TW"/>
      </w:rPr>
      <w:t>6</w:t>
    </w:r>
    <w:r>
      <w:fldChar w:fldCharType="end"/>
    </w:r>
  </w:p>
  <w:p w:rsidR="00C77F2E" w:rsidRDefault="003017F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2F3" w:rsidRDefault="003017FD" w:rsidP="00905441">
    <w:pPr>
      <w:spacing w:line="4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D"/>
    <w:rsid w:val="003017FD"/>
    <w:rsid w:val="004A418C"/>
    <w:rsid w:val="005942A3"/>
    <w:rsid w:val="00636513"/>
    <w:rsid w:val="00672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21135-4741-4006-BE8B-AAFD654D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17FD"/>
    <w:pPr>
      <w:tabs>
        <w:tab w:val="center" w:pos="4153"/>
        <w:tab w:val="right" w:pos="8306"/>
      </w:tabs>
      <w:snapToGrid w:val="0"/>
    </w:pPr>
    <w:rPr>
      <w:sz w:val="20"/>
      <w:szCs w:val="20"/>
    </w:rPr>
  </w:style>
  <w:style w:type="character" w:customStyle="1" w:styleId="a4">
    <w:name w:val="頁尾 字元"/>
    <w:basedOn w:val="a0"/>
    <w:link w:val="a3"/>
    <w:uiPriority w:val="99"/>
    <w:rsid w:val="003017FD"/>
    <w:rPr>
      <w:rFonts w:ascii="Calibri" w:eastAsia="新細明體" w:hAnsi="Calibri" w:cs="Times New Roman"/>
      <w:sz w:val="20"/>
      <w:szCs w:val="20"/>
    </w:rPr>
  </w:style>
  <w:style w:type="paragraph" w:styleId="Web">
    <w:name w:val="Normal (Web)"/>
    <w:basedOn w:val="a"/>
    <w:uiPriority w:val="99"/>
    <w:unhideWhenUsed/>
    <w:rsid w:val="003017F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chart" Target="charts/chart1.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29579;&#24800;&#20803;\139&#22320;&#26041;&#37325;&#38525;&#25964;&#32769;&#37329;&#30332;&#25918;&#26696;\&#35519;&#26597;&#22577;&#21578;\&#31777;&#22577;&#22294;&#349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工作表3!$A$2</c:f>
              <c:strCache>
                <c:ptCount val="1"/>
                <c:pt idx="0">
                  <c:v>億元</c:v>
                </c:pt>
              </c:strCache>
            </c:strRef>
          </c:tx>
          <c:cat>
            <c:strRef>
              <c:f>工作表3!$B$1:$I$1</c:f>
              <c:strCache>
                <c:ptCount val="8"/>
                <c:pt idx="0">
                  <c:v>100年</c:v>
                </c:pt>
                <c:pt idx="1">
                  <c:v>101年</c:v>
                </c:pt>
                <c:pt idx="2">
                  <c:v>102年</c:v>
                </c:pt>
                <c:pt idx="3">
                  <c:v>103年</c:v>
                </c:pt>
                <c:pt idx="4">
                  <c:v>104年</c:v>
                </c:pt>
                <c:pt idx="5">
                  <c:v>105年</c:v>
                </c:pt>
                <c:pt idx="6">
                  <c:v>106年</c:v>
                </c:pt>
                <c:pt idx="7">
                  <c:v>107年</c:v>
                </c:pt>
              </c:strCache>
            </c:strRef>
          </c:cat>
          <c:val>
            <c:numRef>
              <c:f>工作表3!$B$2:$I$2</c:f>
              <c:numCache>
                <c:formatCode>General</c:formatCode>
                <c:ptCount val="8"/>
                <c:pt idx="0">
                  <c:v>48.52</c:v>
                </c:pt>
                <c:pt idx="1">
                  <c:v>54.83</c:v>
                </c:pt>
                <c:pt idx="2">
                  <c:v>66.760000000000005</c:v>
                </c:pt>
                <c:pt idx="3">
                  <c:v>70.16</c:v>
                </c:pt>
                <c:pt idx="4">
                  <c:v>82.12</c:v>
                </c:pt>
                <c:pt idx="5">
                  <c:v>80.040000000000006</c:v>
                </c:pt>
                <c:pt idx="6">
                  <c:v>80.19</c:v>
                </c:pt>
                <c:pt idx="7">
                  <c:v>89.16</c:v>
                </c:pt>
              </c:numCache>
            </c:numRef>
          </c:val>
          <c:smooth val="0"/>
          <c:extLst xmlns:c16r2="http://schemas.microsoft.com/office/drawing/2015/06/chart">
            <c:ext xmlns:c16="http://schemas.microsoft.com/office/drawing/2014/chart" uri="{C3380CC4-5D6E-409C-BE32-E72D297353CC}">
              <c16:uniqueId val="{00000000-0964-0B42-8071-0AABA83C3490}"/>
            </c:ext>
          </c:extLst>
        </c:ser>
        <c:dLbls>
          <c:showLegendKey val="0"/>
          <c:showVal val="0"/>
          <c:showCatName val="0"/>
          <c:showSerName val="0"/>
          <c:showPercent val="0"/>
          <c:showBubbleSize val="0"/>
        </c:dLbls>
        <c:marker val="1"/>
        <c:smooth val="0"/>
        <c:axId val="569932016"/>
        <c:axId val="569930448"/>
      </c:lineChart>
      <c:catAx>
        <c:axId val="569932016"/>
        <c:scaling>
          <c:orientation val="minMax"/>
        </c:scaling>
        <c:delete val="0"/>
        <c:axPos val="b"/>
        <c:numFmt formatCode="General" sourceLinked="0"/>
        <c:majorTickMark val="none"/>
        <c:minorTickMark val="none"/>
        <c:tickLblPos val="nextTo"/>
        <c:crossAx val="569930448"/>
        <c:crosses val="autoZero"/>
        <c:auto val="1"/>
        <c:lblAlgn val="ctr"/>
        <c:lblOffset val="100"/>
        <c:noMultiLvlLbl val="0"/>
      </c:catAx>
      <c:valAx>
        <c:axId val="569930448"/>
        <c:scaling>
          <c:orientation val="minMax"/>
        </c:scaling>
        <c:delete val="0"/>
        <c:axPos val="l"/>
        <c:majorGridlines/>
        <c:numFmt formatCode="General" sourceLinked="1"/>
        <c:majorTickMark val="none"/>
        <c:minorTickMark val="none"/>
        <c:tickLblPos val="nextTo"/>
        <c:crossAx val="5699320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陳淑娟</dc:creator>
  <cp:keywords/>
  <dc:description/>
  <cp:lastModifiedBy>陳淑娟</cp:lastModifiedBy>
  <cp:revision>1</cp:revision>
  <dcterms:created xsi:type="dcterms:W3CDTF">2019-10-16T01:41:00Z</dcterms:created>
  <dcterms:modified xsi:type="dcterms:W3CDTF">2019-10-16T01:42:00Z</dcterms:modified>
</cp:coreProperties>
</file>