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5.xml" ContentType="application/vnd.openxmlformats-officedocument.wordprocessingml.footer+xml"/>
  <Override PartName="/word/header25.xml" ContentType="application/vnd.openxmlformats-officedocument.wordprocessingml.header+xml"/>
  <Override PartName="/word/footer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9C6" w:rsidRPr="0067640A" w:rsidRDefault="007409C6" w:rsidP="007409C6">
      <w:pPr>
        <w:spacing w:line="360" w:lineRule="exact"/>
        <w:jc w:val="center"/>
        <w:rPr>
          <w:lang w:val="x-none"/>
        </w:rPr>
      </w:pPr>
      <w:bookmarkStart w:id="0" w:name="_Toc535228304"/>
      <w:bookmarkStart w:id="1" w:name="_Toc508112898"/>
      <w:bookmarkStart w:id="2" w:name="_Toc529885306"/>
      <w:bookmarkStart w:id="3" w:name="_Toc528942457"/>
      <w:bookmarkStart w:id="4" w:name="_Toc527731029"/>
      <w:bookmarkStart w:id="5" w:name="_Toc525913930"/>
      <w:bookmarkStart w:id="6" w:name="_Toc508112899"/>
    </w:p>
    <w:p w:rsidR="007409C6" w:rsidRPr="00C44463" w:rsidRDefault="007409C6" w:rsidP="007409C6">
      <w:pPr>
        <w:spacing w:line="360" w:lineRule="exact"/>
        <w:jc w:val="center"/>
      </w:pPr>
    </w:p>
    <w:p w:rsidR="007409C6" w:rsidRPr="00C44463" w:rsidRDefault="007409C6" w:rsidP="007409C6">
      <w:pPr>
        <w:spacing w:line="360" w:lineRule="exact"/>
        <w:jc w:val="center"/>
      </w:pPr>
    </w:p>
    <w:p w:rsidR="007409C6" w:rsidRPr="0067640A" w:rsidRDefault="007409C6" w:rsidP="007409C6">
      <w:pPr>
        <w:spacing w:afterLines="100" w:after="360"/>
        <w:jc w:val="center"/>
        <w:rPr>
          <w:rFonts w:eastAsia="華康新特明體"/>
          <w:sz w:val="52"/>
          <w:szCs w:val="52"/>
        </w:rPr>
      </w:pPr>
      <w:r w:rsidRPr="0067640A">
        <w:rPr>
          <w:rFonts w:eastAsia="華康新特明體"/>
          <w:b/>
          <w:sz w:val="52"/>
          <w:szCs w:val="52"/>
        </w:rPr>
        <w:t>201</w:t>
      </w:r>
      <w:r>
        <w:rPr>
          <w:rFonts w:eastAsia="華康新特明體" w:hint="eastAsia"/>
          <w:b/>
          <w:sz w:val="52"/>
          <w:szCs w:val="52"/>
        </w:rPr>
        <w:t>7</w:t>
      </w:r>
      <w:r w:rsidRPr="0067640A">
        <w:rPr>
          <w:rFonts w:eastAsia="華康新特明體"/>
          <w:sz w:val="52"/>
          <w:szCs w:val="52"/>
        </w:rPr>
        <w:t>年</w:t>
      </w:r>
    </w:p>
    <w:p w:rsidR="007409C6" w:rsidRPr="0067640A" w:rsidRDefault="007409C6" w:rsidP="007409C6">
      <w:pPr>
        <w:jc w:val="center"/>
        <w:rPr>
          <w:rFonts w:eastAsia="華康新特明體"/>
          <w:sz w:val="52"/>
          <w:szCs w:val="52"/>
        </w:rPr>
      </w:pPr>
      <w:r w:rsidRPr="0067640A">
        <w:rPr>
          <w:rFonts w:eastAsia="華康新特明體"/>
          <w:sz w:val="52"/>
          <w:szCs w:val="52"/>
        </w:rPr>
        <w:t>監察院人權工作實錄</w:t>
      </w:r>
    </w:p>
    <w:p w:rsidR="007409C6" w:rsidRPr="00C44463" w:rsidRDefault="007409C6" w:rsidP="007409C6">
      <w:pPr>
        <w:spacing w:line="360" w:lineRule="exact"/>
        <w:jc w:val="center"/>
      </w:pPr>
    </w:p>
    <w:p w:rsidR="007409C6" w:rsidRPr="00C44463" w:rsidRDefault="007409C6" w:rsidP="007409C6">
      <w:pPr>
        <w:spacing w:line="360" w:lineRule="exact"/>
        <w:jc w:val="center"/>
      </w:pPr>
    </w:p>
    <w:p w:rsidR="007409C6" w:rsidRPr="00C44463" w:rsidRDefault="007409C6" w:rsidP="007409C6">
      <w:pPr>
        <w:spacing w:line="360" w:lineRule="exact"/>
        <w:jc w:val="center"/>
      </w:pPr>
    </w:p>
    <w:p w:rsidR="007409C6" w:rsidRPr="00C44463" w:rsidRDefault="007409C6" w:rsidP="007409C6">
      <w:pPr>
        <w:spacing w:line="360" w:lineRule="exact"/>
        <w:jc w:val="center"/>
      </w:pPr>
    </w:p>
    <w:p w:rsidR="007409C6" w:rsidRPr="00C44463" w:rsidRDefault="007409C6" w:rsidP="007409C6">
      <w:pPr>
        <w:spacing w:line="360" w:lineRule="exact"/>
        <w:jc w:val="center"/>
      </w:pPr>
    </w:p>
    <w:p w:rsidR="007409C6" w:rsidRPr="00C44463" w:rsidRDefault="007409C6" w:rsidP="007409C6">
      <w:pPr>
        <w:spacing w:line="360" w:lineRule="exact"/>
        <w:jc w:val="center"/>
      </w:pPr>
    </w:p>
    <w:p w:rsidR="007409C6" w:rsidRPr="00C44463" w:rsidRDefault="007409C6" w:rsidP="007409C6">
      <w:pPr>
        <w:spacing w:line="360" w:lineRule="exact"/>
        <w:jc w:val="center"/>
      </w:pPr>
    </w:p>
    <w:p w:rsidR="007409C6" w:rsidRPr="00C44463" w:rsidRDefault="007409C6" w:rsidP="007409C6">
      <w:pPr>
        <w:spacing w:line="360" w:lineRule="exact"/>
        <w:jc w:val="center"/>
      </w:pPr>
    </w:p>
    <w:p w:rsidR="007409C6" w:rsidRPr="00C44463" w:rsidRDefault="007409C6" w:rsidP="007409C6">
      <w:pPr>
        <w:spacing w:line="360" w:lineRule="exact"/>
        <w:jc w:val="center"/>
      </w:pPr>
    </w:p>
    <w:p w:rsidR="007409C6" w:rsidRPr="00C44463" w:rsidRDefault="007409C6" w:rsidP="007409C6">
      <w:pPr>
        <w:spacing w:line="360" w:lineRule="exact"/>
        <w:jc w:val="center"/>
      </w:pPr>
    </w:p>
    <w:p w:rsidR="007409C6" w:rsidRPr="00C44463" w:rsidRDefault="007409C6" w:rsidP="007409C6">
      <w:pPr>
        <w:spacing w:line="360" w:lineRule="exact"/>
        <w:jc w:val="center"/>
      </w:pPr>
    </w:p>
    <w:p w:rsidR="007409C6" w:rsidRPr="00C44463" w:rsidRDefault="007409C6" w:rsidP="007409C6">
      <w:pPr>
        <w:spacing w:line="360" w:lineRule="exact"/>
        <w:jc w:val="center"/>
      </w:pPr>
    </w:p>
    <w:p w:rsidR="007409C6" w:rsidRPr="00C44463" w:rsidRDefault="007409C6" w:rsidP="007409C6">
      <w:pPr>
        <w:spacing w:line="360" w:lineRule="exact"/>
        <w:jc w:val="center"/>
      </w:pPr>
    </w:p>
    <w:p w:rsidR="007409C6" w:rsidRPr="0067640A" w:rsidRDefault="007409C6" w:rsidP="007409C6">
      <w:pPr>
        <w:jc w:val="center"/>
        <w:rPr>
          <w:rFonts w:ascii="全真顏體" w:eastAsia="全真顏體"/>
          <w:sz w:val="36"/>
          <w:szCs w:val="36"/>
        </w:rPr>
      </w:pPr>
      <w:r w:rsidRPr="0067640A">
        <w:rPr>
          <w:rFonts w:ascii="全真顏體" w:eastAsia="全真顏體" w:hint="eastAsia"/>
          <w:sz w:val="36"/>
          <w:szCs w:val="36"/>
        </w:rPr>
        <w:t>監察院人權保障委員會</w:t>
      </w:r>
      <w:r w:rsidRPr="0067640A">
        <w:rPr>
          <w:rFonts w:ascii="全真顏體" w:hint="eastAsia"/>
          <w:sz w:val="36"/>
          <w:szCs w:val="36"/>
        </w:rPr>
        <w:t xml:space="preserve">　</w:t>
      </w:r>
      <w:r w:rsidRPr="0067640A">
        <w:rPr>
          <w:rFonts w:ascii="全真顏體" w:eastAsia="全真顏體" w:hint="eastAsia"/>
          <w:sz w:val="36"/>
          <w:szCs w:val="36"/>
        </w:rPr>
        <w:t>編印</w:t>
      </w:r>
    </w:p>
    <w:p w:rsidR="007409C6" w:rsidRDefault="007409C6" w:rsidP="007409C6">
      <w:pPr>
        <w:jc w:val="center"/>
      </w:pPr>
    </w:p>
    <w:p w:rsidR="007409C6" w:rsidRDefault="007409C6" w:rsidP="007409C6">
      <w:r>
        <w:br w:type="page"/>
      </w:r>
    </w:p>
    <w:p w:rsidR="007409C6" w:rsidRPr="00CF29E2" w:rsidRDefault="007409C6" w:rsidP="007409C6">
      <w:pPr>
        <w:pStyle w:val="11--"/>
        <w:spacing w:afterLines="50" w:after="180" w:line="240" w:lineRule="auto"/>
        <w:ind w:firstLineChars="0" w:firstLine="0"/>
        <w:jc w:val="center"/>
        <w:rPr>
          <w:rFonts w:ascii="華康新特明體" w:eastAsia="華康新特明體"/>
          <w:sz w:val="40"/>
          <w:szCs w:val="40"/>
        </w:rPr>
      </w:pPr>
      <w:r>
        <w:lastRenderedPageBreak/>
        <w:br w:type="page"/>
      </w:r>
      <w:r w:rsidRPr="00CF29E2">
        <w:rPr>
          <w:rFonts w:ascii="華康新特明體" w:eastAsia="華康新特明體" w:hint="eastAsia"/>
          <w:sz w:val="40"/>
          <w:szCs w:val="40"/>
        </w:rPr>
        <w:lastRenderedPageBreak/>
        <w:t>院</w:t>
      </w:r>
      <w:r w:rsidRPr="00CF29E2">
        <w:rPr>
          <w:rFonts w:ascii="華康新特明體" w:eastAsia="華康新特明體" w:hint="eastAsia"/>
          <w:sz w:val="40"/>
          <w:szCs w:val="40"/>
          <w:lang w:eastAsia="zh-TW"/>
        </w:rPr>
        <w:t xml:space="preserve"> </w:t>
      </w:r>
      <w:r w:rsidRPr="00CF29E2">
        <w:rPr>
          <w:rFonts w:ascii="華康新特明體" w:eastAsia="華康新特明體" w:hint="eastAsia"/>
          <w:sz w:val="40"/>
          <w:szCs w:val="40"/>
        </w:rPr>
        <w:t>長</w:t>
      </w:r>
      <w:r w:rsidRPr="00CF29E2">
        <w:rPr>
          <w:rFonts w:ascii="華康新特明體" w:eastAsia="華康新特明體" w:hint="eastAsia"/>
          <w:sz w:val="40"/>
          <w:szCs w:val="40"/>
          <w:lang w:eastAsia="zh-TW"/>
        </w:rPr>
        <w:t xml:space="preserve"> </w:t>
      </w:r>
      <w:r w:rsidRPr="00CF29E2">
        <w:rPr>
          <w:rFonts w:ascii="華康新特明體" w:eastAsia="華康新特明體" w:hint="eastAsia"/>
          <w:sz w:val="40"/>
          <w:szCs w:val="40"/>
        </w:rPr>
        <w:t>序</w:t>
      </w:r>
    </w:p>
    <w:p w:rsidR="007409C6" w:rsidRDefault="007409C6" w:rsidP="007409C6">
      <w:pPr>
        <w:pStyle w:val="1---"/>
        <w:spacing w:line="400" w:lineRule="exact"/>
        <w:ind w:firstLine="480"/>
      </w:pPr>
      <w:r>
        <w:rPr>
          <w:rFonts w:hint="eastAsia"/>
        </w:rPr>
        <w:t>為實現</w:t>
      </w:r>
      <w:r w:rsidRPr="00745B68">
        <w:t>人</w:t>
      </w:r>
      <w:r>
        <w:rPr>
          <w:rFonts w:hint="eastAsia"/>
        </w:rPr>
        <w:t>類</w:t>
      </w:r>
      <w:r w:rsidRPr="00745B68">
        <w:t>尊嚴與人格自由發展</w:t>
      </w:r>
      <w:r>
        <w:rPr>
          <w:rFonts w:hint="eastAsia"/>
        </w:rPr>
        <w:t>之</w:t>
      </w:r>
      <w:r w:rsidRPr="00745B68">
        <w:t>核心價值，</w:t>
      </w:r>
      <w:r>
        <w:rPr>
          <w:rFonts w:hint="eastAsia"/>
        </w:rPr>
        <w:t>聯合國自西元（下同）</w:t>
      </w:r>
      <w:r w:rsidRPr="00330012">
        <w:rPr>
          <w:rFonts w:hint="eastAsia"/>
        </w:rPr>
        <w:t>1948</w:t>
      </w:r>
      <w:r w:rsidRPr="00330012">
        <w:rPr>
          <w:rFonts w:hint="eastAsia"/>
        </w:rPr>
        <w:t>年起陸續發布世界人權宣言、公民與政治權利國際公約及經濟社會文化權利國際公約三大國際人權法典</w:t>
      </w:r>
      <w:r>
        <w:rPr>
          <w:rFonts w:hint="eastAsia"/>
        </w:rPr>
        <w:t>；</w:t>
      </w:r>
      <w:r w:rsidRPr="00330012">
        <w:rPr>
          <w:rFonts w:hint="eastAsia"/>
        </w:rPr>
        <w:t>1993</w:t>
      </w:r>
      <w:r w:rsidRPr="00330012">
        <w:rPr>
          <w:rFonts w:hint="eastAsia"/>
        </w:rPr>
        <w:t>年聯合國</w:t>
      </w:r>
      <w:r>
        <w:rPr>
          <w:rFonts w:hint="eastAsia"/>
        </w:rPr>
        <w:t>更</w:t>
      </w:r>
      <w:r w:rsidRPr="00330012">
        <w:rPr>
          <w:rFonts w:hint="eastAsia"/>
        </w:rPr>
        <w:t>通過巴黎原則，倡導各國成立國家人權機構，以保障並宣導人權</w:t>
      </w:r>
      <w:r>
        <w:rPr>
          <w:rFonts w:hint="eastAsia"/>
        </w:rPr>
        <w:t>。聯合國及</w:t>
      </w:r>
      <w:r w:rsidRPr="00033462">
        <w:rPr>
          <w:rFonts w:hint="eastAsia"/>
        </w:rPr>
        <w:t>國家人權機構全球聯盟（</w:t>
      </w:r>
      <w:r w:rsidRPr="00033462">
        <w:t xml:space="preserve">Global Alliance of National Human Rights </w:t>
      </w:r>
      <w:r w:rsidRPr="00033462">
        <w:rPr>
          <w:rFonts w:hint="eastAsia"/>
        </w:rPr>
        <w:t>Institutions</w:t>
      </w:r>
      <w:r w:rsidRPr="00033462">
        <w:rPr>
          <w:rFonts w:hint="eastAsia"/>
        </w:rPr>
        <w:t>，簡稱</w:t>
      </w:r>
      <w:r>
        <w:rPr>
          <w:rFonts w:hint="eastAsia"/>
        </w:rPr>
        <w:t>GANHRI</w:t>
      </w:r>
      <w:r>
        <w:rPr>
          <w:rFonts w:hint="eastAsia"/>
        </w:rPr>
        <w:t>）一致認為，</w:t>
      </w:r>
      <w:r w:rsidRPr="00330012">
        <w:rPr>
          <w:rFonts w:hint="eastAsia"/>
        </w:rPr>
        <w:t>國家人權機構並無</w:t>
      </w:r>
      <w:r>
        <w:rPr>
          <w:rFonts w:hint="eastAsia"/>
        </w:rPr>
        <w:t>特定型</w:t>
      </w:r>
      <w:r w:rsidRPr="00330012">
        <w:rPr>
          <w:rFonts w:hint="eastAsia"/>
        </w:rPr>
        <w:t>態，只要能替國家擔負保障及宣導人民權益者均可</w:t>
      </w:r>
      <w:r>
        <w:rPr>
          <w:rFonts w:hint="eastAsia"/>
        </w:rPr>
        <w:t>屬</w:t>
      </w:r>
      <w:r w:rsidRPr="00330012">
        <w:rPr>
          <w:rFonts w:hint="eastAsia"/>
        </w:rPr>
        <w:t>之</w:t>
      </w:r>
      <w:r>
        <w:rPr>
          <w:rFonts w:hint="eastAsia"/>
        </w:rPr>
        <w:t>，而</w:t>
      </w:r>
      <w:r w:rsidRPr="00330012">
        <w:rPr>
          <w:rFonts w:hint="eastAsia"/>
        </w:rPr>
        <w:t>監察使（或監察組織）、人權委員會、護民官</w:t>
      </w:r>
      <w:r>
        <w:rPr>
          <w:rFonts w:hint="eastAsia"/>
        </w:rPr>
        <w:t>署等均為國際間</w:t>
      </w:r>
      <w:r w:rsidRPr="00330012">
        <w:rPr>
          <w:rFonts w:hint="eastAsia"/>
        </w:rPr>
        <w:t>常見的國家人權機構</w:t>
      </w:r>
      <w:r>
        <w:rPr>
          <w:rFonts w:hint="eastAsia"/>
        </w:rPr>
        <w:t>態樣。</w:t>
      </w:r>
    </w:p>
    <w:p w:rsidR="007409C6" w:rsidRDefault="007409C6" w:rsidP="007409C6">
      <w:pPr>
        <w:pStyle w:val="1---"/>
        <w:spacing w:beforeLines="50" w:before="180" w:line="400" w:lineRule="exact"/>
        <w:ind w:firstLine="480"/>
      </w:pPr>
      <w:r>
        <w:rPr>
          <w:rFonts w:hint="eastAsia"/>
        </w:rPr>
        <w:t>監</w:t>
      </w:r>
      <w:r w:rsidRPr="00330012">
        <w:rPr>
          <w:rFonts w:hint="eastAsia"/>
        </w:rPr>
        <w:t>察院作為國家最高的監察機關，不僅查察政府機關及其人員違法與失職，更藉由收受人民陳情案及調查職權之行使，具體促進人民權益之實現。監察院自</w:t>
      </w:r>
      <w:r w:rsidRPr="00330012">
        <w:rPr>
          <w:rFonts w:hint="eastAsia"/>
        </w:rPr>
        <w:t>1994</w:t>
      </w:r>
      <w:r w:rsidRPr="00330012">
        <w:rPr>
          <w:rFonts w:hint="eastAsia"/>
        </w:rPr>
        <w:t>年</w:t>
      </w:r>
      <w:r>
        <w:rPr>
          <w:rFonts w:hint="eastAsia"/>
        </w:rPr>
        <w:t>起</w:t>
      </w:r>
      <w:r w:rsidRPr="00330012">
        <w:rPr>
          <w:rFonts w:hint="eastAsia"/>
        </w:rPr>
        <w:t>成為國際監察組織（</w:t>
      </w:r>
      <w:r w:rsidRPr="00330012">
        <w:rPr>
          <w:rFonts w:hint="eastAsia"/>
        </w:rPr>
        <w:t>International Ombudsman Institute</w:t>
      </w:r>
      <w:r w:rsidRPr="00330012">
        <w:rPr>
          <w:rFonts w:hint="eastAsia"/>
        </w:rPr>
        <w:t>）正式會員，在全球來自</w:t>
      </w:r>
      <w:r w:rsidRPr="00330012">
        <w:rPr>
          <w:rFonts w:hint="eastAsia"/>
        </w:rPr>
        <w:t>100</w:t>
      </w:r>
      <w:r w:rsidRPr="00330012">
        <w:rPr>
          <w:rFonts w:hint="eastAsia"/>
        </w:rPr>
        <w:t>個以上的國家及超過</w:t>
      </w:r>
      <w:r w:rsidRPr="00330012">
        <w:rPr>
          <w:rFonts w:hint="eastAsia"/>
        </w:rPr>
        <w:t>190</w:t>
      </w:r>
      <w:r w:rsidRPr="00330012">
        <w:rPr>
          <w:rFonts w:hint="eastAsia"/>
        </w:rPr>
        <w:t>個監察機關（</w:t>
      </w:r>
      <w:r w:rsidRPr="00330012">
        <w:rPr>
          <w:rFonts w:hint="eastAsia"/>
        </w:rPr>
        <w:t>ombudsman</w:t>
      </w:r>
      <w:r w:rsidRPr="00330012">
        <w:rPr>
          <w:rFonts w:hint="eastAsia"/>
        </w:rPr>
        <w:t>）中，因憲法賦予監察委員獨立行使調查、提出彈劾、糾舉及糾正等權力，已使我國監察職權超乎其他國家人權保障機構之建議與協商權，</w:t>
      </w:r>
      <w:r>
        <w:rPr>
          <w:rFonts w:hint="eastAsia"/>
        </w:rPr>
        <w:t>深受</w:t>
      </w:r>
      <w:r w:rsidRPr="00330012">
        <w:rPr>
          <w:rFonts w:hint="eastAsia"/>
        </w:rPr>
        <w:t>國際肯認。</w:t>
      </w:r>
      <w:r w:rsidRPr="00745B68">
        <w:rPr>
          <w:rFonts w:hint="eastAsia"/>
        </w:rPr>
        <w:t>為使我國人權保障與國際接軌，</w:t>
      </w:r>
      <w:r>
        <w:rPr>
          <w:rFonts w:hint="eastAsia"/>
        </w:rPr>
        <w:t>同時</w:t>
      </w:r>
      <w:r w:rsidRPr="00745B68">
        <w:rPr>
          <w:rFonts w:hint="eastAsia"/>
        </w:rPr>
        <w:t>兼顧憲政體制</w:t>
      </w:r>
      <w:r>
        <w:rPr>
          <w:rFonts w:hint="eastAsia"/>
        </w:rPr>
        <w:t>之</w:t>
      </w:r>
      <w:r w:rsidRPr="00745B68">
        <w:rPr>
          <w:rFonts w:hint="eastAsia"/>
        </w:rPr>
        <w:t>運作，</w:t>
      </w:r>
      <w:r>
        <w:rPr>
          <w:rFonts w:hint="eastAsia"/>
        </w:rPr>
        <w:t>監察</w:t>
      </w:r>
      <w:r w:rsidRPr="00745B68">
        <w:rPr>
          <w:rFonts w:hint="eastAsia"/>
        </w:rPr>
        <w:t>院應以</w:t>
      </w:r>
      <w:r>
        <w:rPr>
          <w:rFonts w:hint="eastAsia"/>
        </w:rPr>
        <w:t>憲法賦予各種職權為基礎，充實組織人力與專業、強化人權宣導職能，以建構健全的人權保</w:t>
      </w:r>
      <w:r>
        <w:rPr>
          <w:rFonts w:hint="eastAsia"/>
        </w:rPr>
        <w:lastRenderedPageBreak/>
        <w:t>障機制，</w:t>
      </w:r>
      <w:r w:rsidRPr="00330012">
        <w:rPr>
          <w:rFonts w:hint="eastAsia"/>
        </w:rPr>
        <w:t>切實發揮保障人權最大成效。</w:t>
      </w:r>
    </w:p>
    <w:p w:rsidR="007409C6" w:rsidRDefault="007409C6" w:rsidP="00230A76">
      <w:pPr>
        <w:pStyle w:val="1---"/>
        <w:spacing w:beforeLines="50" w:before="180" w:line="400" w:lineRule="exact"/>
        <w:ind w:firstLine="480"/>
      </w:pPr>
      <w:r w:rsidRPr="00BA27D1">
        <w:rPr>
          <w:rFonts w:hint="eastAsia"/>
        </w:rPr>
        <w:t>201</w:t>
      </w:r>
      <w:r>
        <w:rPr>
          <w:rFonts w:hint="eastAsia"/>
        </w:rPr>
        <w:t>7</w:t>
      </w:r>
      <w:r w:rsidRPr="00BA27D1">
        <w:rPr>
          <w:rFonts w:hint="eastAsia"/>
        </w:rPr>
        <w:t>年監察院審議通過之調查報告計</w:t>
      </w:r>
      <w:r w:rsidRPr="00BA27D1">
        <w:rPr>
          <w:rFonts w:hint="eastAsia"/>
        </w:rPr>
        <w:t>27</w:t>
      </w:r>
      <w:r>
        <w:rPr>
          <w:rFonts w:hint="eastAsia"/>
        </w:rPr>
        <w:t>6</w:t>
      </w:r>
      <w:r w:rsidRPr="00BA27D1">
        <w:rPr>
          <w:rFonts w:hint="eastAsia"/>
        </w:rPr>
        <w:t>案，其中涉及人權保障者</w:t>
      </w:r>
      <w:r w:rsidRPr="00BA27D1">
        <w:rPr>
          <w:rFonts w:hint="eastAsia"/>
        </w:rPr>
        <w:t>1</w:t>
      </w:r>
      <w:r>
        <w:rPr>
          <w:rFonts w:hint="eastAsia"/>
        </w:rPr>
        <w:t>59</w:t>
      </w:r>
      <w:r w:rsidRPr="00BA27D1">
        <w:rPr>
          <w:rFonts w:hint="eastAsia"/>
        </w:rPr>
        <w:t>案</w:t>
      </w:r>
      <w:r w:rsidRPr="00BA27D1">
        <w:t>（</w:t>
      </w:r>
      <w:r w:rsidRPr="00BA27D1">
        <w:rPr>
          <w:rFonts w:hint="eastAsia"/>
        </w:rPr>
        <w:t>占</w:t>
      </w:r>
      <w:r>
        <w:rPr>
          <w:rFonts w:hint="eastAsia"/>
        </w:rPr>
        <w:t>57</w:t>
      </w:r>
      <w:r w:rsidRPr="00BA27D1">
        <w:rPr>
          <w:rFonts w:hint="eastAsia"/>
        </w:rPr>
        <w:t>.</w:t>
      </w:r>
      <w:r>
        <w:rPr>
          <w:rFonts w:hint="eastAsia"/>
        </w:rPr>
        <w:t>6</w:t>
      </w:r>
      <w:r w:rsidR="00230A76">
        <w:rPr>
          <w:rFonts w:hint="eastAsia"/>
        </w:rPr>
        <w:t>%</w:t>
      </w:r>
      <w:r w:rsidRPr="00BA27D1">
        <w:rPr>
          <w:rFonts w:hint="eastAsia"/>
        </w:rPr>
        <w:t>），本書依人權類別摘錄</w:t>
      </w:r>
      <w:r>
        <w:rPr>
          <w:rFonts w:hint="eastAsia"/>
        </w:rPr>
        <w:t>其中</w:t>
      </w:r>
      <w:r>
        <w:rPr>
          <w:rFonts w:hint="eastAsia"/>
        </w:rPr>
        <w:t>102</w:t>
      </w:r>
      <w:r w:rsidRPr="00BA27D1">
        <w:rPr>
          <w:rFonts w:hint="eastAsia"/>
        </w:rPr>
        <w:t>案。</w:t>
      </w:r>
      <w:r>
        <w:rPr>
          <w:rFonts w:hint="eastAsia"/>
        </w:rPr>
        <w:t>細究調查案件之人權類型，</w:t>
      </w:r>
      <w:r>
        <w:rPr>
          <w:rFonts w:hint="eastAsia"/>
        </w:rPr>
        <w:t>2017</w:t>
      </w:r>
      <w:r>
        <w:rPr>
          <w:rFonts w:hint="eastAsia"/>
        </w:rPr>
        <w:t>年以涉及生存權及健康權之案件最多（計</w:t>
      </w:r>
      <w:r>
        <w:rPr>
          <w:rFonts w:hint="eastAsia"/>
        </w:rPr>
        <w:t>31</w:t>
      </w:r>
      <w:r>
        <w:rPr>
          <w:rFonts w:hint="eastAsia"/>
        </w:rPr>
        <w:t>案），占人權案件數</w:t>
      </w:r>
      <w:r>
        <w:rPr>
          <w:rFonts w:hint="eastAsia"/>
        </w:rPr>
        <w:t>19.5%</w:t>
      </w:r>
      <w:r>
        <w:rPr>
          <w:rFonts w:hint="eastAsia"/>
        </w:rPr>
        <w:t>；其次為司法相關案件（計</w:t>
      </w:r>
      <w:r>
        <w:rPr>
          <w:rFonts w:hint="eastAsia"/>
        </w:rPr>
        <w:t>30</w:t>
      </w:r>
      <w:r>
        <w:rPr>
          <w:rFonts w:hint="eastAsia"/>
        </w:rPr>
        <w:t>案），占</w:t>
      </w:r>
      <w:r>
        <w:rPr>
          <w:rFonts w:hint="eastAsia"/>
        </w:rPr>
        <w:t>18.9%</w:t>
      </w:r>
      <w:r>
        <w:rPr>
          <w:rFonts w:hint="eastAsia"/>
        </w:rPr>
        <w:t>；第三為涉及財產權案件（計</w:t>
      </w:r>
      <w:r>
        <w:rPr>
          <w:rFonts w:hint="eastAsia"/>
        </w:rPr>
        <w:t>26</w:t>
      </w:r>
      <w:r>
        <w:rPr>
          <w:rFonts w:hint="eastAsia"/>
        </w:rPr>
        <w:t>案</w:t>
      </w:r>
      <w:r w:rsidRPr="00230A76">
        <w:rPr>
          <w:rFonts w:hint="eastAsia"/>
          <w:spacing w:val="-30"/>
        </w:rPr>
        <w:t>）</w:t>
      </w:r>
      <w:r>
        <w:rPr>
          <w:rFonts w:hint="eastAsia"/>
        </w:rPr>
        <w:t>，占</w:t>
      </w:r>
      <w:r>
        <w:rPr>
          <w:rFonts w:hint="eastAsia"/>
        </w:rPr>
        <w:t>16.4%</w:t>
      </w:r>
      <w:r>
        <w:rPr>
          <w:rFonts w:hint="eastAsia"/>
        </w:rPr>
        <w:t>。本人在擔任</w:t>
      </w:r>
      <w:r w:rsidRPr="00375353">
        <w:rPr>
          <w:rFonts w:hint="eastAsia"/>
        </w:rPr>
        <w:t>行政院衛生署</w:t>
      </w:r>
      <w:r>
        <w:rPr>
          <w:rFonts w:hint="eastAsia"/>
        </w:rPr>
        <w:t>（現為衛生福利部）</w:t>
      </w:r>
      <w:r w:rsidRPr="00375353">
        <w:rPr>
          <w:rFonts w:hint="eastAsia"/>
        </w:rPr>
        <w:t>署長</w:t>
      </w:r>
      <w:r>
        <w:rPr>
          <w:rFonts w:hint="eastAsia"/>
        </w:rPr>
        <w:t>期間，即相當重視國民健康問題，並推動健保制度等諸多政策。然臺灣發展至今，國內食安、醫療等問題仍層出不窮。本實錄特別</w:t>
      </w:r>
      <w:r w:rsidRPr="00086E4F">
        <w:rPr>
          <w:rFonts w:hint="eastAsia"/>
        </w:rPr>
        <w:t>摘錄</w:t>
      </w:r>
      <w:r>
        <w:rPr>
          <w:rFonts w:hint="eastAsia"/>
        </w:rPr>
        <w:t>監察委員於</w:t>
      </w:r>
      <w:r>
        <w:rPr>
          <w:rFonts w:hint="eastAsia"/>
        </w:rPr>
        <w:t>2017</w:t>
      </w:r>
      <w:r>
        <w:rPr>
          <w:rFonts w:hint="eastAsia"/>
        </w:rPr>
        <w:t>年調查</w:t>
      </w:r>
      <w:r w:rsidRPr="00086E4F">
        <w:rPr>
          <w:rFonts w:hint="eastAsia"/>
        </w:rPr>
        <w:t>雞蛋戴奧辛含量超標、知名飯店使用</w:t>
      </w:r>
      <w:r>
        <w:rPr>
          <w:rFonts w:hint="eastAsia"/>
        </w:rPr>
        <w:t>發霉食材及藥品</w:t>
      </w:r>
      <w:r w:rsidRPr="00086E4F">
        <w:rPr>
          <w:rFonts w:hint="eastAsia"/>
        </w:rPr>
        <w:t>仿冒等案</w:t>
      </w:r>
      <w:r>
        <w:rPr>
          <w:rFonts w:hint="eastAsia"/>
        </w:rPr>
        <w:t>件</w:t>
      </w:r>
      <w:r w:rsidRPr="00086E4F">
        <w:rPr>
          <w:rFonts w:hint="eastAsia"/>
        </w:rPr>
        <w:t>，</w:t>
      </w:r>
      <w:r>
        <w:rPr>
          <w:rFonts w:hint="eastAsia"/>
        </w:rPr>
        <w:t>從中可歸結出法治與</w:t>
      </w:r>
      <w:r w:rsidRPr="00086E4F">
        <w:rPr>
          <w:rFonts w:hint="eastAsia"/>
        </w:rPr>
        <w:t>源頭管理之重要。</w:t>
      </w:r>
      <w:r>
        <w:rPr>
          <w:rFonts w:hint="eastAsia"/>
        </w:rPr>
        <w:t>在司法正義方面，監察院</w:t>
      </w:r>
      <w:r>
        <w:rPr>
          <w:rFonts w:hint="eastAsia"/>
        </w:rPr>
        <w:t>2017</w:t>
      </w:r>
      <w:r>
        <w:rPr>
          <w:rFonts w:hint="eastAsia"/>
        </w:rPr>
        <w:t>年調查</w:t>
      </w:r>
      <w:r w:rsidRPr="00086E4F">
        <w:rPr>
          <w:rFonts w:hint="eastAsia"/>
        </w:rPr>
        <w:t>檢察官媒介少女性交易</w:t>
      </w:r>
      <w:r>
        <w:rPr>
          <w:rFonts w:hint="eastAsia"/>
        </w:rPr>
        <w:t>及</w:t>
      </w:r>
      <w:r w:rsidRPr="00086E4F">
        <w:rPr>
          <w:rFonts w:hint="eastAsia"/>
        </w:rPr>
        <w:t>員警脅迫毒販栽贓</w:t>
      </w:r>
      <w:r>
        <w:rPr>
          <w:rFonts w:hint="eastAsia"/>
        </w:rPr>
        <w:t>以</w:t>
      </w:r>
      <w:r w:rsidRPr="00086E4F">
        <w:rPr>
          <w:rFonts w:hint="eastAsia"/>
        </w:rPr>
        <w:t>取得春安績效</w:t>
      </w:r>
      <w:r>
        <w:rPr>
          <w:rFonts w:hint="eastAsia"/>
        </w:rPr>
        <w:t>等</w:t>
      </w:r>
      <w:r w:rsidRPr="00086E4F">
        <w:rPr>
          <w:rFonts w:hint="eastAsia"/>
        </w:rPr>
        <w:t>案</w:t>
      </w:r>
      <w:r>
        <w:rPr>
          <w:rFonts w:hint="eastAsia"/>
        </w:rPr>
        <w:t>件，顯見司法、警政人員道德操守實不容忽視。監察院已對相關違失人員進行彈劾，</w:t>
      </w:r>
      <w:r w:rsidRPr="00487701">
        <w:rPr>
          <w:rFonts w:hint="eastAsia"/>
        </w:rPr>
        <w:t>期盼各機關及所屬公務員應謹守分際，避免因執行職務違法背紀誤蹈法網。</w:t>
      </w:r>
    </w:p>
    <w:p w:rsidR="007409C6" w:rsidRDefault="007409C6" w:rsidP="007409C6">
      <w:pPr>
        <w:pStyle w:val="1---"/>
        <w:spacing w:beforeLines="50" w:before="180" w:line="400" w:lineRule="exact"/>
        <w:ind w:firstLine="480"/>
      </w:pPr>
      <w:r>
        <w:rPr>
          <w:rFonts w:hint="eastAsia"/>
        </w:rPr>
        <w:t>此外，</w:t>
      </w:r>
      <w:r w:rsidRPr="00086E4F">
        <w:rPr>
          <w:rFonts w:hint="eastAsia"/>
        </w:rPr>
        <w:t>監察院重視兒少、身心障礙者及老人權利</w:t>
      </w:r>
      <w:r>
        <w:rPr>
          <w:rFonts w:hint="eastAsia"/>
        </w:rPr>
        <w:t>之保障，歷年除舉辦相關人權研討會外，並於各年度人權實錄摘錄多起調查案件。</w:t>
      </w:r>
      <w:r>
        <w:rPr>
          <w:rFonts w:hint="eastAsia"/>
        </w:rPr>
        <w:t>2017</w:t>
      </w:r>
      <w:r>
        <w:rPr>
          <w:rFonts w:hint="eastAsia"/>
        </w:rPr>
        <w:t>年實錄亦載有</w:t>
      </w:r>
      <w:r w:rsidRPr="00975BD9">
        <w:rPr>
          <w:rFonts w:hint="eastAsia"/>
        </w:rPr>
        <w:t>阻絕毒品入侵校園</w:t>
      </w:r>
      <w:r>
        <w:rPr>
          <w:rFonts w:hint="eastAsia"/>
        </w:rPr>
        <w:t>、</w:t>
      </w:r>
      <w:r w:rsidRPr="00975BD9">
        <w:rPr>
          <w:rFonts w:hint="eastAsia"/>
        </w:rPr>
        <w:t>精神疾患家庭之兒少保護</w:t>
      </w:r>
      <w:r>
        <w:rPr>
          <w:rFonts w:hint="eastAsia"/>
        </w:rPr>
        <w:t>及</w:t>
      </w:r>
      <w:r w:rsidRPr="00975BD9">
        <w:rPr>
          <w:rFonts w:hint="eastAsia"/>
        </w:rPr>
        <w:t>失智症服務量不足</w:t>
      </w:r>
      <w:r>
        <w:rPr>
          <w:rFonts w:hint="eastAsia"/>
        </w:rPr>
        <w:t>等案件</w:t>
      </w:r>
      <w:r w:rsidRPr="00086E4F">
        <w:rPr>
          <w:rFonts w:hint="eastAsia"/>
        </w:rPr>
        <w:t>。</w:t>
      </w:r>
      <w:r>
        <w:rPr>
          <w:rFonts w:hint="eastAsia"/>
        </w:rPr>
        <w:t>期藉由監察職權行使，喚起各界對兒少、身心障礙者及老人權利之重視。</w:t>
      </w:r>
    </w:p>
    <w:p w:rsidR="007409C6" w:rsidRDefault="007409C6" w:rsidP="007409C6">
      <w:pPr>
        <w:pStyle w:val="1---"/>
        <w:spacing w:line="400" w:lineRule="exact"/>
        <w:ind w:firstLine="480"/>
        <w:rPr>
          <w:lang w:eastAsia="zh-TW"/>
        </w:rPr>
      </w:pPr>
      <w:r>
        <w:rPr>
          <w:rFonts w:hint="eastAsia"/>
        </w:rPr>
        <w:lastRenderedPageBreak/>
        <w:t>透過彙整及呈現監察院</w:t>
      </w:r>
      <w:r>
        <w:rPr>
          <w:rFonts w:hint="eastAsia"/>
        </w:rPr>
        <w:t>2017</w:t>
      </w:r>
      <w:r>
        <w:rPr>
          <w:rFonts w:hint="eastAsia"/>
        </w:rPr>
        <w:t>年調查之人權案件，希冀</w:t>
      </w:r>
      <w:r w:rsidRPr="0066288E">
        <w:rPr>
          <w:rFonts w:hint="eastAsia"/>
        </w:rPr>
        <w:t>各</w:t>
      </w:r>
      <w:r w:rsidRPr="0066288E">
        <w:t>界</w:t>
      </w:r>
      <w:r>
        <w:rPr>
          <w:rFonts w:hint="eastAsia"/>
        </w:rPr>
        <w:t>瞭解監察委員在促進人權保障上之努力，更期待各界</w:t>
      </w:r>
      <w:r w:rsidRPr="0066288E">
        <w:rPr>
          <w:rFonts w:hint="eastAsia"/>
        </w:rPr>
        <w:t>正視臺灣的人權保障工作。</w:t>
      </w:r>
      <w:r w:rsidRPr="0066288E">
        <w:t>茲於本實錄付印之際，謹書數言，刊於卷首，以為之序，並請讀者不吝指正。</w:t>
      </w:r>
    </w:p>
    <w:p w:rsidR="007409C6" w:rsidRDefault="007409C6" w:rsidP="007409C6">
      <w:pPr>
        <w:pStyle w:val="1---"/>
        <w:spacing w:line="400" w:lineRule="exact"/>
        <w:ind w:firstLine="480"/>
        <w:rPr>
          <w:lang w:eastAsia="zh-TW"/>
        </w:rPr>
      </w:pPr>
    </w:p>
    <w:p w:rsidR="007409C6" w:rsidRDefault="007409C6" w:rsidP="007409C6">
      <w:pPr>
        <w:pStyle w:val="1---"/>
        <w:spacing w:line="400" w:lineRule="exact"/>
        <w:ind w:firstLine="480"/>
        <w:rPr>
          <w:lang w:eastAsia="zh-TW"/>
        </w:rPr>
      </w:pPr>
    </w:p>
    <w:p w:rsidR="007409C6" w:rsidRDefault="007409C6" w:rsidP="007409C6">
      <w:pPr>
        <w:pStyle w:val="1---"/>
        <w:spacing w:line="400" w:lineRule="exact"/>
        <w:ind w:firstLine="480"/>
        <w:rPr>
          <w:lang w:eastAsia="zh-TW"/>
        </w:rPr>
      </w:pPr>
    </w:p>
    <w:p w:rsidR="007409C6" w:rsidRDefault="007409C6" w:rsidP="007409C6">
      <w:pPr>
        <w:pStyle w:val="1---"/>
        <w:spacing w:line="400" w:lineRule="exact"/>
        <w:ind w:firstLine="480"/>
        <w:rPr>
          <w:lang w:eastAsia="zh-TW"/>
        </w:rPr>
      </w:pPr>
    </w:p>
    <w:p w:rsidR="007409C6" w:rsidRDefault="007409C6" w:rsidP="007409C6">
      <w:pPr>
        <w:pStyle w:val="1---"/>
        <w:spacing w:line="400" w:lineRule="exact"/>
        <w:ind w:firstLine="480"/>
        <w:rPr>
          <w:lang w:eastAsia="zh-TW"/>
        </w:rPr>
      </w:pPr>
    </w:p>
    <w:p w:rsidR="007409C6" w:rsidRDefault="007409C6" w:rsidP="007409C6">
      <w:pPr>
        <w:pStyle w:val="1---"/>
        <w:spacing w:line="400" w:lineRule="exact"/>
        <w:ind w:firstLine="480"/>
        <w:rPr>
          <w:lang w:eastAsia="zh-TW"/>
        </w:rPr>
      </w:pPr>
    </w:p>
    <w:p w:rsidR="007409C6" w:rsidRDefault="007409C6" w:rsidP="007409C6">
      <w:pPr>
        <w:pStyle w:val="1---"/>
        <w:spacing w:line="400" w:lineRule="exact"/>
        <w:ind w:firstLine="480"/>
        <w:rPr>
          <w:lang w:eastAsia="zh-TW"/>
        </w:rPr>
      </w:pPr>
    </w:p>
    <w:p w:rsidR="007409C6" w:rsidRPr="007409C6" w:rsidRDefault="007409C6" w:rsidP="00656B20">
      <w:pPr>
        <w:pStyle w:val="1---"/>
        <w:kinsoku/>
        <w:overflowPunct/>
        <w:snapToGrid w:val="0"/>
        <w:spacing w:line="240" w:lineRule="auto"/>
        <w:ind w:firstLine="560"/>
        <w:jc w:val="right"/>
        <w:textAlignment w:val="center"/>
        <w:rPr>
          <w:rFonts w:ascii="標楷體" w:eastAsia="標楷體"/>
          <w:color w:val="000000"/>
          <w:szCs w:val="24"/>
        </w:rPr>
      </w:pPr>
      <w:r w:rsidRPr="00656B20">
        <w:rPr>
          <w:rFonts w:ascii="新細明體" w:hAnsi="新細明體" w:hint="eastAsia"/>
          <w:kern w:val="0"/>
          <w:position w:val="14"/>
          <w:sz w:val="28"/>
        </w:rPr>
        <w:t>監察院院長</w:t>
      </w:r>
      <w:r>
        <w:rPr>
          <w:noProof/>
          <w:lang w:val="en-US" w:eastAsia="zh-TW"/>
        </w:rPr>
        <w:drawing>
          <wp:inline distT="0" distB="0" distL="0" distR="0" wp14:anchorId="5B33E229" wp14:editId="70782B03">
            <wp:extent cx="1447800" cy="647700"/>
            <wp:effectExtent l="0" t="0" r="0" b="0"/>
            <wp:docPr id="61" name="圖片 61" descr="簽名電子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簽名電子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647700"/>
                    </a:xfrm>
                    <a:prstGeom prst="rect">
                      <a:avLst/>
                    </a:prstGeom>
                    <a:noFill/>
                    <a:ln>
                      <a:noFill/>
                    </a:ln>
                  </pic:spPr>
                </pic:pic>
              </a:graphicData>
            </a:graphic>
          </wp:inline>
        </w:drawing>
      </w:r>
      <w:r w:rsidRPr="007409C6">
        <w:rPr>
          <w:rFonts w:ascii="新細明體" w:hAnsi="新細明體" w:hint="eastAsia"/>
          <w:color w:val="000000"/>
          <w:kern w:val="0"/>
          <w:szCs w:val="24"/>
        </w:rPr>
        <w:t>謹識</w:t>
      </w:r>
    </w:p>
    <w:p w:rsidR="007409C6" w:rsidRPr="007409C6" w:rsidRDefault="007409C6" w:rsidP="007409C6">
      <w:pPr>
        <w:pStyle w:val="1---"/>
        <w:kinsoku/>
        <w:overflowPunct/>
        <w:snapToGrid w:val="0"/>
        <w:spacing w:line="240" w:lineRule="auto"/>
        <w:ind w:firstLine="480"/>
        <w:jc w:val="right"/>
        <w:textAlignment w:val="center"/>
        <w:rPr>
          <w:color w:val="000000"/>
          <w:kern w:val="0"/>
          <w:szCs w:val="24"/>
        </w:rPr>
      </w:pPr>
      <w:r w:rsidRPr="007409C6">
        <w:rPr>
          <w:color w:val="000000"/>
          <w:kern w:val="0"/>
          <w:szCs w:val="24"/>
        </w:rPr>
        <w:t xml:space="preserve">                       2019</w:t>
      </w:r>
      <w:r w:rsidRPr="007409C6">
        <w:rPr>
          <w:color w:val="000000"/>
          <w:kern w:val="0"/>
          <w:szCs w:val="24"/>
        </w:rPr>
        <w:t>年</w:t>
      </w:r>
      <w:r w:rsidRPr="007409C6">
        <w:rPr>
          <w:color w:val="000000"/>
          <w:kern w:val="0"/>
          <w:szCs w:val="24"/>
        </w:rPr>
        <w:t>4</w:t>
      </w:r>
      <w:r w:rsidRPr="007409C6">
        <w:rPr>
          <w:color w:val="000000"/>
          <w:kern w:val="0"/>
          <w:szCs w:val="24"/>
        </w:rPr>
        <w:t>月</w:t>
      </w:r>
      <w:r w:rsidRPr="007409C6">
        <w:rPr>
          <w:color w:val="000000"/>
          <w:kern w:val="0"/>
          <w:szCs w:val="24"/>
        </w:rPr>
        <w:t>26</w:t>
      </w:r>
      <w:r w:rsidRPr="007409C6">
        <w:rPr>
          <w:color w:val="000000"/>
          <w:kern w:val="0"/>
          <w:szCs w:val="24"/>
        </w:rPr>
        <w:t>日</w:t>
      </w:r>
    </w:p>
    <w:p w:rsidR="00D96B53" w:rsidRDefault="00D96B53"/>
    <w:p w:rsidR="007409C6" w:rsidRDefault="007409C6">
      <w:pPr>
        <w:widowControl/>
        <w:snapToGrid/>
      </w:pPr>
      <w:r>
        <w:br w:type="page"/>
      </w:r>
    </w:p>
    <w:p w:rsidR="007409C6" w:rsidRDefault="007409C6"/>
    <w:p w:rsidR="007409C6" w:rsidRDefault="007409C6"/>
    <w:p w:rsidR="007409C6" w:rsidRDefault="007409C6"/>
    <w:p w:rsidR="007409C6" w:rsidRDefault="007409C6"/>
    <w:p w:rsidR="007409C6" w:rsidRDefault="007409C6"/>
    <w:p w:rsidR="007409C6" w:rsidRDefault="007409C6"/>
    <w:p w:rsidR="007409C6" w:rsidRDefault="007409C6"/>
    <w:p w:rsidR="007409C6" w:rsidRDefault="007409C6"/>
    <w:p w:rsidR="007409C6" w:rsidRDefault="007409C6" w:rsidP="00027E3B">
      <w:pPr>
        <w:widowControl/>
        <w:snapToGrid/>
        <w:sectPr w:rsidR="007409C6" w:rsidSect="000315BA">
          <w:footerReference w:type="default" r:id="rId10"/>
          <w:pgSz w:w="8392" w:h="11907" w:code="11"/>
          <w:pgMar w:top="1701" w:right="794" w:bottom="1134" w:left="964" w:header="624" w:footer="397" w:gutter="0"/>
          <w:pgNumType w:start="1"/>
          <w:cols w:space="425"/>
          <w:docGrid w:type="lines" w:linePitch="360"/>
        </w:sectPr>
      </w:pPr>
    </w:p>
    <w:p w:rsidR="00230A76" w:rsidRPr="003D79AC" w:rsidRDefault="00230A76" w:rsidP="0092333E">
      <w:pPr>
        <w:spacing w:afterLines="100" w:after="360"/>
        <w:jc w:val="center"/>
        <w:rPr>
          <w:rFonts w:ascii="華康新特明體" w:eastAsia="華康新特明體"/>
          <w:sz w:val="40"/>
          <w:szCs w:val="40"/>
        </w:rPr>
      </w:pPr>
      <w:r w:rsidRPr="003D79AC">
        <w:rPr>
          <w:rFonts w:ascii="華康新特明體" w:eastAsia="華康新特明體" w:hint="eastAsia"/>
          <w:sz w:val="40"/>
          <w:szCs w:val="40"/>
        </w:rPr>
        <w:lastRenderedPageBreak/>
        <w:t>目</w:t>
      </w:r>
      <w:r w:rsidRPr="003D79AC">
        <w:rPr>
          <w:rFonts w:ascii="華康新特明體" w:eastAsia="華康新特明體" w:hAnsi="細明體" w:cs="細明體" w:hint="eastAsia"/>
          <w:sz w:val="40"/>
          <w:szCs w:val="40"/>
        </w:rPr>
        <w:t xml:space="preserve">　次</w:t>
      </w:r>
    </w:p>
    <w:p w:rsidR="00027E3B" w:rsidRPr="00230A76" w:rsidRDefault="00027E3B" w:rsidP="00230A76">
      <w:pPr>
        <w:widowControl/>
        <w:tabs>
          <w:tab w:val="right" w:leader="dot" w:pos="6600"/>
        </w:tabs>
        <w:snapToGrid/>
        <w:spacing w:line="440" w:lineRule="exact"/>
        <w:rPr>
          <w:rFonts w:eastAsia="華康細黑體"/>
        </w:rPr>
      </w:pPr>
      <w:r w:rsidRPr="00230A76">
        <w:rPr>
          <w:rFonts w:eastAsia="華康細黑體"/>
        </w:rPr>
        <w:t>前</w:t>
      </w:r>
      <w:r w:rsidR="0092333E">
        <w:rPr>
          <w:rFonts w:ascii="細明體" w:eastAsia="細明體" w:hAnsi="細明體" w:cs="細明體" w:hint="eastAsia"/>
        </w:rPr>
        <w:t xml:space="preserve">　</w:t>
      </w:r>
      <w:r w:rsidRPr="00230A76">
        <w:rPr>
          <w:rFonts w:eastAsia="華康細黑體"/>
        </w:rPr>
        <w:t>言</w:t>
      </w:r>
      <w:r w:rsidR="00DA10E0">
        <w:rPr>
          <w:rFonts w:eastAsia="華康細黑體"/>
        </w:rPr>
        <w:tab/>
      </w:r>
      <w:r w:rsidR="00796B2B">
        <w:rPr>
          <w:rFonts w:eastAsia="華康細黑體" w:hint="eastAsia"/>
        </w:rPr>
        <w:t>1</w:t>
      </w:r>
    </w:p>
    <w:p w:rsidR="00027E3B" w:rsidRPr="00230A76" w:rsidRDefault="00027E3B" w:rsidP="00230A76">
      <w:pPr>
        <w:widowControl/>
        <w:tabs>
          <w:tab w:val="right" w:leader="dot" w:pos="6600"/>
        </w:tabs>
        <w:snapToGrid/>
        <w:spacing w:line="440" w:lineRule="exact"/>
        <w:rPr>
          <w:rFonts w:eastAsia="華康細黑體"/>
        </w:rPr>
      </w:pPr>
      <w:r w:rsidRPr="0092333E">
        <w:rPr>
          <w:rFonts w:ascii="華康新特明體" w:eastAsia="華康新特明體" w:hint="eastAsia"/>
        </w:rPr>
        <w:t>第一章　自由權</w:t>
      </w:r>
      <w:r w:rsidR="00DA10E0">
        <w:rPr>
          <w:rFonts w:eastAsia="華康細黑體"/>
        </w:rPr>
        <w:tab/>
      </w:r>
      <w:r w:rsidR="00796B2B">
        <w:rPr>
          <w:rFonts w:eastAsia="華康細黑體" w:hint="eastAsia"/>
        </w:rPr>
        <w:t>5</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觸法少年於移送少年法院前之程序保障案</w:t>
      </w:r>
      <w:r w:rsidR="00DA10E0">
        <w:rPr>
          <w:rFonts w:eastAsia="華康細黑體"/>
        </w:rPr>
        <w:tab/>
      </w:r>
      <w:r w:rsidR="00796B2B">
        <w:rPr>
          <w:rFonts w:eastAsia="華康細黑體" w:hint="eastAsia"/>
        </w:rPr>
        <w:t>10</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更生人再犯及其就業輔導機制</w:t>
      </w:r>
      <w:r w:rsidR="00DA10E0">
        <w:rPr>
          <w:rFonts w:eastAsia="華康細黑體"/>
        </w:rPr>
        <w:tab/>
      </w:r>
      <w:r w:rsidR="00796B2B">
        <w:rPr>
          <w:rFonts w:eastAsia="華康細黑體" w:hint="eastAsia"/>
        </w:rPr>
        <w:t>15</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國軍軍隊紀律成效之檢討</w:t>
      </w:r>
      <w:r w:rsidR="00DA10E0">
        <w:rPr>
          <w:rFonts w:eastAsia="華康細黑體"/>
        </w:rPr>
        <w:tab/>
      </w:r>
      <w:r w:rsidR="00796B2B">
        <w:rPr>
          <w:rFonts w:eastAsia="華康細黑體" w:hint="eastAsia"/>
        </w:rPr>
        <w:t>19</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鹿窟地區共黨基地受難者司法救濟案</w:t>
      </w:r>
      <w:r w:rsidR="00DA10E0">
        <w:rPr>
          <w:rFonts w:eastAsia="華康細黑體"/>
        </w:rPr>
        <w:tab/>
      </w:r>
      <w:r w:rsidR="00796B2B">
        <w:rPr>
          <w:rFonts w:eastAsia="華康細黑體" w:hint="eastAsia"/>
        </w:rPr>
        <w:t>23</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漁船遭國外海盜挾持相關保障措施</w:t>
      </w:r>
      <w:r w:rsidR="00DA10E0">
        <w:rPr>
          <w:rFonts w:eastAsia="華康細黑體"/>
        </w:rPr>
        <w:tab/>
      </w:r>
      <w:r w:rsidR="00796B2B">
        <w:rPr>
          <w:rFonts w:eastAsia="華康細黑體" w:hint="eastAsia"/>
        </w:rPr>
        <w:t>27</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薪資系統未妥善保護個人資料</w:t>
      </w:r>
      <w:r w:rsidR="00DA10E0">
        <w:rPr>
          <w:rFonts w:eastAsia="華康細黑體"/>
        </w:rPr>
        <w:tab/>
      </w:r>
      <w:r w:rsidR="00796B2B">
        <w:rPr>
          <w:rFonts w:eastAsia="華康細黑體" w:hint="eastAsia"/>
        </w:rPr>
        <w:t>31</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評析</w:t>
      </w:r>
      <w:r w:rsidR="00DA10E0">
        <w:rPr>
          <w:rFonts w:eastAsia="華康細黑體"/>
        </w:rPr>
        <w:tab/>
      </w:r>
      <w:r w:rsidR="00796B2B">
        <w:rPr>
          <w:rFonts w:eastAsia="華康細黑體" w:hint="eastAsia"/>
        </w:rPr>
        <w:t>34</w:t>
      </w:r>
    </w:p>
    <w:p w:rsidR="00027E3B" w:rsidRPr="00230A76" w:rsidRDefault="00027E3B" w:rsidP="00230A76">
      <w:pPr>
        <w:widowControl/>
        <w:tabs>
          <w:tab w:val="right" w:leader="dot" w:pos="6600"/>
        </w:tabs>
        <w:snapToGrid/>
        <w:spacing w:line="440" w:lineRule="exact"/>
        <w:rPr>
          <w:rFonts w:eastAsia="華康細黑體"/>
        </w:rPr>
      </w:pPr>
      <w:r w:rsidRPr="0092333E">
        <w:rPr>
          <w:rFonts w:ascii="華康新特明體" w:eastAsia="華康新特明體" w:hint="eastAsia"/>
        </w:rPr>
        <w:t>第二章　平等權</w:t>
      </w:r>
      <w:r w:rsidR="00DA10E0">
        <w:rPr>
          <w:rFonts w:eastAsia="華康細黑體"/>
        </w:rPr>
        <w:tab/>
      </w:r>
      <w:r w:rsidR="00796B2B">
        <w:rPr>
          <w:rFonts w:eastAsia="華康細黑體" w:hint="eastAsia"/>
        </w:rPr>
        <w:t>37</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外籍專業人士子女在臺之權益</w:t>
      </w:r>
      <w:r w:rsidR="00DA10E0">
        <w:rPr>
          <w:rFonts w:eastAsia="華康細黑體"/>
        </w:rPr>
        <w:tab/>
      </w:r>
      <w:r w:rsidR="00796B2B">
        <w:rPr>
          <w:rFonts w:eastAsia="華康細黑體" w:hint="eastAsia"/>
        </w:rPr>
        <w:t>41</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婚姻移民及新住民總體政策檢討</w:t>
      </w:r>
      <w:r w:rsidR="00DA10E0">
        <w:rPr>
          <w:rFonts w:eastAsia="華康細黑體"/>
        </w:rPr>
        <w:tab/>
      </w:r>
      <w:r w:rsidR="00796B2B">
        <w:rPr>
          <w:rFonts w:eastAsia="華康細黑體" w:hint="eastAsia"/>
        </w:rPr>
        <w:t>45</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新住民融入臺灣社會相關權益</w:t>
      </w:r>
      <w:r w:rsidR="00DA10E0">
        <w:rPr>
          <w:rFonts w:eastAsia="華康細黑體"/>
        </w:rPr>
        <w:tab/>
      </w:r>
      <w:r w:rsidR="00796B2B">
        <w:rPr>
          <w:rFonts w:eastAsia="華康細黑體" w:hint="eastAsia"/>
        </w:rPr>
        <w:t>51</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外籍勞工在臺期間懷孕及所生子女權益</w:t>
      </w:r>
      <w:r w:rsidR="00DA10E0">
        <w:rPr>
          <w:rFonts w:eastAsia="華康細黑體"/>
        </w:rPr>
        <w:tab/>
      </w:r>
      <w:r w:rsidR="00796B2B">
        <w:rPr>
          <w:rFonts w:eastAsia="華康細黑體" w:hint="eastAsia"/>
        </w:rPr>
        <w:t>57</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士官長對部屬性騷擾事件違失案</w:t>
      </w:r>
      <w:r w:rsidR="00DA10E0">
        <w:rPr>
          <w:rFonts w:eastAsia="華康細黑體"/>
        </w:rPr>
        <w:tab/>
      </w:r>
      <w:r w:rsidR="00796B2B">
        <w:rPr>
          <w:rFonts w:eastAsia="華康細黑體" w:hint="eastAsia"/>
        </w:rPr>
        <w:t>63</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軍方查辦參謀主任強制猥褻事件</w:t>
      </w:r>
      <w:r w:rsidR="00DA10E0">
        <w:rPr>
          <w:rFonts w:eastAsia="華康細黑體"/>
        </w:rPr>
        <w:tab/>
      </w:r>
      <w:r w:rsidR="00796B2B">
        <w:rPr>
          <w:rFonts w:eastAsia="華康細黑體" w:hint="eastAsia"/>
        </w:rPr>
        <w:t>69</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校園性侵害案件違失查究及被害人權益</w:t>
      </w:r>
      <w:r w:rsidR="00DA10E0">
        <w:rPr>
          <w:rFonts w:eastAsia="華康細黑體"/>
        </w:rPr>
        <w:tab/>
      </w:r>
      <w:r w:rsidR="00796B2B">
        <w:rPr>
          <w:rFonts w:eastAsia="華康細黑體" w:hint="eastAsia"/>
        </w:rPr>
        <w:t>75</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迎新活動引發性騷擾之疑慮案</w:t>
      </w:r>
      <w:r w:rsidR="00027E3B" w:rsidRPr="00230A76">
        <w:rPr>
          <w:rFonts w:eastAsia="華康細黑體"/>
        </w:rPr>
        <w:tab/>
      </w:r>
      <w:r w:rsidR="00796B2B">
        <w:rPr>
          <w:rFonts w:eastAsia="華康細黑體" w:hint="eastAsia"/>
        </w:rPr>
        <w:t>79</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lastRenderedPageBreak/>
        <w:t xml:space="preserve">　　</w:t>
      </w:r>
      <w:r w:rsidR="00027E3B" w:rsidRPr="00230A76">
        <w:rPr>
          <w:rFonts w:eastAsia="華康細黑體"/>
        </w:rPr>
        <w:t>涉案榮民就養金合法性</w:t>
      </w:r>
      <w:r w:rsidR="00DA10E0">
        <w:rPr>
          <w:rFonts w:eastAsia="華康細黑體"/>
        </w:rPr>
        <w:tab/>
      </w:r>
      <w:r w:rsidR="00930141">
        <w:rPr>
          <w:rFonts w:eastAsia="華康細黑體" w:hint="eastAsia"/>
        </w:rPr>
        <w:t>83</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評析</w:t>
      </w:r>
      <w:r w:rsidR="00DA10E0">
        <w:rPr>
          <w:rFonts w:eastAsia="華康細黑體"/>
        </w:rPr>
        <w:tab/>
      </w:r>
      <w:r w:rsidR="00930141">
        <w:rPr>
          <w:rFonts w:eastAsia="華康細黑體" w:hint="eastAsia"/>
        </w:rPr>
        <w:t>86</w:t>
      </w:r>
    </w:p>
    <w:p w:rsidR="00027E3B" w:rsidRPr="00230A76" w:rsidRDefault="00027E3B" w:rsidP="00230A76">
      <w:pPr>
        <w:widowControl/>
        <w:tabs>
          <w:tab w:val="right" w:leader="dot" w:pos="6600"/>
        </w:tabs>
        <w:snapToGrid/>
        <w:spacing w:line="440" w:lineRule="exact"/>
        <w:rPr>
          <w:rFonts w:eastAsia="華康細黑體"/>
        </w:rPr>
      </w:pPr>
      <w:r w:rsidRPr="0092333E">
        <w:rPr>
          <w:rFonts w:ascii="華康新特明體" w:eastAsia="華康新特明體" w:hint="eastAsia"/>
        </w:rPr>
        <w:t>第三章　生存權</w:t>
      </w:r>
      <w:r w:rsidR="00DA10E0">
        <w:rPr>
          <w:rFonts w:eastAsia="華康細黑體"/>
        </w:rPr>
        <w:tab/>
      </w:r>
      <w:r w:rsidR="00930141">
        <w:rPr>
          <w:rFonts w:eastAsia="華康細黑體" w:hint="eastAsia"/>
        </w:rPr>
        <w:t>88</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陸軍機甲車輛墜溪案</w:t>
      </w:r>
      <w:r w:rsidR="00DA10E0">
        <w:rPr>
          <w:rFonts w:eastAsia="華康細黑體"/>
        </w:rPr>
        <w:tab/>
      </w:r>
      <w:r w:rsidR="00930141">
        <w:rPr>
          <w:rFonts w:eastAsia="華康細黑體" w:hint="eastAsia"/>
        </w:rPr>
        <w:t>90</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軍中自殺個案之檢討</w:t>
      </w:r>
      <w:r w:rsidR="00DA10E0">
        <w:rPr>
          <w:rFonts w:eastAsia="華康細黑體"/>
        </w:rPr>
        <w:tab/>
      </w:r>
      <w:r w:rsidR="00930141">
        <w:rPr>
          <w:rFonts w:eastAsia="華康細黑體" w:hint="eastAsia"/>
        </w:rPr>
        <w:t>95</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桃園市長照中心火災致死案</w:t>
      </w:r>
      <w:r w:rsidR="00DA10E0">
        <w:rPr>
          <w:rFonts w:eastAsia="華康細黑體"/>
        </w:rPr>
        <w:tab/>
      </w:r>
      <w:r w:rsidR="00930141">
        <w:rPr>
          <w:rFonts w:eastAsia="華康細黑體" w:hint="eastAsia"/>
        </w:rPr>
        <w:t>100</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新北市長照中心火災致死案</w:t>
      </w:r>
      <w:r w:rsidR="00DA10E0">
        <w:rPr>
          <w:rFonts w:eastAsia="華康細黑體"/>
        </w:rPr>
        <w:tab/>
      </w:r>
      <w:r w:rsidR="00930141">
        <w:rPr>
          <w:rFonts w:eastAsia="華康細黑體" w:hint="eastAsia"/>
        </w:rPr>
        <w:t>108</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保齡球館消防救災作業涉有違失案</w:t>
      </w:r>
      <w:r w:rsidR="00DA10E0">
        <w:rPr>
          <w:rFonts w:eastAsia="華康細黑體"/>
        </w:rPr>
        <w:tab/>
      </w:r>
      <w:r w:rsidR="00930141">
        <w:rPr>
          <w:rFonts w:eastAsia="華康細黑體" w:hint="eastAsia"/>
        </w:rPr>
        <w:t>112</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住宅用火災警報器設置成效不彰</w:t>
      </w:r>
      <w:r w:rsidR="00DA10E0">
        <w:rPr>
          <w:rFonts w:eastAsia="華康細黑體"/>
        </w:rPr>
        <w:tab/>
      </w:r>
      <w:r w:rsidR="00930141">
        <w:rPr>
          <w:rFonts w:eastAsia="華康細黑體" w:hint="eastAsia"/>
        </w:rPr>
        <w:t>116</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大客車安檢管理及災害應變機制</w:t>
      </w:r>
      <w:r w:rsidR="00DA10E0">
        <w:rPr>
          <w:rFonts w:eastAsia="華康細黑體"/>
        </w:rPr>
        <w:tab/>
      </w:r>
      <w:r w:rsidR="00930141">
        <w:rPr>
          <w:rFonts w:eastAsia="華康細黑體" w:hint="eastAsia"/>
        </w:rPr>
        <w:t>120</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遊覽車國道翻覆案</w:t>
      </w:r>
      <w:r w:rsidR="00DA10E0">
        <w:rPr>
          <w:rFonts w:eastAsia="華康細黑體"/>
        </w:rPr>
        <w:tab/>
      </w:r>
      <w:r w:rsidR="00930141">
        <w:rPr>
          <w:rFonts w:eastAsia="華康細黑體" w:hint="eastAsia"/>
        </w:rPr>
        <w:t>124</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港區船舶運輸危險品管理機制</w:t>
      </w:r>
      <w:r w:rsidR="00C467A6">
        <w:rPr>
          <w:rFonts w:eastAsia="華康細黑體"/>
        </w:rPr>
        <w:tab/>
      </w:r>
      <w:r w:rsidR="00930141">
        <w:rPr>
          <w:rFonts w:eastAsia="華康細黑體" w:hint="eastAsia"/>
        </w:rPr>
        <w:t>128</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清泉崗基地棄置毒品案</w:t>
      </w:r>
      <w:r w:rsidR="00C467A6">
        <w:rPr>
          <w:rFonts w:eastAsia="華康細黑體"/>
        </w:rPr>
        <w:tab/>
      </w:r>
      <w:r w:rsidR="00930141">
        <w:rPr>
          <w:rFonts w:eastAsia="華康細黑體" w:hint="eastAsia"/>
        </w:rPr>
        <w:t>133</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評析</w:t>
      </w:r>
      <w:r w:rsidR="00C467A6">
        <w:rPr>
          <w:rFonts w:eastAsia="華康細黑體"/>
        </w:rPr>
        <w:tab/>
      </w:r>
      <w:r w:rsidR="00930141">
        <w:rPr>
          <w:rFonts w:eastAsia="華康細黑體" w:hint="eastAsia"/>
        </w:rPr>
        <w:t>137</w:t>
      </w:r>
    </w:p>
    <w:p w:rsidR="00027E3B" w:rsidRPr="00230A76" w:rsidRDefault="00027E3B" w:rsidP="00230A76">
      <w:pPr>
        <w:widowControl/>
        <w:tabs>
          <w:tab w:val="right" w:leader="dot" w:pos="6600"/>
        </w:tabs>
        <w:snapToGrid/>
        <w:spacing w:line="440" w:lineRule="exact"/>
        <w:rPr>
          <w:rFonts w:eastAsia="華康細黑體"/>
        </w:rPr>
      </w:pPr>
      <w:r w:rsidRPr="0092333E">
        <w:rPr>
          <w:rFonts w:ascii="華康新特明體" w:eastAsia="華康新特明體" w:hint="eastAsia"/>
        </w:rPr>
        <w:t>第四章　司法正義</w:t>
      </w:r>
      <w:r w:rsidR="00C467A6">
        <w:rPr>
          <w:rFonts w:eastAsia="華康細黑體"/>
        </w:rPr>
        <w:tab/>
      </w:r>
      <w:r w:rsidR="00930141">
        <w:rPr>
          <w:rFonts w:eastAsia="華康細黑體" w:hint="eastAsia"/>
        </w:rPr>
        <w:t>139</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一、執法風紀案件</w:t>
      </w:r>
      <w:r w:rsidR="00C467A6">
        <w:rPr>
          <w:rFonts w:eastAsia="華康細黑體"/>
        </w:rPr>
        <w:tab/>
      </w:r>
      <w:r w:rsidR="00930141">
        <w:rPr>
          <w:rFonts w:eastAsia="華康細黑體" w:hint="eastAsia"/>
        </w:rPr>
        <w:t>141</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檢察官媒介少女性交易案</w:t>
      </w:r>
      <w:r w:rsidR="00C467A6">
        <w:rPr>
          <w:rFonts w:eastAsia="華康細黑體"/>
        </w:rPr>
        <w:tab/>
      </w:r>
      <w:r w:rsidR="00930141">
        <w:rPr>
          <w:rFonts w:eastAsia="華康細黑體" w:hint="eastAsia"/>
        </w:rPr>
        <w:t>141</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員警脅迫毒販栽贓取得春安績效案</w:t>
      </w:r>
      <w:r w:rsidR="00C467A6">
        <w:rPr>
          <w:rFonts w:eastAsia="華康細黑體"/>
        </w:rPr>
        <w:tab/>
      </w:r>
      <w:r w:rsidR="00930141">
        <w:rPr>
          <w:rFonts w:eastAsia="華康細黑體" w:hint="eastAsia"/>
        </w:rPr>
        <w:t>146</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檢察官辦案稽延</w:t>
      </w:r>
      <w:r w:rsidR="00027E3B" w:rsidRPr="00230A76">
        <w:rPr>
          <w:rFonts w:eastAsia="華康細黑體"/>
        </w:rPr>
        <w:tab/>
      </w:r>
      <w:r w:rsidR="00930141">
        <w:rPr>
          <w:rFonts w:eastAsia="華康細黑體" w:hint="eastAsia"/>
        </w:rPr>
        <w:t>150</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二、司法偵辦案件</w:t>
      </w:r>
      <w:r w:rsidR="00027E3B" w:rsidRPr="00230A76">
        <w:rPr>
          <w:rFonts w:eastAsia="華康細黑體"/>
        </w:rPr>
        <w:tab/>
      </w:r>
      <w:r w:rsidR="00930141">
        <w:rPr>
          <w:rFonts w:eastAsia="華康細黑體" w:hint="eastAsia"/>
        </w:rPr>
        <w:t>155</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lastRenderedPageBreak/>
        <w:t xml:space="preserve">　　　　</w:t>
      </w:r>
      <w:r w:rsidR="00027E3B" w:rsidRPr="00230A76">
        <w:rPr>
          <w:rFonts w:eastAsia="華康細黑體"/>
        </w:rPr>
        <w:t>偵查期間違反不公開原則</w:t>
      </w:r>
      <w:r w:rsidR="00027E3B" w:rsidRPr="00230A76">
        <w:rPr>
          <w:rFonts w:eastAsia="華康細黑體"/>
        </w:rPr>
        <w:tab/>
      </w:r>
      <w:r w:rsidR="00930141">
        <w:rPr>
          <w:rFonts w:eastAsia="華康細黑體" w:hint="eastAsia"/>
        </w:rPr>
        <w:t>159</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軍方查辦機密文件不當搜索案</w:t>
      </w:r>
      <w:r w:rsidR="00027E3B" w:rsidRPr="00230A76">
        <w:rPr>
          <w:rFonts w:eastAsia="華康細黑體"/>
        </w:rPr>
        <w:tab/>
      </w:r>
      <w:r w:rsidR="00930141">
        <w:rPr>
          <w:rFonts w:eastAsia="華康細黑體" w:hint="eastAsia"/>
        </w:rPr>
        <w:t>162</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冒名偵訊致生爭議案</w:t>
      </w:r>
      <w:r w:rsidR="00027E3B" w:rsidRPr="00230A76">
        <w:rPr>
          <w:rFonts w:eastAsia="華康細黑體"/>
        </w:rPr>
        <w:tab/>
      </w:r>
      <w:r w:rsidR="00930141">
        <w:rPr>
          <w:rFonts w:eastAsia="華康細黑體" w:hint="eastAsia"/>
        </w:rPr>
        <w:t>165</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測謊結果不宜單獨作為判決依據</w:t>
      </w:r>
      <w:r w:rsidR="00027E3B" w:rsidRPr="00230A76">
        <w:rPr>
          <w:rFonts w:eastAsia="華康細黑體"/>
        </w:rPr>
        <w:tab/>
      </w:r>
      <w:r w:rsidR="00930141">
        <w:rPr>
          <w:rFonts w:eastAsia="華康細黑體" w:hint="eastAsia"/>
        </w:rPr>
        <w:t>169</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檢方偵辦賄選案件涉違法監聽</w:t>
      </w:r>
      <w:r w:rsidR="00027E3B" w:rsidRPr="00230A76">
        <w:rPr>
          <w:rFonts w:eastAsia="華康細黑體"/>
        </w:rPr>
        <w:tab/>
      </w:r>
      <w:r w:rsidR="00930141">
        <w:rPr>
          <w:rFonts w:eastAsia="華康細黑體" w:hint="eastAsia"/>
        </w:rPr>
        <w:t>173</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偵辦案件採證涉違失</w:t>
      </w:r>
      <w:r w:rsidR="00027E3B" w:rsidRPr="00230A76">
        <w:rPr>
          <w:rFonts w:eastAsia="華康細黑體"/>
        </w:rPr>
        <w:tab/>
      </w:r>
      <w:r w:rsidR="00930141">
        <w:rPr>
          <w:rFonts w:eastAsia="華康細黑體" w:hint="eastAsia"/>
        </w:rPr>
        <w:t>175</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違反程序規定證詞之證據力</w:t>
      </w:r>
      <w:r w:rsidR="00027E3B" w:rsidRPr="00230A76">
        <w:rPr>
          <w:rFonts w:eastAsia="華康細黑體"/>
        </w:rPr>
        <w:tab/>
      </w:r>
      <w:r w:rsidR="00930141">
        <w:rPr>
          <w:rFonts w:eastAsia="華康細黑體" w:hint="eastAsia"/>
        </w:rPr>
        <w:t>178</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三、司法審判案件</w:t>
      </w:r>
      <w:r w:rsidR="00027E3B" w:rsidRPr="00230A76">
        <w:rPr>
          <w:rFonts w:eastAsia="華康細黑體"/>
        </w:rPr>
        <w:tab/>
      </w:r>
      <w:r w:rsidR="00930141">
        <w:rPr>
          <w:rFonts w:eastAsia="華康細黑體" w:hint="eastAsia"/>
        </w:rPr>
        <w:t>181</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無罪判決之上訴制度</w:t>
      </w:r>
      <w:r w:rsidR="00027E3B" w:rsidRPr="00230A76">
        <w:rPr>
          <w:rFonts w:eastAsia="華康細黑體"/>
        </w:rPr>
        <w:tab/>
      </w:r>
      <w:r w:rsidR="00930141">
        <w:rPr>
          <w:rFonts w:eastAsia="華康細黑體" w:hint="eastAsia"/>
        </w:rPr>
        <w:t>182</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測謊程序有瑕疵之證據力</w:t>
      </w:r>
      <w:r w:rsidR="00027E3B" w:rsidRPr="00230A76">
        <w:rPr>
          <w:rFonts w:eastAsia="華康細黑體"/>
        </w:rPr>
        <w:tab/>
      </w:r>
      <w:r w:rsidR="00930141">
        <w:rPr>
          <w:rFonts w:eastAsia="華康細黑體" w:hint="eastAsia"/>
        </w:rPr>
        <w:t>186</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有罪確定判決採證違背證據法則</w:t>
      </w:r>
      <w:r w:rsidR="00027E3B" w:rsidRPr="00230A76">
        <w:rPr>
          <w:rFonts w:eastAsia="華康細黑體"/>
        </w:rPr>
        <w:tab/>
      </w:r>
      <w:r w:rsidR="00930141">
        <w:rPr>
          <w:rFonts w:eastAsia="華康細黑體" w:hint="eastAsia"/>
        </w:rPr>
        <w:t>188</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判決不備理由或適用不當違誤</w:t>
      </w:r>
      <w:r w:rsidR="00027E3B" w:rsidRPr="00230A76">
        <w:rPr>
          <w:rFonts w:eastAsia="華康細黑體"/>
        </w:rPr>
        <w:tab/>
      </w:r>
      <w:r w:rsidR="00930141">
        <w:rPr>
          <w:rFonts w:eastAsia="華康細黑體" w:hint="eastAsia"/>
        </w:rPr>
        <w:t>191</w:t>
      </w:r>
    </w:p>
    <w:p w:rsidR="00027E3B" w:rsidRPr="00230A76" w:rsidRDefault="0092333E"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四、司法執行案件</w:t>
      </w:r>
      <w:r w:rsidR="00027E3B" w:rsidRPr="00230A76">
        <w:rPr>
          <w:rFonts w:eastAsia="華康細黑體"/>
        </w:rPr>
        <w:tab/>
      </w:r>
      <w:r w:rsidR="00930141">
        <w:rPr>
          <w:rFonts w:eastAsia="華康細黑體" w:hint="eastAsia"/>
        </w:rPr>
        <w:t>195</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遲延配置愛滋受刑人於收容專區</w:t>
      </w:r>
      <w:r w:rsidR="00027E3B" w:rsidRPr="00230A76">
        <w:rPr>
          <w:rFonts w:eastAsia="華康細黑體"/>
        </w:rPr>
        <w:tab/>
      </w:r>
      <w:r w:rsidR="00930141">
        <w:rPr>
          <w:rFonts w:eastAsia="華康細黑體" w:hint="eastAsia"/>
        </w:rPr>
        <w:t>196</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基隆看守所管理不當</w:t>
      </w:r>
      <w:r w:rsidR="00027E3B" w:rsidRPr="00230A76">
        <w:rPr>
          <w:rFonts w:eastAsia="華康細黑體"/>
        </w:rPr>
        <w:tab/>
      </w:r>
      <w:r w:rsidR="00930141">
        <w:rPr>
          <w:rFonts w:eastAsia="華康細黑體" w:hint="eastAsia"/>
        </w:rPr>
        <w:t>201</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臺北看守所收容人自殺案</w:t>
      </w:r>
      <w:r w:rsidR="00027E3B" w:rsidRPr="00230A76">
        <w:rPr>
          <w:rFonts w:eastAsia="華康細黑體"/>
        </w:rPr>
        <w:tab/>
      </w:r>
      <w:r w:rsidR="00930141">
        <w:rPr>
          <w:rFonts w:eastAsia="華康細黑體" w:hint="eastAsia"/>
        </w:rPr>
        <w:t>204</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少年觀護所相關制度查究案</w:t>
      </w:r>
      <w:r w:rsidR="00027E3B" w:rsidRPr="00230A76">
        <w:rPr>
          <w:rFonts w:eastAsia="華康細黑體"/>
        </w:rPr>
        <w:tab/>
      </w:r>
      <w:r w:rsidR="00930141">
        <w:rPr>
          <w:rFonts w:eastAsia="華康細黑體" w:hint="eastAsia"/>
        </w:rPr>
        <w:t>208</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陳訴人移監及戒具使用不當案</w:t>
      </w:r>
      <w:r w:rsidR="00027E3B" w:rsidRPr="00230A76">
        <w:rPr>
          <w:rFonts w:eastAsia="華康細黑體"/>
        </w:rPr>
        <w:tab/>
      </w:r>
      <w:r w:rsidR="00930141">
        <w:rPr>
          <w:rFonts w:eastAsia="華康細黑體" w:hint="eastAsia"/>
        </w:rPr>
        <w:t>215</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觀察勒戒處分執行之合憲性與適法性</w:t>
      </w:r>
      <w:r w:rsidR="00027E3B" w:rsidRPr="00230A76">
        <w:rPr>
          <w:rFonts w:eastAsia="華康細黑體"/>
        </w:rPr>
        <w:tab/>
      </w:r>
      <w:r w:rsidR="00930141">
        <w:rPr>
          <w:rFonts w:eastAsia="華康細黑體" w:hint="eastAsia"/>
        </w:rPr>
        <w:t>218</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刑後強制工作之免除處理涉有違失</w:t>
      </w:r>
      <w:r w:rsidR="00027E3B" w:rsidRPr="00230A76">
        <w:rPr>
          <w:rFonts w:eastAsia="華康細黑體"/>
        </w:rPr>
        <w:tab/>
      </w:r>
      <w:r w:rsidR="00930141">
        <w:rPr>
          <w:rFonts w:eastAsia="華康細黑體" w:hint="eastAsia"/>
        </w:rPr>
        <w:t>221</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lastRenderedPageBreak/>
        <w:t xml:space="preserve">　　</w:t>
      </w:r>
      <w:r w:rsidR="00027E3B" w:rsidRPr="00230A76">
        <w:rPr>
          <w:rFonts w:eastAsia="華康細黑體"/>
        </w:rPr>
        <w:t>五、其他司法爭議</w:t>
      </w:r>
      <w:r w:rsidR="00027E3B" w:rsidRPr="00230A76">
        <w:rPr>
          <w:rFonts w:eastAsia="華康細黑體"/>
        </w:rPr>
        <w:tab/>
      </w:r>
      <w:r w:rsidR="0047248E">
        <w:rPr>
          <w:rFonts w:eastAsia="華康細黑體" w:hint="eastAsia"/>
        </w:rPr>
        <w:t>225</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大法官意見書公布後之更正程序</w:t>
      </w:r>
      <w:r w:rsidR="00027E3B" w:rsidRPr="00230A76">
        <w:rPr>
          <w:rFonts w:eastAsia="華康細黑體"/>
        </w:rPr>
        <w:tab/>
      </w:r>
      <w:r w:rsidR="0047248E">
        <w:rPr>
          <w:rFonts w:eastAsia="華康細黑體" w:hint="eastAsia"/>
        </w:rPr>
        <w:t>225</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土耳其副代表酒後鬧事潛逃出境案</w:t>
      </w:r>
      <w:r w:rsidR="00027E3B" w:rsidRPr="00230A76">
        <w:rPr>
          <w:rFonts w:eastAsia="華康細黑體"/>
        </w:rPr>
        <w:tab/>
      </w:r>
      <w:r w:rsidR="0047248E">
        <w:rPr>
          <w:rFonts w:eastAsia="華康細黑體" w:hint="eastAsia"/>
        </w:rPr>
        <w:t>227</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官商勾結及警員洩漏個資案</w:t>
      </w:r>
      <w:r w:rsidR="00027E3B" w:rsidRPr="00230A76">
        <w:rPr>
          <w:rFonts w:eastAsia="華康細黑體"/>
        </w:rPr>
        <w:tab/>
      </w:r>
      <w:r w:rsidR="0047248E">
        <w:rPr>
          <w:rFonts w:eastAsia="華康細黑體" w:hint="eastAsia"/>
        </w:rPr>
        <w:t>230</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政風人員法定職掌與定位</w:t>
      </w:r>
      <w:r w:rsidR="00027E3B" w:rsidRPr="00230A76">
        <w:rPr>
          <w:rFonts w:eastAsia="華康細黑體"/>
        </w:rPr>
        <w:tab/>
      </w:r>
      <w:r w:rsidR="0047248E">
        <w:rPr>
          <w:rFonts w:eastAsia="華康細黑體" w:hint="eastAsia"/>
        </w:rPr>
        <w:t>233</w:t>
      </w:r>
    </w:p>
    <w:p w:rsidR="00027E3B" w:rsidRPr="00230A76" w:rsidRDefault="00E76D59" w:rsidP="0047248E">
      <w:pPr>
        <w:widowControl/>
        <w:tabs>
          <w:tab w:val="right" w:leader="dot" w:pos="6600"/>
        </w:tabs>
        <w:snapToGrid/>
        <w:spacing w:line="440" w:lineRule="exact"/>
        <w:ind w:left="960" w:hangingChars="400" w:hanging="960"/>
        <w:rPr>
          <w:rFonts w:eastAsia="華康細黑體"/>
        </w:rPr>
      </w:pPr>
      <w:r>
        <w:rPr>
          <w:rFonts w:ascii="細明體" w:eastAsia="細明體" w:hAnsi="細明體" w:cs="細明體" w:hint="eastAsia"/>
        </w:rPr>
        <w:t xml:space="preserve">　　　　</w:t>
      </w:r>
      <w:r w:rsidR="00027E3B" w:rsidRPr="00230A76">
        <w:rPr>
          <w:rFonts w:eastAsia="華康細黑體"/>
        </w:rPr>
        <w:t>石碇及瑞芳地區共黨基地受難者司法救</w:t>
      </w:r>
      <w:r w:rsidR="009322CD" w:rsidRPr="00230A76">
        <w:rPr>
          <w:rFonts w:eastAsia="華康細黑體"/>
        </w:rPr>
        <w:t>濟</w:t>
      </w:r>
      <w:r w:rsidR="00CA17A8" w:rsidRPr="00230A76">
        <w:rPr>
          <w:rFonts w:eastAsia="華康細黑體"/>
        </w:rPr>
        <w:t>案</w:t>
      </w:r>
      <w:r w:rsidR="0047248E">
        <w:rPr>
          <w:rFonts w:eastAsia="華康細黑體" w:hint="eastAsia"/>
        </w:rPr>
        <w:tab/>
        <w:t>236</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政黨財產查處之行政權限爭議案</w:t>
      </w:r>
      <w:r w:rsidR="00027E3B" w:rsidRPr="00230A76">
        <w:rPr>
          <w:rFonts w:eastAsia="華康細黑體"/>
        </w:rPr>
        <w:tab/>
      </w:r>
      <w:r w:rsidR="009322CD">
        <w:rPr>
          <w:rFonts w:eastAsia="華康細黑體" w:hint="eastAsia"/>
        </w:rPr>
        <w:t>240</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評析</w:t>
      </w:r>
      <w:r w:rsidR="00027E3B" w:rsidRPr="00230A76">
        <w:rPr>
          <w:rFonts w:eastAsia="華康細黑體"/>
        </w:rPr>
        <w:tab/>
      </w:r>
      <w:r w:rsidR="009322CD">
        <w:rPr>
          <w:rFonts w:eastAsia="華康細黑體" w:hint="eastAsia"/>
        </w:rPr>
        <w:t>242</w:t>
      </w:r>
    </w:p>
    <w:p w:rsidR="00027E3B" w:rsidRPr="00230A76" w:rsidRDefault="00027E3B" w:rsidP="00230A76">
      <w:pPr>
        <w:widowControl/>
        <w:tabs>
          <w:tab w:val="right" w:leader="dot" w:pos="6600"/>
        </w:tabs>
        <w:snapToGrid/>
        <w:spacing w:line="440" w:lineRule="exact"/>
        <w:rPr>
          <w:rFonts w:eastAsia="華康細黑體"/>
        </w:rPr>
      </w:pPr>
      <w:r w:rsidRPr="0092333E">
        <w:rPr>
          <w:rFonts w:ascii="華康新特明體" w:eastAsia="華康新特明體" w:hint="eastAsia"/>
        </w:rPr>
        <w:t>第五章　健康權</w:t>
      </w:r>
      <w:r w:rsidRPr="00230A76">
        <w:rPr>
          <w:rFonts w:eastAsia="華康細黑體"/>
        </w:rPr>
        <w:tab/>
      </w:r>
      <w:r w:rsidR="009322CD">
        <w:rPr>
          <w:rFonts w:eastAsia="華康細黑體" w:hint="eastAsia"/>
        </w:rPr>
        <w:t>246</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一、確保良好的飲食與醫療品質</w:t>
      </w:r>
      <w:r w:rsidR="00027E3B" w:rsidRPr="00230A76">
        <w:rPr>
          <w:rFonts w:eastAsia="華康細黑體"/>
        </w:rPr>
        <w:tab/>
      </w:r>
      <w:r w:rsidR="009322CD">
        <w:rPr>
          <w:rFonts w:eastAsia="華康細黑體" w:hint="eastAsia"/>
        </w:rPr>
        <w:t>247</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精緻農業發展及推動</w:t>
      </w:r>
      <w:r w:rsidR="00027E3B" w:rsidRPr="00230A76">
        <w:rPr>
          <w:rFonts w:eastAsia="華康細黑體"/>
        </w:rPr>
        <w:tab/>
      </w:r>
      <w:r w:rsidR="009322CD">
        <w:rPr>
          <w:rFonts w:eastAsia="華康細黑體" w:hint="eastAsia"/>
        </w:rPr>
        <w:t>248</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雞蛋戴奧辛含量超標案</w:t>
      </w:r>
      <w:r w:rsidR="00027E3B" w:rsidRPr="00230A76">
        <w:rPr>
          <w:rFonts w:eastAsia="華康細黑體"/>
        </w:rPr>
        <w:tab/>
      </w:r>
      <w:r w:rsidR="009322CD">
        <w:rPr>
          <w:rFonts w:eastAsia="華康細黑體" w:hint="eastAsia"/>
        </w:rPr>
        <w:t>252</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知名飯店使用逾期發霉食材案</w:t>
      </w:r>
      <w:r w:rsidR="00027E3B" w:rsidRPr="00230A76">
        <w:rPr>
          <w:rFonts w:eastAsia="華康細黑體"/>
        </w:rPr>
        <w:tab/>
      </w:r>
      <w:r w:rsidR="009322CD">
        <w:rPr>
          <w:rFonts w:eastAsia="華康細黑體" w:hint="eastAsia"/>
        </w:rPr>
        <w:t>257</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偽藥規範與管控</w:t>
      </w:r>
      <w:r w:rsidR="00027E3B" w:rsidRPr="00230A76">
        <w:rPr>
          <w:rFonts w:eastAsia="華康細黑體"/>
        </w:rPr>
        <w:tab/>
      </w:r>
      <w:r w:rsidR="009322CD">
        <w:rPr>
          <w:rFonts w:eastAsia="華康細黑體" w:hint="eastAsia"/>
        </w:rPr>
        <w:t>261</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二、健康促進與保護</w:t>
      </w:r>
      <w:r w:rsidR="00027E3B" w:rsidRPr="00230A76">
        <w:rPr>
          <w:rFonts w:eastAsia="華康細黑體"/>
        </w:rPr>
        <w:tab/>
      </w:r>
      <w:r w:rsidR="009322CD">
        <w:rPr>
          <w:rFonts w:eastAsia="華康細黑體" w:hint="eastAsia"/>
        </w:rPr>
        <w:t>265</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兒童視力保健計畫</w:t>
      </w:r>
      <w:r w:rsidR="00027E3B" w:rsidRPr="00230A76">
        <w:rPr>
          <w:rFonts w:eastAsia="華康細黑體"/>
        </w:rPr>
        <w:tab/>
      </w:r>
      <w:r w:rsidR="009322CD">
        <w:rPr>
          <w:rFonts w:eastAsia="華康細黑體" w:hint="eastAsia"/>
        </w:rPr>
        <w:t>268</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阻絕毒品入侵校園</w:t>
      </w:r>
      <w:r w:rsidR="00027E3B" w:rsidRPr="00230A76">
        <w:rPr>
          <w:rFonts w:eastAsia="華康細黑體"/>
        </w:rPr>
        <w:tab/>
      </w:r>
      <w:r w:rsidR="009322CD">
        <w:rPr>
          <w:rFonts w:eastAsia="華康細黑體" w:hint="eastAsia"/>
        </w:rPr>
        <w:t>272</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防範未成年少女懷孕生子</w:t>
      </w:r>
      <w:r w:rsidR="00027E3B" w:rsidRPr="00230A76">
        <w:rPr>
          <w:rFonts w:eastAsia="華康細黑體"/>
        </w:rPr>
        <w:tab/>
      </w:r>
      <w:r w:rsidR="009322CD">
        <w:rPr>
          <w:rFonts w:eastAsia="華康細黑體" w:hint="eastAsia"/>
        </w:rPr>
        <w:t>279</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精神疾患家庭之兒少保護案</w:t>
      </w:r>
      <w:r w:rsidR="00027E3B" w:rsidRPr="00230A76">
        <w:rPr>
          <w:rFonts w:eastAsia="華康細黑體"/>
        </w:rPr>
        <w:tab/>
      </w:r>
      <w:r w:rsidR="009322CD">
        <w:rPr>
          <w:rFonts w:eastAsia="華康細黑體" w:hint="eastAsia"/>
        </w:rPr>
        <w:t>283</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失智症資訊揭露未盡</w:t>
      </w:r>
      <w:r w:rsidR="00051514" w:rsidRPr="00051514">
        <w:rPr>
          <w:rFonts w:ascii="華康細黑體" w:eastAsia="華康細黑體" w:hAnsi="細明體" w:cs="細明體" w:hint="eastAsia"/>
        </w:rPr>
        <w:t>及</w:t>
      </w:r>
      <w:r w:rsidR="00027E3B" w:rsidRPr="00230A76">
        <w:rPr>
          <w:rFonts w:eastAsia="華康細黑體"/>
        </w:rPr>
        <w:t>時且服務量不足</w:t>
      </w:r>
      <w:r w:rsidR="00027E3B" w:rsidRPr="00230A76">
        <w:rPr>
          <w:rFonts w:eastAsia="華康細黑體"/>
        </w:rPr>
        <w:tab/>
      </w:r>
      <w:r w:rsidR="009322CD">
        <w:rPr>
          <w:rFonts w:eastAsia="華康細黑體" w:hint="eastAsia"/>
        </w:rPr>
        <w:t>288</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lastRenderedPageBreak/>
        <w:t xml:space="preserve">　　　　</w:t>
      </w:r>
      <w:r w:rsidR="00027E3B" w:rsidRPr="00230A76">
        <w:rPr>
          <w:rFonts w:eastAsia="華康細黑體"/>
        </w:rPr>
        <w:t>補助榮民裝配輔具迄無適法程序</w:t>
      </w:r>
      <w:r w:rsidR="00027E3B" w:rsidRPr="00230A76">
        <w:rPr>
          <w:rFonts w:eastAsia="華康細黑體"/>
        </w:rPr>
        <w:tab/>
      </w:r>
      <w:r w:rsidR="009322CD">
        <w:rPr>
          <w:rFonts w:eastAsia="華康細黑體" w:hint="eastAsia"/>
        </w:rPr>
        <w:t>293</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評析</w:t>
      </w:r>
      <w:r w:rsidR="00027E3B" w:rsidRPr="00230A76">
        <w:rPr>
          <w:rFonts w:eastAsia="華康細黑體"/>
        </w:rPr>
        <w:tab/>
      </w:r>
      <w:r w:rsidR="009322CD">
        <w:rPr>
          <w:rFonts w:eastAsia="華康細黑體" w:hint="eastAsia"/>
        </w:rPr>
        <w:t>297</w:t>
      </w:r>
    </w:p>
    <w:p w:rsidR="00027E3B" w:rsidRPr="00230A76" w:rsidRDefault="00027E3B" w:rsidP="00230A76">
      <w:pPr>
        <w:widowControl/>
        <w:tabs>
          <w:tab w:val="right" w:leader="dot" w:pos="6600"/>
        </w:tabs>
        <w:snapToGrid/>
        <w:spacing w:line="440" w:lineRule="exact"/>
        <w:rPr>
          <w:rFonts w:eastAsia="華康細黑體"/>
        </w:rPr>
      </w:pPr>
      <w:r w:rsidRPr="0092333E">
        <w:rPr>
          <w:rFonts w:ascii="華康新特明體" w:eastAsia="華康新特明體" w:hint="eastAsia"/>
        </w:rPr>
        <w:t>第六章　工作權</w:t>
      </w:r>
      <w:r w:rsidRPr="00230A76">
        <w:rPr>
          <w:rFonts w:eastAsia="華康細黑體"/>
        </w:rPr>
        <w:tab/>
      </w:r>
      <w:r w:rsidR="009322CD">
        <w:rPr>
          <w:rFonts w:eastAsia="華康細黑體" w:hint="eastAsia"/>
        </w:rPr>
        <w:t>298</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處理性騷擾事件涉違失案</w:t>
      </w:r>
      <w:r w:rsidR="00027E3B" w:rsidRPr="00230A76">
        <w:rPr>
          <w:rFonts w:eastAsia="華康細黑體"/>
        </w:rPr>
        <w:tab/>
      </w:r>
      <w:r w:rsidR="009322CD">
        <w:rPr>
          <w:rFonts w:eastAsia="華康細黑體" w:hint="eastAsia"/>
        </w:rPr>
        <w:t>302</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健全性騷擾防治申訴調查機制</w:t>
      </w:r>
      <w:r w:rsidR="00027E3B" w:rsidRPr="00230A76">
        <w:rPr>
          <w:rFonts w:eastAsia="華康細黑體"/>
        </w:rPr>
        <w:tab/>
      </w:r>
      <w:r w:rsidR="009322CD">
        <w:rPr>
          <w:rFonts w:eastAsia="華康細黑體" w:hint="eastAsia"/>
        </w:rPr>
        <w:t>307</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職業災害防治檢討案</w:t>
      </w:r>
      <w:r w:rsidR="00027E3B" w:rsidRPr="00230A76">
        <w:rPr>
          <w:rFonts w:eastAsia="華康細黑體"/>
        </w:rPr>
        <w:tab/>
      </w:r>
      <w:r w:rsidR="009322CD">
        <w:rPr>
          <w:rFonts w:eastAsia="華康細黑體" w:hint="eastAsia"/>
        </w:rPr>
        <w:t>310</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不當解僱護理人員損及權益案</w:t>
      </w:r>
      <w:r w:rsidR="00027E3B" w:rsidRPr="00230A76">
        <w:rPr>
          <w:rFonts w:eastAsia="華康細黑體"/>
        </w:rPr>
        <w:tab/>
      </w:r>
      <w:r w:rsidR="009322CD">
        <w:rPr>
          <w:rFonts w:eastAsia="華康細黑體" w:hint="eastAsia"/>
        </w:rPr>
        <w:t>314</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無預警停飛事件之處置</w:t>
      </w:r>
      <w:r w:rsidR="00027E3B" w:rsidRPr="00230A76">
        <w:rPr>
          <w:rFonts w:eastAsia="華康細黑體"/>
        </w:rPr>
        <w:tab/>
      </w:r>
      <w:r w:rsidR="009322CD">
        <w:rPr>
          <w:rFonts w:eastAsia="華康細黑體" w:hint="eastAsia"/>
        </w:rPr>
        <w:t>319</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教師不續聘事件衍生爭議</w:t>
      </w:r>
      <w:r w:rsidR="00027E3B" w:rsidRPr="00230A76">
        <w:rPr>
          <w:rFonts w:eastAsia="華康細黑體"/>
        </w:rPr>
        <w:tab/>
      </w:r>
      <w:r w:rsidR="009322CD">
        <w:rPr>
          <w:rFonts w:eastAsia="華康細黑體" w:hint="eastAsia"/>
        </w:rPr>
        <w:t>323</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大專教師升等多元自主機制</w:t>
      </w:r>
      <w:r w:rsidR="00027E3B" w:rsidRPr="00230A76">
        <w:rPr>
          <w:rFonts w:eastAsia="華康細黑體"/>
        </w:rPr>
        <w:tab/>
      </w:r>
      <w:r w:rsidR="009322CD">
        <w:rPr>
          <w:rFonts w:eastAsia="華康細黑體" w:hint="eastAsia"/>
        </w:rPr>
        <w:t>327</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不良司法官轉任律師相關規範</w:t>
      </w:r>
      <w:r w:rsidR="00027E3B" w:rsidRPr="00230A76">
        <w:rPr>
          <w:rFonts w:eastAsia="華康細黑體"/>
        </w:rPr>
        <w:tab/>
      </w:r>
      <w:r w:rsidR="009322CD">
        <w:rPr>
          <w:rFonts w:eastAsia="華康細黑體" w:hint="eastAsia"/>
        </w:rPr>
        <w:t>332</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評析</w:t>
      </w:r>
      <w:r w:rsidR="00027E3B" w:rsidRPr="00230A76">
        <w:rPr>
          <w:rFonts w:eastAsia="華康細黑體"/>
        </w:rPr>
        <w:tab/>
      </w:r>
      <w:r w:rsidR="009322CD">
        <w:rPr>
          <w:rFonts w:eastAsia="華康細黑體" w:hint="eastAsia"/>
        </w:rPr>
        <w:t>334</w:t>
      </w:r>
    </w:p>
    <w:p w:rsidR="00027E3B" w:rsidRPr="00230A76" w:rsidRDefault="00027E3B" w:rsidP="00230A76">
      <w:pPr>
        <w:widowControl/>
        <w:tabs>
          <w:tab w:val="right" w:leader="dot" w:pos="6600"/>
        </w:tabs>
        <w:snapToGrid/>
        <w:spacing w:line="440" w:lineRule="exact"/>
        <w:rPr>
          <w:rFonts w:eastAsia="華康細黑體"/>
        </w:rPr>
      </w:pPr>
      <w:r w:rsidRPr="0092333E">
        <w:rPr>
          <w:rFonts w:ascii="華康新特明體" w:eastAsia="華康新特明體" w:hint="eastAsia"/>
        </w:rPr>
        <w:t>第七章　財產權</w:t>
      </w:r>
      <w:r w:rsidRPr="00230A76">
        <w:rPr>
          <w:rFonts w:eastAsia="華康細黑體"/>
        </w:rPr>
        <w:tab/>
      </w:r>
      <w:r w:rsidR="009322CD">
        <w:rPr>
          <w:rFonts w:eastAsia="華康細黑體" w:hint="eastAsia"/>
        </w:rPr>
        <w:t>336</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電信詐欺與跨國洗錢案</w:t>
      </w:r>
      <w:r w:rsidR="00027E3B" w:rsidRPr="00230A76">
        <w:rPr>
          <w:rFonts w:eastAsia="華康細黑體"/>
        </w:rPr>
        <w:tab/>
      </w:r>
      <w:r w:rsidR="009322CD">
        <w:rPr>
          <w:rFonts w:eastAsia="華康細黑體" w:hint="eastAsia"/>
        </w:rPr>
        <w:t>338</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董事會薪酬爭議案</w:t>
      </w:r>
      <w:r w:rsidR="00027E3B" w:rsidRPr="00230A76">
        <w:rPr>
          <w:rFonts w:eastAsia="華康細黑體"/>
        </w:rPr>
        <w:tab/>
      </w:r>
      <w:r w:rsidR="009322CD">
        <w:rPr>
          <w:rFonts w:eastAsia="華康細黑體" w:hint="eastAsia"/>
        </w:rPr>
        <w:t>341</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查扣贓物責付被害人保管遭遺失案</w:t>
      </w:r>
      <w:r w:rsidR="00027E3B" w:rsidRPr="00230A76">
        <w:rPr>
          <w:rFonts w:eastAsia="華康細黑體"/>
        </w:rPr>
        <w:tab/>
      </w:r>
      <w:r w:rsidR="009322CD">
        <w:rPr>
          <w:rFonts w:eastAsia="華康細黑體" w:hint="eastAsia"/>
        </w:rPr>
        <w:t>344</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申請變更建造執照遭刁難案</w:t>
      </w:r>
      <w:r w:rsidR="00027E3B" w:rsidRPr="00230A76">
        <w:rPr>
          <w:rFonts w:eastAsia="華康細黑體"/>
        </w:rPr>
        <w:tab/>
      </w:r>
      <w:r w:rsidR="009322CD">
        <w:rPr>
          <w:rFonts w:eastAsia="華康細黑體" w:hint="eastAsia"/>
        </w:rPr>
        <w:t>347</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區段徵收涉違失案</w:t>
      </w:r>
      <w:r w:rsidR="00027E3B" w:rsidRPr="00230A76">
        <w:rPr>
          <w:rFonts w:eastAsia="華康細黑體"/>
        </w:rPr>
        <w:tab/>
      </w:r>
      <w:r w:rsidR="009322CD">
        <w:rPr>
          <w:rFonts w:eastAsia="華康細黑體" w:hint="eastAsia"/>
        </w:rPr>
        <w:t>350</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臨時攤販集中場建物未善盡管理職責</w:t>
      </w:r>
      <w:r w:rsidR="00027E3B" w:rsidRPr="00230A76">
        <w:rPr>
          <w:rFonts w:eastAsia="華康細黑體"/>
        </w:rPr>
        <w:tab/>
      </w:r>
      <w:r w:rsidR="009322CD">
        <w:rPr>
          <w:rFonts w:eastAsia="華康細黑體" w:hint="eastAsia"/>
        </w:rPr>
        <w:t>355</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執照審查未臻嚴謹案</w:t>
      </w:r>
      <w:r w:rsidR="00027E3B" w:rsidRPr="00230A76">
        <w:rPr>
          <w:rFonts w:eastAsia="華康細黑體"/>
        </w:rPr>
        <w:tab/>
      </w:r>
      <w:r w:rsidR="009322CD">
        <w:rPr>
          <w:rFonts w:eastAsia="華康細黑體" w:hint="eastAsia"/>
        </w:rPr>
        <w:t>358</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lastRenderedPageBreak/>
        <w:t xml:space="preserve">　　</w:t>
      </w:r>
      <w:r w:rsidR="00027E3B" w:rsidRPr="00230A76">
        <w:rPr>
          <w:rFonts w:eastAsia="華康細黑體"/>
        </w:rPr>
        <w:t>不當處理投信結構債事件</w:t>
      </w:r>
      <w:r w:rsidR="00027E3B" w:rsidRPr="00230A76">
        <w:rPr>
          <w:rFonts w:eastAsia="華康細黑體"/>
        </w:rPr>
        <w:tab/>
      </w:r>
      <w:r w:rsidR="009322CD">
        <w:rPr>
          <w:rFonts w:eastAsia="華康細黑體" w:hint="eastAsia"/>
        </w:rPr>
        <w:t>362</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警察投資吸金集團案</w:t>
      </w:r>
      <w:r w:rsidR="00027E3B" w:rsidRPr="00230A76">
        <w:rPr>
          <w:rFonts w:eastAsia="華康細黑體"/>
        </w:rPr>
        <w:tab/>
      </w:r>
      <w:r w:rsidR="009322CD">
        <w:rPr>
          <w:rFonts w:eastAsia="華康細黑體" w:hint="eastAsia"/>
        </w:rPr>
        <w:t>367</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評析</w:t>
      </w:r>
      <w:r w:rsidR="00027E3B" w:rsidRPr="00230A76">
        <w:rPr>
          <w:rFonts w:eastAsia="華康細黑體"/>
        </w:rPr>
        <w:tab/>
      </w:r>
      <w:r w:rsidR="009322CD">
        <w:rPr>
          <w:rFonts w:eastAsia="華康細黑體" w:hint="eastAsia"/>
        </w:rPr>
        <w:t>370</w:t>
      </w:r>
    </w:p>
    <w:p w:rsidR="00027E3B" w:rsidRPr="00230A76" w:rsidRDefault="00027E3B" w:rsidP="00230A76">
      <w:pPr>
        <w:widowControl/>
        <w:tabs>
          <w:tab w:val="right" w:leader="dot" w:pos="6600"/>
        </w:tabs>
        <w:snapToGrid/>
        <w:spacing w:line="440" w:lineRule="exact"/>
        <w:rPr>
          <w:rFonts w:eastAsia="華康細黑體"/>
        </w:rPr>
      </w:pPr>
      <w:r w:rsidRPr="0092333E">
        <w:rPr>
          <w:rFonts w:ascii="華康新特明體" w:eastAsia="華康新特明體" w:hint="eastAsia"/>
        </w:rPr>
        <w:t>第八章　教育權</w:t>
      </w:r>
      <w:r w:rsidRPr="00230A76">
        <w:rPr>
          <w:rFonts w:eastAsia="華康細黑體"/>
        </w:rPr>
        <w:tab/>
      </w:r>
      <w:r w:rsidR="009322CD">
        <w:rPr>
          <w:rFonts w:eastAsia="華康細黑體" w:hint="eastAsia"/>
        </w:rPr>
        <w:t>373</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基北區入學制度爭議案</w:t>
      </w:r>
      <w:r w:rsidR="00027E3B" w:rsidRPr="00230A76">
        <w:rPr>
          <w:rFonts w:eastAsia="華康細黑體"/>
        </w:rPr>
        <w:tab/>
      </w:r>
      <w:r w:rsidR="009322CD">
        <w:rPr>
          <w:rFonts w:eastAsia="華康細黑體" w:hint="eastAsia"/>
        </w:rPr>
        <w:t>377</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繁星計畫實施成效評估案</w:t>
      </w:r>
      <w:r w:rsidR="00027E3B" w:rsidRPr="00230A76">
        <w:rPr>
          <w:rFonts w:eastAsia="華康細黑體"/>
        </w:rPr>
        <w:tab/>
      </w:r>
      <w:r w:rsidR="009322CD">
        <w:rPr>
          <w:rFonts w:eastAsia="華康細黑體" w:hint="eastAsia"/>
        </w:rPr>
        <w:t>381</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公立大學整併及私立大專校院退場影響教育品質案</w:t>
      </w:r>
      <w:r w:rsidR="00027E3B" w:rsidRPr="00230A76">
        <w:rPr>
          <w:rFonts w:eastAsia="華康細黑體"/>
        </w:rPr>
        <w:tab/>
      </w:r>
      <w:r w:rsidR="009322CD">
        <w:rPr>
          <w:rFonts w:eastAsia="華康細黑體" w:hint="eastAsia"/>
        </w:rPr>
        <w:t>384</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替代役役男派赴泰北僑校服務檢討</w:t>
      </w:r>
      <w:r w:rsidR="00027E3B" w:rsidRPr="00230A76">
        <w:rPr>
          <w:rFonts w:eastAsia="華康細黑體"/>
        </w:rPr>
        <w:tab/>
      </w:r>
      <w:r w:rsidR="009322CD">
        <w:rPr>
          <w:rFonts w:eastAsia="華康細黑體" w:hint="eastAsia"/>
        </w:rPr>
        <w:t>388</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家庭教育法相關問題及成效</w:t>
      </w:r>
      <w:r w:rsidR="00027E3B" w:rsidRPr="00230A76">
        <w:rPr>
          <w:rFonts w:eastAsia="華康細黑體"/>
        </w:rPr>
        <w:tab/>
      </w:r>
      <w:r w:rsidR="009322CD">
        <w:rPr>
          <w:rFonts w:eastAsia="華康細黑體" w:hint="eastAsia"/>
        </w:rPr>
        <w:t>392</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評析</w:t>
      </w:r>
      <w:r w:rsidR="00027E3B" w:rsidRPr="00230A76">
        <w:rPr>
          <w:rFonts w:eastAsia="華康細黑體"/>
        </w:rPr>
        <w:tab/>
      </w:r>
      <w:r w:rsidR="009322CD">
        <w:rPr>
          <w:rFonts w:eastAsia="華康細黑體" w:hint="eastAsia"/>
        </w:rPr>
        <w:t>397</w:t>
      </w:r>
    </w:p>
    <w:p w:rsidR="00027E3B" w:rsidRPr="00230A76" w:rsidRDefault="00027E3B" w:rsidP="00230A76">
      <w:pPr>
        <w:widowControl/>
        <w:tabs>
          <w:tab w:val="right" w:leader="dot" w:pos="6600"/>
        </w:tabs>
        <w:snapToGrid/>
        <w:spacing w:line="440" w:lineRule="exact"/>
        <w:rPr>
          <w:rFonts w:eastAsia="華康細黑體"/>
        </w:rPr>
      </w:pPr>
      <w:r w:rsidRPr="0092333E">
        <w:rPr>
          <w:rFonts w:ascii="華康新特明體" w:eastAsia="華康新特明體" w:hint="eastAsia"/>
        </w:rPr>
        <w:t>第九章　環境權</w:t>
      </w:r>
      <w:r w:rsidRPr="00230A76">
        <w:rPr>
          <w:rFonts w:eastAsia="華康細黑體"/>
        </w:rPr>
        <w:tab/>
      </w:r>
      <w:r w:rsidR="009322CD">
        <w:rPr>
          <w:rFonts w:eastAsia="華康細黑體" w:hint="eastAsia"/>
        </w:rPr>
        <w:t>399</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污水處理廠採購違失案</w:t>
      </w:r>
      <w:r w:rsidR="00027E3B" w:rsidRPr="00230A76">
        <w:rPr>
          <w:rFonts w:eastAsia="華康細黑體"/>
        </w:rPr>
        <w:tab/>
      </w:r>
      <w:r w:rsidR="009322CD">
        <w:rPr>
          <w:rFonts w:eastAsia="華康細黑體" w:hint="eastAsia"/>
        </w:rPr>
        <w:t>404</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改善灌溉系統水體品質未臻周延</w:t>
      </w:r>
      <w:r w:rsidR="00027E3B" w:rsidRPr="00230A76">
        <w:rPr>
          <w:rFonts w:eastAsia="華康細黑體"/>
        </w:rPr>
        <w:tab/>
      </w:r>
      <w:r w:rsidR="009322CD">
        <w:rPr>
          <w:rFonts w:eastAsia="華康細黑體" w:hint="eastAsia"/>
        </w:rPr>
        <w:t>408</w:t>
      </w:r>
    </w:p>
    <w:p w:rsidR="00027E3B" w:rsidRPr="00230A76" w:rsidRDefault="00E76D59" w:rsidP="00CA17A8">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國有非公用土地長期遭非法棄置廢棄物</w:t>
      </w:r>
      <w:r w:rsidR="009322CD" w:rsidRPr="00230A76">
        <w:rPr>
          <w:rFonts w:eastAsia="華康細黑體"/>
        </w:rPr>
        <w:t>案</w:t>
      </w:r>
      <w:r w:rsidR="009322CD">
        <w:rPr>
          <w:rFonts w:eastAsia="華康細黑體" w:hint="eastAsia"/>
        </w:rPr>
        <w:tab/>
        <w:t>411</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事業廢棄物綜合處理中心設立爭議案</w:t>
      </w:r>
      <w:r w:rsidR="00027E3B" w:rsidRPr="00230A76">
        <w:rPr>
          <w:rFonts w:eastAsia="華康細黑體"/>
        </w:rPr>
        <w:tab/>
      </w:r>
      <w:r w:rsidR="009322CD">
        <w:rPr>
          <w:rFonts w:eastAsia="華康細黑體" w:hint="eastAsia"/>
        </w:rPr>
        <w:t>414</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國家公園礦業權之審查案</w:t>
      </w:r>
      <w:r w:rsidR="00027E3B" w:rsidRPr="00230A76">
        <w:rPr>
          <w:rFonts w:eastAsia="華康細黑體"/>
        </w:rPr>
        <w:tab/>
      </w:r>
      <w:r w:rsidR="009322CD">
        <w:rPr>
          <w:rFonts w:eastAsia="華康細黑體" w:hint="eastAsia"/>
        </w:rPr>
        <w:t>419</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水源保護區現有礦區對生態環境影響</w:t>
      </w:r>
      <w:r w:rsidR="00027E3B" w:rsidRPr="00230A76">
        <w:rPr>
          <w:rFonts w:eastAsia="華康細黑體"/>
        </w:rPr>
        <w:tab/>
      </w:r>
      <w:r w:rsidR="009322CD">
        <w:rPr>
          <w:rFonts w:eastAsia="華康細黑體" w:hint="eastAsia"/>
        </w:rPr>
        <w:t>423</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保安林現有礦區開採爭議</w:t>
      </w:r>
      <w:r w:rsidR="00027E3B" w:rsidRPr="00230A76">
        <w:rPr>
          <w:rFonts w:eastAsia="華康細黑體"/>
        </w:rPr>
        <w:tab/>
      </w:r>
      <w:r w:rsidR="009322CD">
        <w:rPr>
          <w:rFonts w:eastAsia="華康細黑體" w:hint="eastAsia"/>
        </w:rPr>
        <w:t>426</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濱海渡假村開發爭議案</w:t>
      </w:r>
      <w:r w:rsidR="00027E3B" w:rsidRPr="00230A76">
        <w:rPr>
          <w:rFonts w:eastAsia="華康細黑體"/>
        </w:rPr>
        <w:tab/>
      </w:r>
      <w:r w:rsidR="009322CD">
        <w:rPr>
          <w:rFonts w:eastAsia="華康細黑體" w:hint="eastAsia"/>
        </w:rPr>
        <w:t>432</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民宿管理及違章建築處理違失案</w:t>
      </w:r>
      <w:r w:rsidR="00027E3B" w:rsidRPr="00230A76">
        <w:rPr>
          <w:rFonts w:eastAsia="華康細黑體"/>
        </w:rPr>
        <w:tab/>
      </w:r>
      <w:r w:rsidR="009322CD">
        <w:rPr>
          <w:rFonts w:eastAsia="華康細黑體" w:hint="eastAsia"/>
        </w:rPr>
        <w:t>436</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lastRenderedPageBreak/>
        <w:t xml:space="preserve">　　</w:t>
      </w:r>
      <w:r w:rsidR="00027E3B" w:rsidRPr="00230A76">
        <w:rPr>
          <w:rFonts w:eastAsia="華康細黑體"/>
        </w:rPr>
        <w:t>評析</w:t>
      </w:r>
      <w:r w:rsidR="00027E3B" w:rsidRPr="00230A76">
        <w:rPr>
          <w:rFonts w:eastAsia="華康細黑體"/>
        </w:rPr>
        <w:tab/>
      </w:r>
      <w:r w:rsidR="009322CD">
        <w:rPr>
          <w:rFonts w:eastAsia="華康細黑體" w:hint="eastAsia"/>
        </w:rPr>
        <w:t>440</w:t>
      </w:r>
    </w:p>
    <w:p w:rsidR="00027E3B" w:rsidRPr="00230A76" w:rsidRDefault="00027E3B" w:rsidP="00230A76">
      <w:pPr>
        <w:widowControl/>
        <w:tabs>
          <w:tab w:val="right" w:leader="dot" w:pos="6600"/>
        </w:tabs>
        <w:snapToGrid/>
        <w:spacing w:line="440" w:lineRule="exact"/>
        <w:rPr>
          <w:rFonts w:eastAsia="華康細黑體"/>
        </w:rPr>
      </w:pPr>
      <w:r w:rsidRPr="0092333E">
        <w:rPr>
          <w:rFonts w:ascii="華康新特明體" w:eastAsia="華康新特明體" w:hint="eastAsia"/>
        </w:rPr>
        <w:t>第十章　社會保障</w:t>
      </w:r>
      <w:r w:rsidRPr="00230A76">
        <w:rPr>
          <w:rFonts w:eastAsia="華康細黑體"/>
        </w:rPr>
        <w:tab/>
      </w:r>
      <w:r w:rsidR="009322CD">
        <w:rPr>
          <w:rFonts w:eastAsia="華康細黑體" w:hint="eastAsia"/>
        </w:rPr>
        <w:t>442</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地方政府運用身心障礙者就業基金檢視案</w:t>
      </w:r>
      <w:r w:rsidR="00027E3B" w:rsidRPr="00230A76">
        <w:rPr>
          <w:rFonts w:eastAsia="華康細黑體"/>
        </w:rPr>
        <w:tab/>
      </w:r>
      <w:r w:rsidR="009322CD">
        <w:rPr>
          <w:rFonts w:eastAsia="華康細黑體" w:hint="eastAsia"/>
        </w:rPr>
        <w:t>445</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勞工退休準備金檢視案</w:t>
      </w:r>
      <w:r w:rsidR="00027E3B" w:rsidRPr="00230A76">
        <w:rPr>
          <w:rFonts w:eastAsia="華康細黑體"/>
        </w:rPr>
        <w:tab/>
      </w:r>
      <w:r w:rsidR="009322CD">
        <w:rPr>
          <w:rFonts w:eastAsia="華康細黑體" w:hint="eastAsia"/>
        </w:rPr>
        <w:t>452</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以房養老政策研析</w:t>
      </w:r>
      <w:r w:rsidR="00027E3B" w:rsidRPr="00230A76">
        <w:rPr>
          <w:rFonts w:eastAsia="華康細黑體"/>
        </w:rPr>
        <w:tab/>
      </w:r>
      <w:r w:rsidR="009322CD">
        <w:rPr>
          <w:rFonts w:eastAsia="華康細黑體" w:hint="eastAsia"/>
        </w:rPr>
        <w:t>456</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性侵假釋犯破壞電子腳鐐潛逃案</w:t>
      </w:r>
      <w:r w:rsidR="00027E3B" w:rsidRPr="00230A76">
        <w:rPr>
          <w:rFonts w:eastAsia="華康細黑體"/>
        </w:rPr>
        <w:tab/>
      </w:r>
      <w:r w:rsidR="009322CD">
        <w:rPr>
          <w:rFonts w:eastAsia="華康細黑體" w:hint="eastAsia"/>
        </w:rPr>
        <w:t>460</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評析</w:t>
      </w:r>
      <w:r w:rsidR="00027E3B" w:rsidRPr="00230A76">
        <w:rPr>
          <w:rFonts w:eastAsia="華康細黑體"/>
        </w:rPr>
        <w:tab/>
      </w:r>
      <w:r w:rsidR="009322CD">
        <w:rPr>
          <w:rFonts w:eastAsia="華康細黑體" w:hint="eastAsia"/>
        </w:rPr>
        <w:t>463</w:t>
      </w:r>
    </w:p>
    <w:p w:rsidR="00027E3B" w:rsidRPr="00230A76" w:rsidRDefault="00027E3B" w:rsidP="00230A76">
      <w:pPr>
        <w:widowControl/>
        <w:tabs>
          <w:tab w:val="right" w:leader="dot" w:pos="6600"/>
        </w:tabs>
        <w:snapToGrid/>
        <w:spacing w:line="440" w:lineRule="exact"/>
        <w:rPr>
          <w:rFonts w:eastAsia="華康細黑體"/>
        </w:rPr>
      </w:pPr>
      <w:r w:rsidRPr="0092333E">
        <w:rPr>
          <w:rFonts w:ascii="華康新特明體" w:eastAsia="華康新特明體" w:hint="eastAsia"/>
        </w:rPr>
        <w:t>第十一章　其他權利</w:t>
      </w:r>
      <w:r w:rsidRPr="00230A76">
        <w:rPr>
          <w:rFonts w:eastAsia="華康細黑體"/>
        </w:rPr>
        <w:tab/>
      </w:r>
      <w:r w:rsidR="009322CD">
        <w:rPr>
          <w:rFonts w:eastAsia="華康細黑體" w:hint="eastAsia"/>
        </w:rPr>
        <w:t>466</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一、學術倫理與著作正義</w:t>
      </w:r>
      <w:r w:rsidR="00027E3B" w:rsidRPr="00230A76">
        <w:rPr>
          <w:rFonts w:eastAsia="華康細黑體"/>
        </w:rPr>
        <w:tab/>
      </w:r>
      <w:r w:rsidR="009322CD">
        <w:rPr>
          <w:rFonts w:eastAsia="華康細黑體" w:hint="eastAsia"/>
        </w:rPr>
        <w:t>466</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國立大學教授論文涉造假案</w:t>
      </w:r>
      <w:r w:rsidR="00027E3B" w:rsidRPr="00230A76">
        <w:rPr>
          <w:rFonts w:eastAsia="華康細黑體"/>
        </w:rPr>
        <w:tab/>
      </w:r>
      <w:r w:rsidR="009322CD">
        <w:rPr>
          <w:rFonts w:eastAsia="華康細黑體" w:hint="eastAsia"/>
        </w:rPr>
        <w:t>466</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研究計畫涉有抄襲案</w:t>
      </w:r>
      <w:r w:rsidR="00027E3B" w:rsidRPr="00230A76">
        <w:rPr>
          <w:rFonts w:eastAsia="華康細黑體"/>
        </w:rPr>
        <w:tab/>
      </w:r>
      <w:r w:rsidR="009322CD">
        <w:rPr>
          <w:rFonts w:eastAsia="華康細黑體" w:hint="eastAsia"/>
        </w:rPr>
        <w:t>470</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二、國家安全與反恐</w:t>
      </w:r>
      <w:r w:rsidR="00027E3B" w:rsidRPr="00230A76">
        <w:rPr>
          <w:rFonts w:eastAsia="華康細黑體"/>
        </w:rPr>
        <w:tab/>
      </w:r>
      <w:r w:rsidR="009322CD">
        <w:rPr>
          <w:rFonts w:eastAsia="華康細黑體" w:hint="eastAsia"/>
        </w:rPr>
        <w:t>473</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反恐指揮及協調機制案</w:t>
      </w:r>
      <w:r w:rsidR="00027E3B" w:rsidRPr="00230A76">
        <w:rPr>
          <w:rFonts w:eastAsia="華康細黑體"/>
        </w:rPr>
        <w:tab/>
      </w:r>
      <w:r w:rsidR="009322CD">
        <w:rPr>
          <w:rFonts w:eastAsia="華康細黑體" w:hint="eastAsia"/>
        </w:rPr>
        <w:t>473</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三、動物保護</w:t>
      </w:r>
      <w:r w:rsidR="00027E3B" w:rsidRPr="00230A76">
        <w:rPr>
          <w:rFonts w:eastAsia="華康細黑體"/>
        </w:rPr>
        <w:tab/>
      </w:r>
      <w:r w:rsidR="009322CD">
        <w:rPr>
          <w:rFonts w:eastAsia="華康細黑體" w:hint="eastAsia"/>
        </w:rPr>
        <w:t>476</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遊蕩犬貓處置案</w:t>
      </w:r>
      <w:r w:rsidR="00027E3B" w:rsidRPr="00230A76">
        <w:rPr>
          <w:rFonts w:eastAsia="華康細黑體"/>
        </w:rPr>
        <w:tab/>
      </w:r>
      <w:r w:rsidR="009322CD">
        <w:rPr>
          <w:rFonts w:eastAsia="華康細黑體" w:hint="eastAsia"/>
        </w:rPr>
        <w:t>476</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動物保護收容所管理違失案</w:t>
      </w:r>
      <w:r w:rsidR="00027E3B" w:rsidRPr="00230A76">
        <w:rPr>
          <w:rFonts w:eastAsia="華康細黑體"/>
        </w:rPr>
        <w:tab/>
      </w:r>
      <w:r w:rsidR="009322CD">
        <w:rPr>
          <w:rFonts w:eastAsia="華康細黑體" w:hint="eastAsia"/>
        </w:rPr>
        <w:t>481</w:t>
      </w:r>
    </w:p>
    <w:p w:rsidR="00027E3B" w:rsidRPr="00230A76" w:rsidRDefault="00E76D59" w:rsidP="00230A76">
      <w:pPr>
        <w:widowControl/>
        <w:tabs>
          <w:tab w:val="right" w:leader="dot" w:pos="6600"/>
        </w:tabs>
        <w:snapToGrid/>
        <w:spacing w:line="440" w:lineRule="exact"/>
        <w:rPr>
          <w:rFonts w:eastAsia="華康細黑體"/>
        </w:rPr>
      </w:pPr>
      <w:r>
        <w:rPr>
          <w:rFonts w:ascii="細明體" w:eastAsia="細明體" w:hAnsi="細明體" w:cs="細明體" w:hint="eastAsia"/>
        </w:rPr>
        <w:t xml:space="preserve">　　</w:t>
      </w:r>
      <w:r w:rsidR="00027E3B" w:rsidRPr="00230A76">
        <w:rPr>
          <w:rFonts w:eastAsia="華康細黑體"/>
        </w:rPr>
        <w:t>評析</w:t>
      </w:r>
      <w:r w:rsidR="00027E3B" w:rsidRPr="00230A76">
        <w:rPr>
          <w:rFonts w:eastAsia="華康細黑體"/>
        </w:rPr>
        <w:tab/>
      </w:r>
      <w:r w:rsidR="009322CD">
        <w:rPr>
          <w:rFonts w:eastAsia="華康細黑體" w:hint="eastAsia"/>
        </w:rPr>
        <w:t>485</w:t>
      </w:r>
    </w:p>
    <w:p w:rsidR="00027E3B" w:rsidRPr="00230A76" w:rsidRDefault="00027E3B" w:rsidP="00230A76">
      <w:pPr>
        <w:widowControl/>
        <w:tabs>
          <w:tab w:val="right" w:leader="dot" w:pos="6600"/>
        </w:tabs>
        <w:snapToGrid/>
        <w:spacing w:line="440" w:lineRule="exact"/>
        <w:rPr>
          <w:rFonts w:eastAsia="華康細黑體"/>
        </w:rPr>
      </w:pPr>
      <w:r w:rsidRPr="00230A76">
        <w:rPr>
          <w:rFonts w:eastAsia="華康細黑體"/>
        </w:rPr>
        <w:t>結語</w:t>
      </w:r>
      <w:r w:rsidRPr="00230A76">
        <w:rPr>
          <w:rFonts w:eastAsia="華康細黑體"/>
        </w:rPr>
        <w:tab/>
      </w:r>
      <w:r w:rsidR="009322CD">
        <w:rPr>
          <w:rFonts w:eastAsia="華康細黑體" w:hint="eastAsia"/>
        </w:rPr>
        <w:t>486</w:t>
      </w:r>
    </w:p>
    <w:p w:rsidR="00027E3B" w:rsidRPr="00230A76" w:rsidRDefault="00027E3B" w:rsidP="00230A76">
      <w:pPr>
        <w:widowControl/>
        <w:tabs>
          <w:tab w:val="right" w:leader="dot" w:pos="6600"/>
        </w:tabs>
        <w:snapToGrid/>
        <w:spacing w:line="440" w:lineRule="exact"/>
        <w:rPr>
          <w:rFonts w:eastAsia="華康細黑體"/>
        </w:rPr>
      </w:pPr>
      <w:r w:rsidRPr="00230A76">
        <w:rPr>
          <w:rFonts w:eastAsia="華康細黑體"/>
        </w:rPr>
        <w:t>附錄一</w:t>
      </w:r>
      <w:r w:rsidRPr="00230A76">
        <w:rPr>
          <w:rFonts w:eastAsia="細明體"/>
        </w:rPr>
        <w:t xml:space="preserve">　</w:t>
      </w:r>
      <w:r w:rsidRPr="00230A76">
        <w:rPr>
          <w:rFonts w:eastAsia="華康細黑體"/>
        </w:rPr>
        <w:t>權利定義</w:t>
      </w:r>
      <w:r w:rsidRPr="00230A76">
        <w:rPr>
          <w:rFonts w:eastAsia="華康細黑體"/>
        </w:rPr>
        <w:tab/>
      </w:r>
      <w:r w:rsidR="009322CD">
        <w:rPr>
          <w:rFonts w:eastAsia="華康細黑體" w:hint="eastAsia"/>
        </w:rPr>
        <w:t>488</w:t>
      </w:r>
    </w:p>
    <w:p w:rsidR="00027E3B" w:rsidRPr="00230A76" w:rsidRDefault="00027E3B" w:rsidP="00230A76">
      <w:pPr>
        <w:widowControl/>
        <w:tabs>
          <w:tab w:val="right" w:leader="dot" w:pos="6600"/>
        </w:tabs>
        <w:snapToGrid/>
        <w:spacing w:line="440" w:lineRule="exact"/>
        <w:rPr>
          <w:rFonts w:eastAsia="華康細黑體"/>
        </w:rPr>
      </w:pPr>
      <w:r w:rsidRPr="00230A76">
        <w:rPr>
          <w:rFonts w:eastAsia="華康細黑體"/>
        </w:rPr>
        <w:t>附錄二</w:t>
      </w:r>
      <w:r w:rsidRPr="00230A76">
        <w:rPr>
          <w:rFonts w:eastAsia="細明體"/>
        </w:rPr>
        <w:t xml:space="preserve">　</w:t>
      </w:r>
      <w:r w:rsidRPr="00230A76">
        <w:rPr>
          <w:rFonts w:eastAsia="華康細黑體"/>
        </w:rPr>
        <w:t>2017</w:t>
      </w:r>
      <w:r w:rsidRPr="00230A76">
        <w:rPr>
          <w:rFonts w:eastAsia="華康細黑體"/>
        </w:rPr>
        <w:t>年監察院人權保障案件統計表</w:t>
      </w:r>
      <w:r w:rsidRPr="00230A76">
        <w:rPr>
          <w:rFonts w:eastAsia="華康細黑體"/>
        </w:rPr>
        <w:tab/>
      </w:r>
      <w:r w:rsidR="009322CD">
        <w:rPr>
          <w:rFonts w:eastAsia="華康細黑體" w:hint="eastAsia"/>
        </w:rPr>
        <w:t>490</w:t>
      </w:r>
    </w:p>
    <w:p w:rsidR="00027E3B" w:rsidRPr="00230A76" w:rsidRDefault="00027E3B" w:rsidP="00230A76">
      <w:pPr>
        <w:widowControl/>
        <w:tabs>
          <w:tab w:val="right" w:leader="dot" w:pos="6600"/>
        </w:tabs>
        <w:snapToGrid/>
        <w:spacing w:line="440" w:lineRule="exact"/>
        <w:rPr>
          <w:rFonts w:eastAsia="華康細黑體"/>
        </w:rPr>
      </w:pPr>
      <w:r w:rsidRPr="00230A76">
        <w:rPr>
          <w:rFonts w:eastAsia="華康細黑體"/>
        </w:rPr>
        <w:lastRenderedPageBreak/>
        <w:t>附錄三</w:t>
      </w:r>
      <w:r w:rsidRPr="00230A76">
        <w:rPr>
          <w:rFonts w:eastAsia="細明體"/>
        </w:rPr>
        <w:t xml:space="preserve">　</w:t>
      </w:r>
      <w:r w:rsidRPr="00230A76">
        <w:rPr>
          <w:rFonts w:eastAsia="華康細黑體"/>
        </w:rPr>
        <w:t>世界人權宣言</w:t>
      </w:r>
      <w:r w:rsidRPr="00230A76">
        <w:rPr>
          <w:rFonts w:eastAsia="華康細黑體"/>
        </w:rPr>
        <w:tab/>
      </w:r>
      <w:r w:rsidR="009322CD">
        <w:rPr>
          <w:rFonts w:eastAsia="華康細黑體" w:hint="eastAsia"/>
        </w:rPr>
        <w:t>491</w:t>
      </w:r>
    </w:p>
    <w:p w:rsidR="00027E3B" w:rsidRPr="00230A76" w:rsidRDefault="00027E3B" w:rsidP="00230A76">
      <w:pPr>
        <w:widowControl/>
        <w:tabs>
          <w:tab w:val="right" w:leader="dot" w:pos="6600"/>
        </w:tabs>
        <w:snapToGrid/>
        <w:spacing w:line="440" w:lineRule="exact"/>
        <w:rPr>
          <w:rFonts w:eastAsia="華康細黑體"/>
        </w:rPr>
      </w:pPr>
      <w:r w:rsidRPr="00230A76">
        <w:rPr>
          <w:rFonts w:eastAsia="華康細黑體"/>
        </w:rPr>
        <w:t>附錄四</w:t>
      </w:r>
      <w:r w:rsidRPr="00230A76">
        <w:rPr>
          <w:rFonts w:eastAsia="細明體"/>
        </w:rPr>
        <w:t xml:space="preserve">　</w:t>
      </w:r>
      <w:r w:rsidRPr="00230A76">
        <w:rPr>
          <w:rFonts w:eastAsia="華康細黑體"/>
        </w:rPr>
        <w:t>公民與政治權利國際公約</w:t>
      </w:r>
      <w:r w:rsidRPr="00230A76">
        <w:rPr>
          <w:rFonts w:eastAsia="華康細黑體"/>
        </w:rPr>
        <w:tab/>
      </w:r>
      <w:r w:rsidR="009322CD">
        <w:rPr>
          <w:rFonts w:eastAsia="華康細黑體" w:hint="eastAsia"/>
        </w:rPr>
        <w:t>498</w:t>
      </w:r>
    </w:p>
    <w:p w:rsidR="00027E3B" w:rsidRPr="00230A76" w:rsidRDefault="00027E3B" w:rsidP="00230A76">
      <w:pPr>
        <w:widowControl/>
        <w:tabs>
          <w:tab w:val="right" w:leader="dot" w:pos="6600"/>
        </w:tabs>
        <w:snapToGrid/>
        <w:spacing w:line="440" w:lineRule="exact"/>
        <w:rPr>
          <w:rFonts w:eastAsia="華康細黑體"/>
        </w:rPr>
      </w:pPr>
      <w:r w:rsidRPr="00230A76">
        <w:rPr>
          <w:rFonts w:eastAsia="華康細黑體"/>
        </w:rPr>
        <w:t>附錄五</w:t>
      </w:r>
      <w:r w:rsidRPr="00230A76">
        <w:rPr>
          <w:rFonts w:eastAsia="細明體"/>
        </w:rPr>
        <w:t xml:space="preserve">　</w:t>
      </w:r>
      <w:r w:rsidRPr="00230A76">
        <w:rPr>
          <w:rFonts w:eastAsia="華康細黑體"/>
        </w:rPr>
        <w:t>經濟社會文化權利國際公約</w:t>
      </w:r>
      <w:r w:rsidRPr="00230A76">
        <w:rPr>
          <w:rFonts w:eastAsia="華康細黑體"/>
        </w:rPr>
        <w:tab/>
      </w:r>
      <w:r w:rsidR="009322CD">
        <w:rPr>
          <w:rFonts w:eastAsia="華康細黑體" w:hint="eastAsia"/>
        </w:rPr>
        <w:t>521</w:t>
      </w:r>
    </w:p>
    <w:p w:rsidR="00027E3B" w:rsidRPr="00230A76" w:rsidRDefault="00027E3B" w:rsidP="00E76D59">
      <w:pPr>
        <w:widowControl/>
        <w:tabs>
          <w:tab w:val="right" w:leader="dot" w:pos="6600"/>
        </w:tabs>
        <w:snapToGrid/>
        <w:spacing w:line="440" w:lineRule="exact"/>
        <w:ind w:left="960" w:rightChars="200" w:right="480" w:hangingChars="400" w:hanging="960"/>
        <w:rPr>
          <w:rFonts w:eastAsia="華康細黑體"/>
        </w:rPr>
      </w:pPr>
      <w:r w:rsidRPr="00230A76">
        <w:rPr>
          <w:rFonts w:eastAsia="華康細黑體"/>
        </w:rPr>
        <w:t>附錄六</w:t>
      </w:r>
      <w:r w:rsidRPr="00230A76">
        <w:rPr>
          <w:rFonts w:eastAsia="細明體"/>
        </w:rPr>
        <w:t xml:space="preserve">　</w:t>
      </w:r>
      <w:r w:rsidRPr="00230A76">
        <w:rPr>
          <w:rFonts w:eastAsia="華康細黑體"/>
        </w:rPr>
        <w:t>公民與政治權利國際公約及經濟社會文化權利國際公約施行法</w:t>
      </w:r>
      <w:r w:rsidRPr="00230A76">
        <w:rPr>
          <w:rFonts w:eastAsia="華康細黑體"/>
        </w:rPr>
        <w:tab/>
      </w:r>
      <w:r w:rsidR="009322CD">
        <w:rPr>
          <w:rFonts w:eastAsia="華康細黑體" w:hint="eastAsia"/>
        </w:rPr>
        <w:t>533</w:t>
      </w:r>
    </w:p>
    <w:p w:rsidR="00230A76" w:rsidRDefault="00230A76" w:rsidP="00027E3B">
      <w:pPr>
        <w:widowControl/>
        <w:snapToGrid/>
        <w:rPr>
          <w:rFonts w:ascii="華康細黑體" w:eastAsia="華康細黑體"/>
        </w:rPr>
      </w:pPr>
    </w:p>
    <w:p w:rsidR="00230A76" w:rsidRDefault="00230A76" w:rsidP="00027E3B">
      <w:pPr>
        <w:widowControl/>
        <w:snapToGrid/>
      </w:pPr>
    </w:p>
    <w:p w:rsidR="00037CD1" w:rsidRDefault="00037CD1">
      <w:pPr>
        <w:widowControl/>
        <w:snapToGrid/>
        <w:sectPr w:rsidR="00037CD1" w:rsidSect="00230A76">
          <w:headerReference w:type="even" r:id="rId11"/>
          <w:headerReference w:type="default" r:id="rId12"/>
          <w:footerReference w:type="even" r:id="rId13"/>
          <w:footerReference w:type="default" r:id="rId14"/>
          <w:pgSz w:w="8392" w:h="11907" w:code="11"/>
          <w:pgMar w:top="1701" w:right="794" w:bottom="1134" w:left="964" w:header="624" w:footer="397" w:gutter="0"/>
          <w:pgNumType w:fmt="upperRoman" w:start="1"/>
          <w:cols w:space="425"/>
          <w:docGrid w:type="lines" w:linePitch="360"/>
        </w:sectPr>
      </w:pPr>
    </w:p>
    <w:p w:rsidR="00CF6634" w:rsidRPr="00FC1484" w:rsidRDefault="00CF6634" w:rsidP="008105BF">
      <w:pPr>
        <w:pStyle w:val="1--"/>
        <w:spacing w:beforeLines="50" w:before="180" w:after="180"/>
      </w:pPr>
      <w:bookmarkStart w:id="7" w:name="_Toc4058714"/>
      <w:r w:rsidRPr="00FC1484">
        <w:lastRenderedPageBreak/>
        <w:t>前言</w:t>
      </w:r>
      <w:bookmarkEnd w:id="0"/>
      <w:bookmarkEnd w:id="1"/>
      <w:bookmarkEnd w:id="7"/>
    </w:p>
    <w:p w:rsidR="005F016C" w:rsidRDefault="00C1293F" w:rsidP="008105BF">
      <w:pPr>
        <w:pStyle w:val="1---"/>
        <w:spacing w:line="400" w:lineRule="exact"/>
        <w:ind w:firstLine="480"/>
        <w:rPr>
          <w:lang w:eastAsia="zh-TW"/>
        </w:rPr>
      </w:pPr>
      <w:r w:rsidRPr="00C1293F">
        <w:rPr>
          <w:rFonts w:hint="eastAsia"/>
          <w:lang w:eastAsia="zh-TW"/>
        </w:rPr>
        <w:t>人權</w:t>
      </w:r>
      <w:r>
        <w:rPr>
          <w:rFonts w:hint="eastAsia"/>
          <w:lang w:eastAsia="zh-TW"/>
        </w:rPr>
        <w:t>，</w:t>
      </w:r>
      <w:r>
        <w:rPr>
          <w:rFonts w:hint="eastAsia"/>
        </w:rPr>
        <w:t>乃</w:t>
      </w:r>
      <w:r w:rsidRPr="00C1293F">
        <w:rPr>
          <w:rFonts w:hint="eastAsia"/>
        </w:rPr>
        <w:t>指</w:t>
      </w:r>
      <w:r w:rsidRPr="00C1293F">
        <w:rPr>
          <w:rFonts w:hint="eastAsia"/>
          <w:lang w:eastAsia="zh-TW"/>
        </w:rPr>
        <w:t>人類應享有最核心的自然權利。</w:t>
      </w:r>
      <w:r>
        <w:rPr>
          <w:rFonts w:hint="eastAsia"/>
        </w:rPr>
        <w:t>由於各國文化與發展程度之不同</w:t>
      </w:r>
      <w:r>
        <w:rPr>
          <w:rFonts w:hint="eastAsia"/>
          <w:lang w:eastAsia="zh-TW"/>
        </w:rPr>
        <w:t>，</w:t>
      </w:r>
      <w:r>
        <w:rPr>
          <w:rFonts w:hint="eastAsia"/>
        </w:rPr>
        <w:t>不同國家對人權之界定與要求也有所不同</w:t>
      </w:r>
      <w:r>
        <w:rPr>
          <w:rFonts w:hint="eastAsia"/>
          <w:lang w:eastAsia="zh-TW"/>
        </w:rPr>
        <w:t>。</w:t>
      </w:r>
      <w:r>
        <w:rPr>
          <w:rFonts w:hint="eastAsia"/>
        </w:rPr>
        <w:t>此外</w:t>
      </w:r>
      <w:r>
        <w:rPr>
          <w:rFonts w:hint="eastAsia"/>
          <w:lang w:eastAsia="zh-TW"/>
        </w:rPr>
        <w:t>，</w:t>
      </w:r>
      <w:r>
        <w:rPr>
          <w:rFonts w:hint="eastAsia"/>
        </w:rPr>
        <w:t>人權會隨著人類行為的改變與環境的複雜而演進。</w:t>
      </w:r>
    </w:p>
    <w:p w:rsidR="00C1293F" w:rsidRPr="009017C1" w:rsidRDefault="00C1293F" w:rsidP="008105BF">
      <w:pPr>
        <w:pStyle w:val="1---"/>
        <w:spacing w:beforeLines="30" w:before="108" w:line="400" w:lineRule="exact"/>
        <w:ind w:firstLine="480"/>
      </w:pPr>
      <w:r>
        <w:rPr>
          <w:rFonts w:hint="eastAsia"/>
          <w:lang w:eastAsia="zh-TW"/>
        </w:rPr>
        <w:t>捷克籍法學家</w:t>
      </w:r>
      <w:r w:rsidRPr="00127CCD">
        <w:rPr>
          <w:lang w:eastAsia="zh-TW"/>
        </w:rPr>
        <w:t>瓦薩克（</w:t>
      </w:r>
      <w:r w:rsidRPr="00127CCD">
        <w:rPr>
          <w:lang w:eastAsia="zh-TW"/>
        </w:rPr>
        <w:t>Karel Vasak</w:t>
      </w:r>
      <w:r w:rsidRPr="00127CCD">
        <w:rPr>
          <w:lang w:eastAsia="zh-TW"/>
        </w:rPr>
        <w:t>）於史特拉斯堡國際人權</w:t>
      </w:r>
      <w:r w:rsidRPr="00127CCD">
        <w:t>學院（</w:t>
      </w:r>
      <w:r w:rsidRPr="00127CCD">
        <w:rPr>
          <w:lang w:eastAsia="zh-TW"/>
        </w:rPr>
        <w:t>International Institute of Human Rights</w:t>
      </w:r>
      <w:r w:rsidRPr="00127CCD">
        <w:t>）</w:t>
      </w:r>
      <w:r>
        <w:rPr>
          <w:rFonts w:hint="eastAsia"/>
          <w:lang w:eastAsia="zh-TW"/>
        </w:rPr>
        <w:t>提出「三代人權」（</w:t>
      </w:r>
      <w:r w:rsidRPr="00EA1FF8">
        <w:rPr>
          <w:lang w:eastAsia="zh-TW"/>
        </w:rPr>
        <w:t>three generations of human rights</w:t>
      </w:r>
      <w:r w:rsidRPr="00EA1FF8">
        <w:rPr>
          <w:rFonts w:hint="eastAsia"/>
          <w:lang w:eastAsia="zh-TW"/>
        </w:rPr>
        <w:t>）理論。第一代人權</w:t>
      </w:r>
      <w:r w:rsidR="009017C1">
        <w:rPr>
          <w:rFonts w:hint="eastAsia"/>
        </w:rPr>
        <w:t>係本於「</w:t>
      </w:r>
      <w:r w:rsidR="009017C1" w:rsidRPr="00EA1FF8">
        <w:rPr>
          <w:rFonts w:hint="eastAsia"/>
          <w:lang w:eastAsia="zh-TW"/>
        </w:rPr>
        <w:t>天賦人權</w:t>
      </w:r>
      <w:r w:rsidR="009017C1">
        <w:rPr>
          <w:rFonts w:hint="eastAsia"/>
          <w:lang w:eastAsia="zh-TW"/>
        </w:rPr>
        <w:t>」</w:t>
      </w:r>
      <w:r w:rsidR="009017C1">
        <w:rPr>
          <w:rFonts w:hint="eastAsia"/>
        </w:rPr>
        <w:t>的觀念，認為人應生而自由，而國家應保障人民的言論</w:t>
      </w:r>
      <w:r w:rsidR="009017C1">
        <w:rPr>
          <w:rFonts w:hint="eastAsia"/>
          <w:lang w:eastAsia="zh-TW"/>
        </w:rPr>
        <w:t>自由、宗教自由、公平審判和</w:t>
      </w:r>
      <w:r w:rsidRPr="00EA1FF8">
        <w:rPr>
          <w:rFonts w:hint="eastAsia"/>
          <w:lang w:eastAsia="zh-TW"/>
        </w:rPr>
        <w:t>參政權</w:t>
      </w:r>
      <w:r w:rsidR="009017C1">
        <w:rPr>
          <w:rFonts w:hint="eastAsia"/>
        </w:rPr>
        <w:t>等消極人權</w:t>
      </w:r>
      <w:r>
        <w:rPr>
          <w:rFonts w:hint="eastAsia"/>
          <w:lang w:eastAsia="zh-TW"/>
        </w:rPr>
        <w:t>。</w:t>
      </w:r>
      <w:r>
        <w:rPr>
          <w:rFonts w:hint="eastAsia"/>
        </w:rPr>
        <w:t>該等權利後來納入</w:t>
      </w:r>
      <w:r>
        <w:rPr>
          <w:rFonts w:hint="eastAsia"/>
          <w:lang w:eastAsia="zh-TW"/>
        </w:rPr>
        <w:t>世界人權宣言第</w:t>
      </w:r>
      <w:r>
        <w:rPr>
          <w:rFonts w:hint="eastAsia"/>
          <w:lang w:eastAsia="zh-TW"/>
        </w:rPr>
        <w:t>3</w:t>
      </w:r>
      <w:r>
        <w:rPr>
          <w:rFonts w:hint="eastAsia"/>
          <w:lang w:eastAsia="zh-TW"/>
        </w:rPr>
        <w:t>條</w:t>
      </w:r>
      <w:r>
        <w:rPr>
          <w:rFonts w:hint="eastAsia"/>
        </w:rPr>
        <w:t>及</w:t>
      </w:r>
      <w:r>
        <w:rPr>
          <w:rFonts w:hint="eastAsia"/>
          <w:lang w:eastAsia="zh-TW"/>
        </w:rPr>
        <w:t>第</w:t>
      </w:r>
      <w:r>
        <w:rPr>
          <w:rFonts w:hint="eastAsia"/>
          <w:lang w:eastAsia="zh-TW"/>
        </w:rPr>
        <w:t>21</w:t>
      </w:r>
      <w:r>
        <w:rPr>
          <w:rFonts w:hint="eastAsia"/>
          <w:lang w:eastAsia="zh-TW"/>
        </w:rPr>
        <w:t>條，</w:t>
      </w:r>
      <w:r>
        <w:rPr>
          <w:rFonts w:hint="eastAsia"/>
        </w:rPr>
        <w:t>並成為</w:t>
      </w:r>
      <w:r>
        <w:rPr>
          <w:rFonts w:hint="eastAsia"/>
          <w:lang w:eastAsia="zh-TW"/>
        </w:rPr>
        <w:t>公民</w:t>
      </w:r>
      <w:r w:rsidR="005F016C">
        <w:rPr>
          <w:rFonts w:hint="eastAsia"/>
        </w:rPr>
        <w:t>與</w:t>
      </w:r>
      <w:r>
        <w:rPr>
          <w:rFonts w:hint="eastAsia"/>
          <w:lang w:eastAsia="zh-TW"/>
        </w:rPr>
        <w:t>政治權利國際公約</w:t>
      </w:r>
      <w:r>
        <w:rPr>
          <w:rFonts w:hint="eastAsia"/>
        </w:rPr>
        <w:t>基礎</w:t>
      </w:r>
      <w:r>
        <w:rPr>
          <w:rFonts w:hint="eastAsia"/>
          <w:lang w:eastAsia="zh-TW"/>
        </w:rPr>
        <w:t>。第二代人權的主旨強調「平等」，基本上以「經濟、社會和文化」</w:t>
      </w:r>
      <w:r w:rsidR="00CA17A8">
        <w:rPr>
          <w:rFonts w:hint="eastAsia"/>
          <w:lang w:eastAsia="zh-TW"/>
        </w:rPr>
        <w:t>為</w:t>
      </w:r>
      <w:r>
        <w:rPr>
          <w:rFonts w:hint="eastAsia"/>
          <w:lang w:eastAsia="zh-TW"/>
        </w:rPr>
        <w:t>主軸，確保不同公民能夠保有平等待遇。其中包括了工作權、居住及遷徙權、醫療照顧以及社會安全和失業救濟等權利，</w:t>
      </w:r>
      <w:r>
        <w:rPr>
          <w:rFonts w:hint="eastAsia"/>
        </w:rPr>
        <w:t>屬</w:t>
      </w:r>
      <w:r w:rsidRPr="007B6FB7">
        <w:rPr>
          <w:rFonts w:hint="eastAsia"/>
          <w:lang w:eastAsia="zh-TW"/>
        </w:rPr>
        <w:t>「積極人權」</w:t>
      </w:r>
      <w:r w:rsidR="005F016C">
        <w:rPr>
          <w:rFonts w:hint="eastAsia"/>
          <w:lang w:eastAsia="zh-TW"/>
        </w:rPr>
        <w:t>，</w:t>
      </w:r>
      <w:r w:rsidR="005F016C">
        <w:rPr>
          <w:rFonts w:hint="eastAsia"/>
        </w:rPr>
        <w:t>並</w:t>
      </w:r>
      <w:r>
        <w:rPr>
          <w:rFonts w:hint="eastAsia"/>
          <w:lang w:eastAsia="zh-TW"/>
        </w:rPr>
        <w:t>被引用至世界人權宣言第</w:t>
      </w:r>
      <w:r>
        <w:rPr>
          <w:rFonts w:hint="eastAsia"/>
          <w:lang w:eastAsia="zh-TW"/>
        </w:rPr>
        <w:t>22</w:t>
      </w:r>
      <w:r>
        <w:rPr>
          <w:rFonts w:hint="eastAsia"/>
          <w:lang w:eastAsia="zh-TW"/>
        </w:rPr>
        <w:t>條到第</w:t>
      </w:r>
      <w:r>
        <w:rPr>
          <w:rFonts w:hint="eastAsia"/>
          <w:lang w:eastAsia="zh-TW"/>
        </w:rPr>
        <w:t>27</w:t>
      </w:r>
      <w:r>
        <w:rPr>
          <w:rFonts w:hint="eastAsia"/>
          <w:lang w:eastAsia="zh-TW"/>
        </w:rPr>
        <w:t>條，以及經濟社會文化權利國際公約。第三代人權注重「集體人權」，</w:t>
      </w:r>
      <w:r>
        <w:rPr>
          <w:rFonts w:hint="eastAsia"/>
        </w:rPr>
        <w:t>強調</w:t>
      </w:r>
      <w:r>
        <w:rPr>
          <w:rFonts w:hint="eastAsia"/>
          <w:lang w:eastAsia="zh-TW"/>
        </w:rPr>
        <w:t>「</w:t>
      </w:r>
      <w:r>
        <w:rPr>
          <w:rFonts w:hint="eastAsia"/>
        </w:rPr>
        <w:t>博愛</w:t>
      </w:r>
      <w:r>
        <w:rPr>
          <w:rFonts w:hint="eastAsia"/>
          <w:lang w:eastAsia="zh-TW"/>
        </w:rPr>
        <w:t>」</w:t>
      </w:r>
      <w:r>
        <w:rPr>
          <w:rFonts w:hint="eastAsia"/>
        </w:rPr>
        <w:t>。其對象涵蓋</w:t>
      </w:r>
      <w:r>
        <w:rPr>
          <w:rFonts w:hint="eastAsia"/>
          <w:lang w:eastAsia="zh-TW"/>
        </w:rPr>
        <w:t>公民</w:t>
      </w:r>
      <w:r>
        <w:rPr>
          <w:rFonts w:hint="eastAsia"/>
        </w:rPr>
        <w:t>與各</w:t>
      </w:r>
      <w:r>
        <w:rPr>
          <w:rFonts w:hint="eastAsia"/>
          <w:lang w:eastAsia="zh-TW"/>
        </w:rPr>
        <w:t>社會層面，</w:t>
      </w:r>
      <w:r>
        <w:rPr>
          <w:rFonts w:hint="eastAsia"/>
        </w:rPr>
        <w:t>使</w:t>
      </w:r>
      <w:r>
        <w:rPr>
          <w:rFonts w:hint="eastAsia"/>
          <w:lang w:eastAsia="zh-TW"/>
        </w:rPr>
        <w:t>婦女平等、兒童福利、身心障礙人士、殖民地區的自主權</w:t>
      </w:r>
      <w:r>
        <w:rPr>
          <w:rFonts w:hint="eastAsia"/>
        </w:rPr>
        <w:t>受到</w:t>
      </w:r>
      <w:r>
        <w:rPr>
          <w:rFonts w:hint="eastAsia"/>
          <w:lang w:eastAsia="zh-TW"/>
        </w:rPr>
        <w:t>重視，</w:t>
      </w:r>
      <w:r>
        <w:rPr>
          <w:rFonts w:hint="eastAsia"/>
        </w:rPr>
        <w:t>並讓</w:t>
      </w:r>
      <w:r>
        <w:rPr>
          <w:rFonts w:hint="eastAsia"/>
          <w:lang w:eastAsia="zh-TW"/>
        </w:rPr>
        <w:t>消除種族間的對立、世界和平與環境的永續發展</w:t>
      </w:r>
      <w:r>
        <w:rPr>
          <w:rFonts w:hint="eastAsia"/>
        </w:rPr>
        <w:t>等議題</w:t>
      </w:r>
      <w:r>
        <w:rPr>
          <w:rFonts w:hint="eastAsia"/>
          <w:lang w:eastAsia="zh-TW"/>
        </w:rPr>
        <w:t>成為人類共同守護的權利。以上三代人權反映出了國際人權的基本架構與概念，成為現代人權</w:t>
      </w:r>
      <w:r>
        <w:rPr>
          <w:rFonts w:hint="eastAsia"/>
          <w:lang w:eastAsia="zh-TW"/>
        </w:rPr>
        <w:lastRenderedPageBreak/>
        <w:t>發展的重要依據</w:t>
      </w:r>
      <w:r>
        <w:rPr>
          <w:rStyle w:val="aff2"/>
          <w:lang w:eastAsia="zh-TW"/>
        </w:rPr>
        <w:footnoteReference w:id="1"/>
      </w:r>
      <w:r>
        <w:rPr>
          <w:rFonts w:hint="eastAsia"/>
          <w:lang w:eastAsia="zh-TW"/>
        </w:rPr>
        <w:t>。</w:t>
      </w:r>
    </w:p>
    <w:p w:rsidR="00F729F3" w:rsidRDefault="00C1293F" w:rsidP="008105BF">
      <w:pPr>
        <w:pStyle w:val="1---"/>
        <w:spacing w:before="120" w:after="180" w:line="400" w:lineRule="exact"/>
        <w:ind w:firstLine="480"/>
        <w:rPr>
          <w:lang w:eastAsia="zh-TW"/>
        </w:rPr>
      </w:pPr>
      <w:r>
        <w:rPr>
          <w:rFonts w:hint="eastAsia"/>
        </w:rPr>
        <w:t>上</w:t>
      </w:r>
      <w:r w:rsidR="009017C1">
        <w:rPr>
          <w:rFonts w:hint="eastAsia"/>
        </w:rPr>
        <w:t>述</w:t>
      </w:r>
      <w:r>
        <w:rPr>
          <w:rFonts w:hint="eastAsia"/>
        </w:rPr>
        <w:t>人權概念已成為聯合國重要人權公約之基礎</w:t>
      </w:r>
      <w:r w:rsidR="005F016C">
        <w:rPr>
          <w:rFonts w:hint="eastAsia"/>
          <w:lang w:eastAsia="zh-TW"/>
        </w:rPr>
        <w:t>，</w:t>
      </w:r>
      <w:r w:rsidR="005F016C">
        <w:rPr>
          <w:rFonts w:hint="eastAsia"/>
        </w:rPr>
        <w:t>並為</w:t>
      </w:r>
      <w:r w:rsidR="00F729F3" w:rsidRPr="00C1293F">
        <w:rPr>
          <w:rFonts w:hint="eastAsia"/>
          <w:lang w:eastAsia="zh-TW"/>
        </w:rPr>
        <w:t>當前國際社會普遍追求的價值。由於</w:t>
      </w:r>
      <w:r w:rsidR="005F016C">
        <w:rPr>
          <w:rFonts w:hint="eastAsia"/>
        </w:rPr>
        <w:t>人權之保障與推廣有賴國家之支持，</w:t>
      </w:r>
      <w:r w:rsidR="005F016C" w:rsidRPr="005F016C">
        <w:t>聯合國人權事務委員會於</w:t>
      </w:r>
      <w:r w:rsidR="005F016C" w:rsidRPr="005F016C">
        <w:t>1991</w:t>
      </w:r>
      <w:r w:rsidR="005F016C" w:rsidRPr="005F016C">
        <w:t>年</w:t>
      </w:r>
      <w:r w:rsidR="005F016C" w:rsidRPr="005F016C">
        <w:t>10</w:t>
      </w:r>
      <w:r w:rsidR="005F016C" w:rsidRPr="005F016C">
        <w:t>月</w:t>
      </w:r>
      <w:r w:rsidR="005F016C" w:rsidRPr="005F016C">
        <w:t>7</w:t>
      </w:r>
      <w:r w:rsidR="005F016C" w:rsidRPr="005F016C">
        <w:t>日至</w:t>
      </w:r>
      <w:r w:rsidR="005F016C" w:rsidRPr="005F016C">
        <w:t>9</w:t>
      </w:r>
      <w:r w:rsidR="005F016C" w:rsidRPr="005F016C">
        <w:t>日在巴黎舉行國際研討會，通過「關於促進和保護人權的國家機構之地位的原則」（</w:t>
      </w:r>
      <w:r w:rsidR="005F016C" w:rsidRPr="002B4751">
        <w:t>Principles relating to the status and functioning of national institutions for protection and promotion of human rights</w:t>
      </w:r>
      <w:r w:rsidR="005F016C" w:rsidRPr="002B4751">
        <w:t>），即所謂的巴黎原則（</w:t>
      </w:r>
      <w:r w:rsidR="005F016C" w:rsidRPr="002B4751">
        <w:t>Paris Principles</w:t>
      </w:r>
      <w:r w:rsidR="005F016C" w:rsidRPr="002B4751">
        <w:t>），建議各國設立國家人權機構（</w:t>
      </w:r>
      <w:r w:rsidR="005F016C" w:rsidRPr="002B4751">
        <w:t>National Human Rights Instutution</w:t>
      </w:r>
      <w:r w:rsidR="005F016C" w:rsidRPr="002B4751">
        <w:t>，</w:t>
      </w:r>
      <w:r w:rsidR="005F016C" w:rsidRPr="002B4751">
        <w:t>NHRI</w:t>
      </w:r>
      <w:r w:rsidR="005F016C" w:rsidRPr="005F016C">
        <w:t>），以執行兩項任務</w:t>
      </w:r>
      <w:r w:rsidR="005F016C">
        <w:t>：</w:t>
      </w:r>
      <w:r w:rsidR="005F016C" w:rsidRPr="005F016C">
        <w:t>（一）藉由收受、調查及解決陳情案、衝突調解</w:t>
      </w:r>
      <w:r w:rsidR="005F016C" w:rsidRPr="005F016C">
        <w:rPr>
          <w:rFonts w:hint="eastAsia"/>
        </w:rPr>
        <w:t>與</w:t>
      </w:r>
      <w:r w:rsidR="005F016C" w:rsidRPr="005F016C">
        <w:t>監督等方式，保障人權；（二）透過教育、對外</w:t>
      </w:r>
      <w:r w:rsidR="005F016C" w:rsidRPr="005F016C">
        <w:rPr>
          <w:rFonts w:hint="eastAsia"/>
        </w:rPr>
        <w:t>文</w:t>
      </w:r>
      <w:r w:rsidR="005F016C" w:rsidRPr="005F016C">
        <w:t>宣、媒體、出版品、訓練、能力建構及廣告等方式，推廣人權。</w:t>
      </w:r>
      <w:r w:rsidR="005F016C" w:rsidRPr="005F016C">
        <w:rPr>
          <w:rFonts w:hint="eastAsia"/>
        </w:rPr>
        <w:t>各國因政經文化與歷史環境不同，國際上有各種</w:t>
      </w:r>
      <w:r w:rsidR="005F016C" w:rsidRPr="005F016C">
        <w:t>國家人權機構</w:t>
      </w:r>
      <w:r w:rsidR="005F016C" w:rsidRPr="005F016C">
        <w:rPr>
          <w:rFonts w:hint="eastAsia"/>
        </w:rPr>
        <w:t>態樣，最常見的有</w:t>
      </w:r>
      <w:r w:rsidR="005F016C" w:rsidRPr="005F016C">
        <w:t>監察使（或監察組織）、人權委員會、護民官、人權檢察官</w:t>
      </w:r>
      <w:r w:rsidR="005F016C" w:rsidRPr="009017C1">
        <w:rPr>
          <w:bCs/>
          <w:szCs w:val="20"/>
          <w:vertAlign w:val="superscript"/>
        </w:rPr>
        <w:footnoteReference w:id="2"/>
      </w:r>
      <w:r w:rsidR="005F016C" w:rsidRPr="005F016C">
        <w:t>。</w:t>
      </w:r>
      <w:r w:rsidR="00F729F3" w:rsidRPr="00C1293F">
        <w:rPr>
          <w:rFonts w:hint="eastAsia"/>
          <w:lang w:eastAsia="zh-TW"/>
        </w:rPr>
        <w:t>國家人權機關透過對民眾陳情案的調查，保障人權，促進國內人權法與國際法規定之人權標準獲得實現，並落實國際人權義務。</w:t>
      </w:r>
    </w:p>
    <w:p w:rsidR="008105BF" w:rsidRPr="00F729F3" w:rsidRDefault="008105BF" w:rsidP="008105BF">
      <w:pPr>
        <w:pStyle w:val="1---"/>
        <w:spacing w:before="120" w:after="180" w:line="400" w:lineRule="exact"/>
        <w:ind w:firstLine="480"/>
        <w:rPr>
          <w:shd w:val="pct15" w:color="auto" w:fill="FFFFFF"/>
          <w:lang w:eastAsia="zh-TW"/>
        </w:rPr>
      </w:pPr>
    </w:p>
    <w:bookmarkEnd w:id="2"/>
    <w:bookmarkEnd w:id="3"/>
    <w:bookmarkEnd w:id="4"/>
    <w:bookmarkEnd w:id="5"/>
    <w:bookmarkEnd w:id="6"/>
    <w:p w:rsidR="003807A5" w:rsidRPr="005F016C" w:rsidRDefault="00810B50" w:rsidP="008105BF">
      <w:pPr>
        <w:pStyle w:val="1---"/>
        <w:spacing w:beforeLines="30" w:before="108" w:line="400" w:lineRule="exact"/>
        <w:ind w:firstLine="480"/>
        <w:rPr>
          <w:lang w:eastAsia="zh-TW"/>
        </w:rPr>
      </w:pPr>
      <w:r w:rsidRPr="00810B50">
        <w:rPr>
          <w:rFonts w:hint="eastAsia"/>
          <w:lang w:eastAsia="zh-TW"/>
        </w:rPr>
        <w:lastRenderedPageBreak/>
        <w:t>我國</w:t>
      </w:r>
      <w:r w:rsidR="009017C1" w:rsidRPr="00810B50">
        <w:rPr>
          <w:rFonts w:hint="eastAsia"/>
          <w:lang w:eastAsia="zh-TW"/>
        </w:rPr>
        <w:t>在</w:t>
      </w:r>
      <w:r w:rsidRPr="00810B50">
        <w:rPr>
          <w:rFonts w:hint="eastAsia"/>
          <w:lang w:eastAsia="zh-TW"/>
        </w:rPr>
        <w:t>五權分立憲政制度下，監察院具有高度之獨立性，除了擁有</w:t>
      </w:r>
      <w:r w:rsidR="009017C1">
        <w:rPr>
          <w:rFonts w:hint="eastAsia"/>
          <w:lang w:eastAsia="zh-TW"/>
        </w:rPr>
        <w:t>國家人權機構</w:t>
      </w:r>
      <w:r w:rsidRPr="00810B50">
        <w:rPr>
          <w:rFonts w:hint="eastAsia"/>
          <w:lang w:eastAsia="zh-TW"/>
        </w:rPr>
        <w:t>受理陳情、調查、建議改善及後續追蹤等職權外，尚能透過糾正、彈劾及糾舉等職權，有效地監</w:t>
      </w:r>
      <w:r w:rsidR="00CD18F7">
        <w:rPr>
          <w:rFonts w:hint="eastAsia"/>
        </w:rPr>
        <w:t>督</w:t>
      </w:r>
      <w:r w:rsidRPr="00810B50">
        <w:rPr>
          <w:rFonts w:hint="eastAsia"/>
          <w:lang w:eastAsia="zh-TW"/>
        </w:rPr>
        <w:t>人權公約之實施。又監察院審議通過之調查案中，屬人權相關議案者已</w:t>
      </w:r>
      <w:r w:rsidRPr="00037CD1">
        <w:rPr>
          <w:rFonts w:hint="eastAsia"/>
          <w:spacing w:val="-14"/>
          <w:lang w:eastAsia="zh-TW"/>
        </w:rPr>
        <w:t>逾</w:t>
      </w:r>
      <w:r w:rsidRPr="00810B50">
        <w:rPr>
          <w:rFonts w:hint="eastAsia"/>
          <w:lang w:eastAsia="zh-TW"/>
        </w:rPr>
        <w:t>50</w:t>
      </w:r>
      <w:r w:rsidR="00527C54">
        <w:rPr>
          <w:rFonts w:hint="eastAsia"/>
          <w:lang w:eastAsia="zh-TW"/>
        </w:rPr>
        <w:t>%</w:t>
      </w:r>
      <w:r w:rsidRPr="00810B50">
        <w:rPr>
          <w:rFonts w:hint="eastAsia"/>
          <w:lang w:eastAsia="zh-TW"/>
        </w:rPr>
        <w:t>。</w:t>
      </w:r>
      <w:r w:rsidR="003807A5" w:rsidRPr="005F016C">
        <w:t>透過監察權的行使讓人民權益獲得保障或平反者更是不計其數。</w:t>
      </w:r>
      <w:r w:rsidR="003807A5" w:rsidRPr="005F016C">
        <w:rPr>
          <w:rFonts w:hint="eastAsia"/>
        </w:rPr>
        <w:t>若在</w:t>
      </w:r>
      <w:r w:rsidR="003807A5" w:rsidRPr="005F016C">
        <w:t>此基礎</w:t>
      </w:r>
      <w:r w:rsidR="003807A5" w:rsidRPr="005F016C">
        <w:rPr>
          <w:rFonts w:hint="eastAsia"/>
        </w:rPr>
        <w:t>下納入</w:t>
      </w:r>
      <w:r w:rsidR="003807A5" w:rsidRPr="005F016C">
        <w:t>人權保障</w:t>
      </w:r>
      <w:r w:rsidR="003807A5" w:rsidRPr="005F016C">
        <w:rPr>
          <w:rFonts w:hint="eastAsia"/>
        </w:rPr>
        <w:t>職</w:t>
      </w:r>
      <w:r w:rsidR="003807A5" w:rsidRPr="005F016C">
        <w:t>能，應可在國家負擔最輕的情況下，發揮人權保障最大功效。面對人權環境的瞬息萬變，監察院</w:t>
      </w:r>
      <w:r w:rsidR="003807A5" w:rsidRPr="005F016C">
        <w:rPr>
          <w:rFonts w:hint="eastAsia"/>
        </w:rPr>
        <w:t>將</w:t>
      </w:r>
      <w:r w:rsidR="003807A5" w:rsidRPr="005F016C">
        <w:t>與時俱進，強化人權保障功能，</w:t>
      </w:r>
      <w:r w:rsidR="009017C1">
        <w:rPr>
          <w:rFonts w:hint="eastAsia"/>
        </w:rPr>
        <w:t>並</w:t>
      </w:r>
      <w:r w:rsidR="003807A5" w:rsidRPr="005F016C">
        <w:t>踐履各項人權保障目標。</w:t>
      </w:r>
    </w:p>
    <w:p w:rsidR="003807A5" w:rsidRDefault="003807A5" w:rsidP="008105BF">
      <w:pPr>
        <w:pStyle w:val="1---"/>
        <w:spacing w:beforeLines="30" w:before="108" w:line="400" w:lineRule="exact"/>
        <w:ind w:firstLine="480"/>
        <w:rPr>
          <w:shd w:val="pct15" w:color="auto" w:fill="FFFFFF"/>
          <w:lang w:eastAsia="zh-TW"/>
        </w:rPr>
      </w:pPr>
      <w:r w:rsidRPr="005F016C">
        <w:t>為配合國際推動世界和平與人權發展趨勢，我國自</w:t>
      </w:r>
      <w:r w:rsidRPr="002B4751">
        <w:t>2009</w:t>
      </w:r>
      <w:r w:rsidRPr="002B4751">
        <w:t>年完成公民與政治權利國際公約</w:t>
      </w:r>
      <w:r w:rsidRPr="002B4751">
        <w:rPr>
          <w:rFonts w:hint="eastAsia"/>
        </w:rPr>
        <w:t>及</w:t>
      </w:r>
      <w:r w:rsidRPr="002B4751">
        <w:t>經濟社會文化權利國際公約（兩公約）的國內法化程序，並陸續於</w:t>
      </w:r>
      <w:r w:rsidRPr="002B4751">
        <w:t>2011</w:t>
      </w:r>
      <w:r w:rsidRPr="002B4751">
        <w:t>年完成「消除對婦女一切形式歧視公約」、</w:t>
      </w:r>
      <w:r w:rsidRPr="002B4751">
        <w:t>2014</w:t>
      </w:r>
      <w:r w:rsidRPr="002B4751">
        <w:t>年完成「兒童權利公約」及「身心障礙者權利公約」的國內法化。</w:t>
      </w:r>
      <w:r w:rsidRPr="005F016C">
        <w:t>監察院於行使職權時，得監督各級政府機關及人員作為是否符合該等規定，避免公部門侵害人權，進而有效保障各項人權。</w:t>
      </w:r>
    </w:p>
    <w:p w:rsidR="005F016C" w:rsidRDefault="005F016C" w:rsidP="008105BF">
      <w:pPr>
        <w:pStyle w:val="1---"/>
        <w:spacing w:beforeLines="30" w:before="108" w:line="400" w:lineRule="exact"/>
        <w:ind w:firstLine="480"/>
        <w:rPr>
          <w:lang w:eastAsia="zh-TW"/>
        </w:rPr>
      </w:pPr>
      <w:r>
        <w:rPr>
          <w:rFonts w:hint="eastAsia"/>
        </w:rPr>
        <w:t>基於國際人權分類性質及我國憲法</w:t>
      </w:r>
      <w:r w:rsidRPr="002B4751">
        <w:rPr>
          <w:rFonts w:hint="eastAsia"/>
        </w:rPr>
        <w:t>特性，監察院人權保障委員會於</w:t>
      </w:r>
      <w:r w:rsidRPr="002B4751">
        <w:rPr>
          <w:rFonts w:hint="eastAsia"/>
        </w:rPr>
        <w:t>98</w:t>
      </w:r>
      <w:r w:rsidRPr="002B4751">
        <w:rPr>
          <w:rFonts w:hint="eastAsia"/>
        </w:rPr>
        <w:t>年</w:t>
      </w:r>
      <w:r w:rsidRPr="002B4751">
        <w:rPr>
          <w:rFonts w:hint="eastAsia"/>
        </w:rPr>
        <w:t>6</w:t>
      </w:r>
      <w:r w:rsidRPr="002B4751">
        <w:rPr>
          <w:rFonts w:hint="eastAsia"/>
        </w:rPr>
        <w:t>月</w:t>
      </w:r>
      <w:r w:rsidRPr="002B4751">
        <w:rPr>
          <w:rFonts w:hint="eastAsia"/>
        </w:rPr>
        <w:t>15</w:t>
      </w:r>
      <w:r w:rsidRPr="002B4751">
        <w:rPr>
          <w:rFonts w:hint="eastAsia"/>
        </w:rPr>
        <w:t>日第</w:t>
      </w:r>
      <w:r w:rsidRPr="002B4751">
        <w:rPr>
          <w:rFonts w:hint="eastAsia"/>
        </w:rPr>
        <w:t>4</w:t>
      </w:r>
      <w:r w:rsidRPr="002B4751">
        <w:rPr>
          <w:rFonts w:hint="eastAsia"/>
        </w:rPr>
        <w:t>屆第</w:t>
      </w:r>
      <w:r w:rsidRPr="002B4751">
        <w:rPr>
          <w:rFonts w:hint="eastAsia"/>
        </w:rPr>
        <w:t>9</w:t>
      </w:r>
      <w:r w:rsidRPr="002B4751">
        <w:rPr>
          <w:rFonts w:hint="eastAsia"/>
        </w:rPr>
        <w:t>次會議通過人權分類之統計科目定義</w:t>
      </w:r>
      <w:r w:rsidR="00C65FCB" w:rsidRPr="002B4751">
        <w:rPr>
          <w:rFonts w:hint="eastAsia"/>
        </w:rPr>
        <w:t>（詳附錄一）</w:t>
      </w:r>
      <w:r w:rsidRPr="002B4751">
        <w:rPr>
          <w:rFonts w:hint="eastAsia"/>
        </w:rPr>
        <w:t>，並為監察院調查案件人權性質分類之參考依據。</w:t>
      </w:r>
      <w:r w:rsidRPr="002B4751">
        <w:t>本書</w:t>
      </w:r>
      <w:r>
        <w:rPr>
          <w:rFonts w:hint="eastAsia"/>
        </w:rPr>
        <w:t>依據上開定義，</w:t>
      </w:r>
      <w:r w:rsidRPr="005F016C">
        <w:t>摘選監</w:t>
      </w:r>
      <w:r w:rsidRPr="002B4751">
        <w:t>察院</w:t>
      </w:r>
      <w:r w:rsidRPr="002B4751">
        <w:t>2017</w:t>
      </w:r>
      <w:r w:rsidRPr="002B4751">
        <w:t>年調</w:t>
      </w:r>
      <w:r w:rsidRPr="005F016C">
        <w:t>查的人權案件，分別</w:t>
      </w:r>
      <w:r>
        <w:rPr>
          <w:rFonts w:hint="eastAsia"/>
        </w:rPr>
        <w:t>就</w:t>
      </w:r>
      <w:r w:rsidRPr="005F016C">
        <w:t>自由權、平等權、</w:t>
      </w:r>
      <w:r w:rsidRPr="002B4751">
        <w:t>生存權、司法正義、健康權、工作權、財產權、教</w:t>
      </w:r>
      <w:r w:rsidRPr="002B4751">
        <w:rPr>
          <w:rFonts w:hint="eastAsia"/>
        </w:rPr>
        <w:t>育</w:t>
      </w:r>
      <w:r w:rsidRPr="002B4751">
        <w:t>權、環境權、社會保障</w:t>
      </w:r>
      <w:r w:rsidRPr="002B4751">
        <w:rPr>
          <w:rFonts w:hint="eastAsia"/>
        </w:rPr>
        <w:t>及其他權利</w:t>
      </w:r>
      <w:r w:rsidRPr="002B4751">
        <w:t>等</w:t>
      </w:r>
      <w:r w:rsidRPr="002B4751">
        <w:lastRenderedPageBreak/>
        <w:t>11</w:t>
      </w:r>
      <w:r w:rsidRPr="002B4751">
        <w:rPr>
          <w:rFonts w:hint="eastAsia"/>
        </w:rPr>
        <w:t>個</w:t>
      </w:r>
      <w:r w:rsidRPr="002B4751">
        <w:t>類別</w:t>
      </w:r>
      <w:r w:rsidRPr="005F016C">
        <w:t>解析各權利之內涵，並輔以各機關於監察院調查該等案件後之改善情形，供各界參閱。</w:t>
      </w:r>
    </w:p>
    <w:p w:rsidR="00D3592F" w:rsidRPr="00CF6634" w:rsidRDefault="00D3592F" w:rsidP="00274413">
      <w:pPr>
        <w:pStyle w:val="1---"/>
        <w:spacing w:after="180"/>
        <w:ind w:firstLine="480"/>
        <w:rPr>
          <w:shd w:val="pct15" w:color="auto" w:fill="FFFFFF"/>
          <w:lang w:eastAsia="zh-TW"/>
        </w:rPr>
      </w:pPr>
    </w:p>
    <w:p w:rsidR="00D3592F" w:rsidRDefault="00D3592F">
      <w:pPr>
        <w:widowControl/>
        <w:snapToGrid/>
        <w:sectPr w:rsidR="00D3592F" w:rsidSect="000315BA">
          <w:headerReference w:type="even" r:id="rId15"/>
          <w:headerReference w:type="default" r:id="rId16"/>
          <w:pgSz w:w="8392" w:h="11907" w:code="11"/>
          <w:pgMar w:top="1701" w:right="794" w:bottom="1134" w:left="964" w:header="624" w:footer="397" w:gutter="0"/>
          <w:pgNumType w:start="1"/>
          <w:cols w:space="425"/>
          <w:docGrid w:type="lines" w:linePitch="360"/>
        </w:sectPr>
      </w:pPr>
    </w:p>
    <w:p w:rsidR="003807A5" w:rsidRPr="00D3592F" w:rsidRDefault="003807A5" w:rsidP="00D3592F">
      <w:pPr>
        <w:pStyle w:val="1--"/>
        <w:spacing w:after="180"/>
        <w:rPr>
          <w:kern w:val="2"/>
          <w:sz w:val="24"/>
          <w:szCs w:val="28"/>
          <w:lang w:val="x-none"/>
        </w:rPr>
      </w:pPr>
      <w:bookmarkStart w:id="8" w:name="_Toc535228305"/>
      <w:bookmarkStart w:id="9" w:name="_Toc4058715"/>
      <w:r w:rsidRPr="00D3592F">
        <w:rPr>
          <w:rFonts w:hint="eastAsia"/>
        </w:rPr>
        <w:lastRenderedPageBreak/>
        <w:t>第一章</w:t>
      </w:r>
      <w:r w:rsidRPr="00D3592F">
        <w:rPr>
          <w:rFonts w:ascii="細明體" w:eastAsia="細明體" w:hAnsi="細明體" w:cs="細明體" w:hint="eastAsia"/>
        </w:rPr>
        <w:t xml:space="preserve">　</w:t>
      </w:r>
      <w:r w:rsidRPr="00D3592F">
        <w:rPr>
          <w:rFonts w:hAnsi="華康粗黑體" w:cs="華康粗黑體" w:hint="eastAsia"/>
        </w:rPr>
        <w:t>自由權</w:t>
      </w:r>
      <w:r w:rsidRPr="00D3592F">
        <w:rPr>
          <w:rFonts w:hint="eastAsia"/>
          <w:noProof/>
          <w:kern w:val="2"/>
          <w:sz w:val="24"/>
          <w:szCs w:val="28"/>
        </w:rPr>
        <mc:AlternateContent>
          <mc:Choice Requires="wps">
            <w:drawing>
              <wp:anchor distT="0" distB="0" distL="114300" distR="114300" simplePos="0" relativeHeight="251953152" behindDoc="0" locked="1" layoutInCell="1" allowOverlap="1" wp14:anchorId="4D612F69" wp14:editId="2464B8F2">
                <wp:simplePos x="0" y="0"/>
                <wp:positionH relativeFrom="column">
                  <wp:posOffset>7989570</wp:posOffset>
                </wp:positionH>
                <wp:positionV relativeFrom="paragraph">
                  <wp:posOffset>-773430</wp:posOffset>
                </wp:positionV>
                <wp:extent cx="635000" cy="317500"/>
                <wp:effectExtent l="0" t="0" r="0" b="0"/>
                <wp:wrapNone/>
                <wp:docPr id="153" name="文字方塊 15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832" w:rsidRDefault="00970832" w:rsidP="00912880">
                            <w:pPr>
                              <w:jc w:val="center"/>
                              <w:rPr>
                                <w:sz w:val="18"/>
                              </w:rPr>
                            </w:pPr>
                            <w:r>
                              <w:rPr>
                                <w:sz w:val="18"/>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53" o:spid="_x0000_s1026" type="#_x0000_t202" style="position:absolute;left:0;text-align:left;margin-left:629.1pt;margin-top:-60.9pt;width:50pt;height:25pt;z-index:2519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" stroked="f">
                <v:textbox>
                  <w:txbxContent>
                    <w:p w:rsidR="00895792" w:rsidRDefault="00895792" w:rsidP="00912880">
                      <w:pPr>
                        <w:jc w:val="center"/>
                        <w:rPr>
                          <w:sz w:val="18"/>
                        </w:rPr>
                      </w:pPr>
                      <w:r>
                        <w:rPr>
                          <w:sz w:val="18"/>
                        </w:rPr>
                        <w:t>00</w:t>
                      </w:r>
                    </w:p>
                  </w:txbxContent>
                </v:textbox>
                <w10:anchorlock/>
              </v:shape>
            </w:pict>
          </mc:Fallback>
        </mc:AlternateContent>
      </w:r>
      <w:r w:rsidRPr="00D3592F">
        <w:rPr>
          <w:rFonts w:hint="eastAsia"/>
          <w:noProof/>
          <w:kern w:val="2"/>
          <w:sz w:val="24"/>
          <w:szCs w:val="28"/>
        </w:rPr>
        <mc:AlternateContent>
          <mc:Choice Requires="wpg">
            <w:drawing>
              <wp:anchor distT="0" distB="0" distL="114300" distR="114300" simplePos="0" relativeHeight="251952128" behindDoc="0" locked="1" layoutInCell="0" allowOverlap="1" wp14:anchorId="4717E1AC" wp14:editId="7A396171">
                <wp:simplePos x="0" y="0"/>
                <wp:positionH relativeFrom="column">
                  <wp:posOffset>-1577340</wp:posOffset>
                </wp:positionH>
                <wp:positionV relativeFrom="paragraph">
                  <wp:posOffset>140335</wp:posOffset>
                </wp:positionV>
                <wp:extent cx="149225" cy="8839200"/>
                <wp:effectExtent l="0" t="0" r="3175" b="19050"/>
                <wp:wrapNone/>
                <wp:docPr id="148" name="群組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39200"/>
                          <a:chOff x="745" y="1414"/>
                          <a:chExt cx="235" cy="13920"/>
                        </a:xfrm>
                      </wpg:grpSpPr>
                      <wps:wsp>
                        <wps:cNvPr id="149" name="Line 13"/>
                        <wps:cNvCnPr/>
                        <wps:spPr bwMode="auto">
                          <a:xfrm>
                            <a:off x="851" y="1414"/>
                            <a:ext cx="0" cy="139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0" name="Text Box 14"/>
                        <wps:cNvSpPr txBox="1">
                          <a:spLocks noChangeArrowheads="1"/>
                        </wps:cNvSpPr>
                        <wps:spPr bwMode="auto">
                          <a:xfrm>
                            <a:off x="745" y="5523"/>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912880">
                              <w:pPr>
                                <w:kinsoku w:val="0"/>
                                <w:wordWrap w:val="0"/>
                                <w:overflowPunct w:val="0"/>
                                <w:rPr>
                                  <w:sz w:val="20"/>
                                </w:rPr>
                              </w:pPr>
                              <w:r>
                                <w:rPr>
                                  <w:rFonts w:hint="eastAsia"/>
                                  <w:sz w:val="20"/>
                                </w:rPr>
                                <w:t>裝</w:t>
                              </w:r>
                            </w:p>
                          </w:txbxContent>
                        </wps:txbx>
                        <wps:bodyPr rot="0" vert="horz" wrap="square" lIns="0" tIns="0" rIns="0" bIns="0" anchor="t" anchorCtr="0" upright="1">
                          <a:noAutofit/>
                        </wps:bodyPr>
                      </wps:wsp>
                      <wps:wsp>
                        <wps:cNvPr id="151" name="Text Box 15"/>
                        <wps:cNvSpPr txBox="1">
                          <a:spLocks noChangeArrowheads="1"/>
                        </wps:cNvSpPr>
                        <wps:spPr bwMode="auto">
                          <a:xfrm>
                            <a:off x="745" y="8312"/>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912880">
                              <w:pPr>
                                <w:kinsoku w:val="0"/>
                                <w:wordWrap w:val="0"/>
                                <w:overflowPunct w:val="0"/>
                                <w:rPr>
                                  <w:sz w:val="20"/>
                                </w:rPr>
                              </w:pPr>
                              <w:r>
                                <w:rPr>
                                  <w:rFonts w:hint="eastAsia"/>
                                  <w:sz w:val="20"/>
                                </w:rPr>
                                <w:t>訂</w:t>
                              </w:r>
                            </w:p>
                          </w:txbxContent>
                        </wps:txbx>
                        <wps:bodyPr rot="0" vert="horz" wrap="square" lIns="0" tIns="0" rIns="0" bIns="0" anchor="t" anchorCtr="0" upright="1">
                          <a:noAutofit/>
                        </wps:bodyPr>
                      </wps:wsp>
                      <wps:wsp>
                        <wps:cNvPr id="152" name="Text Box 16"/>
                        <wps:cNvSpPr txBox="1">
                          <a:spLocks noChangeArrowheads="1"/>
                        </wps:cNvSpPr>
                        <wps:spPr bwMode="auto">
                          <a:xfrm>
                            <a:off x="745" y="11127"/>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912880">
                              <w:pPr>
                                <w:kinsoku w:val="0"/>
                                <w:wordWrap w:val="0"/>
                                <w:overflowPunct w:val="0"/>
                                <w:rPr>
                                  <w:sz w:val="20"/>
                                </w:rPr>
                              </w:pPr>
                              <w:r>
                                <w:rPr>
                                  <w:rFonts w:hint="eastAsia"/>
                                  <w:sz w:val="20"/>
                                </w:rPr>
                                <w:t>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48" o:spid="_x0000_s1027" style="position:absolute;left:0;text-align:left;margin-left:-124.2pt;margin-top:11.05pt;width:11.75pt;height:696pt;z-index:251952128" coordorigin="745,1414" coordsize="235,1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" o:allowincell="f">
                <v:line id="Line 13" o:spid="_x0000_s1028" style="position:absolute;visibility:visible;mso-wrap-style:square" from="851,1414" to="851,1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xOrsMAAADcAAAADwAAAGRycy9kb3ducmV2LnhtbERPTWsCMRC9F/ofwhS81WxFbN0apQqC&#10;rfbgquBx2IzJ0s1k2aS6/vtGKHibx/ucyaxztThTGyrPCl76GQji0uuKjYL9bvn8BiJEZI21Z1Jw&#10;pQCz6ePDBHPtL7ylcxGNSCEcclRgY2xyKUNpyWHo+4Y4cSffOowJtkbqFi8p3NVykGUj6bDi1GCx&#10;oYWl8qf4dQrWr6v6YPhYbD5PYe7HX1v5baxSvafu4x1EpC7exf/ulU7zh2O4PZMukN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MTq7DAAAA3AAAAA8AAAAAAAAAAAAA&#10;AAAAoQIAAGRycy9kb3ducmV2LnhtbFBLBQYAAAAABAAEAPkAAACRAwAAAAA=&#10;">
                  <v:stroke dashstyle="1 1"/>
                </v:line>
                <v:shape id="Text Box 14" o:spid="_x0000_s1029" type="#_x0000_t202" style="position:absolute;left:745;top:5523;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lyHMUA&#10;AADcAAAADwAAAGRycy9kb3ducmV2LnhtbESPQWvCQBCF7wX/wzKCt7pRSCnRVVQqttKLGsTjkB2T&#10;YHY2ZLea/nvnUOhthvfmvW/my9416k5dqD0bmIwTUMSFtzWXBvLT9vUdVIjIFhvPZOCXAiwXg5c5&#10;ZtY/+ED3YyyVhHDI0EAVY5tpHYqKHIaxb4lFu/rOYZS1K7Xt8CHhrtHTJHnTDmuWhgpb2lRU3I4/&#10;zsCXPet1mieH4nKxu4/td5pP96kxo2G/moGK1Md/89/1pxX8VPDlGZlAL5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aXIcxQAAANwAAAAPAAAAAAAAAAAAAAAAAJgCAABkcnMv&#10;ZG93bnJldi54bWxQSwUGAAAAAAQABAD1AAAAigMAAAAA&#10;" filled="f" stroked="f">
                  <v:stroke dashstyle="1 1"/>
                  <v:textbox inset="0,0,0,0">
                    <w:txbxContent>
                      <w:p w:rsidR="00895792" w:rsidRDefault="00895792" w:rsidP="00912880">
                        <w:pPr>
                          <w:kinsoku w:val="0"/>
                          <w:wordWrap w:val="0"/>
                          <w:overflowPunct w:val="0"/>
                          <w:rPr>
                            <w:sz w:val="20"/>
                          </w:rPr>
                        </w:pPr>
                        <w:r>
                          <w:rPr>
                            <w:rFonts w:hint="eastAsia"/>
                            <w:sz w:val="20"/>
                          </w:rPr>
                          <w:t>裝</w:t>
                        </w:r>
                      </w:p>
                    </w:txbxContent>
                  </v:textbox>
                </v:shape>
                <v:shape id="Text Box 15" o:spid="_x0000_s1030" type="#_x0000_t202" style="position:absolute;left:745;top:8312;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XXh8IA&#10;AADcAAAADwAAAGRycy9kb3ducmV2LnhtbERPTYvCMBC9C/6HMII3TRUqSzWKyorrspdqEY9DM7bF&#10;ZlKarHb//UYQvM3jfc5i1Zla3Kl1lWUFk3EEgji3uuJCQXbajT5AOI+ssbZMCv7IwWrZ7y0w0fbB&#10;Kd2PvhAhhF2CCkrvm0RKl5dk0I1tQxy4q20N+gDbQuoWHyHc1HIaRTNpsOLQUGJD25Ly2/HXKDjo&#10;s9zEWZTml4vef+5+4mz6HSs1HHTrOQhPnX+LX+4vHebHE3g+Ey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JdeHwgAAANwAAAAPAAAAAAAAAAAAAAAAAJgCAABkcnMvZG93&#10;bnJldi54bWxQSwUGAAAAAAQABAD1AAAAhwMAAAAA&#10;" filled="f" stroked="f">
                  <v:stroke dashstyle="1 1"/>
                  <v:textbox inset="0,0,0,0">
                    <w:txbxContent>
                      <w:p w:rsidR="00895792" w:rsidRDefault="00895792" w:rsidP="00912880">
                        <w:pPr>
                          <w:kinsoku w:val="0"/>
                          <w:wordWrap w:val="0"/>
                          <w:overflowPunct w:val="0"/>
                          <w:rPr>
                            <w:sz w:val="20"/>
                          </w:rPr>
                        </w:pPr>
                        <w:r>
                          <w:rPr>
                            <w:rFonts w:hint="eastAsia"/>
                            <w:sz w:val="20"/>
                          </w:rPr>
                          <w:t>訂</w:t>
                        </w:r>
                      </w:p>
                    </w:txbxContent>
                  </v:textbox>
                </v:shape>
                <v:shape id="Text Box 16" o:spid="_x0000_s1031" type="#_x0000_t202" style="position:absolute;left:745;top:11127;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dJ8MIA&#10;AADcAAAADwAAAGRycy9kb3ducmV2LnhtbERPTYvCMBC9C/6HMII3TS1UlmoUlRXXZS9qEY9DM7bF&#10;ZlKarHb//UYQvM3jfc582Zla3Kl1lWUFk3EEgji3uuJCQXbajj5AOI+ssbZMCv7IwXLR780x1fbB&#10;B7offSFCCLsUFZTeN6mULi/JoBvbhjhwV9sa9AG2hdQtPkK4qWUcRVNpsOLQUGJDm5Ly2/HXKNjr&#10;s1wnWXTILxe9+9z+JFn8nSg1HHSrGQhPnX+LX+4vHeYn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90nwwgAAANwAAAAPAAAAAAAAAAAAAAAAAJgCAABkcnMvZG93&#10;bnJldi54bWxQSwUGAAAAAAQABAD1AAAAhwMAAAAA&#10;" filled="f" stroked="f">
                  <v:stroke dashstyle="1 1"/>
                  <v:textbox inset="0,0,0,0">
                    <w:txbxContent>
                      <w:p w:rsidR="00895792" w:rsidRDefault="00895792" w:rsidP="00912880">
                        <w:pPr>
                          <w:kinsoku w:val="0"/>
                          <w:wordWrap w:val="0"/>
                          <w:overflowPunct w:val="0"/>
                          <w:rPr>
                            <w:sz w:val="20"/>
                          </w:rPr>
                        </w:pPr>
                        <w:r>
                          <w:rPr>
                            <w:rFonts w:hint="eastAsia"/>
                            <w:sz w:val="20"/>
                          </w:rPr>
                          <w:t>線</w:t>
                        </w:r>
                      </w:p>
                    </w:txbxContent>
                  </v:textbox>
                </v:shape>
                <w10:anchorlock/>
              </v:group>
            </w:pict>
          </mc:Fallback>
        </mc:AlternateContent>
      </w:r>
      <w:r w:rsidRPr="00D3592F">
        <w:rPr>
          <w:rFonts w:hint="eastAsia"/>
          <w:noProof/>
          <w:kern w:val="2"/>
          <w:sz w:val="24"/>
          <w:szCs w:val="28"/>
        </w:rPr>
        <mc:AlternateContent>
          <mc:Choice Requires="wps">
            <w:drawing>
              <wp:anchor distT="0" distB="0" distL="114300" distR="114300" simplePos="0" relativeHeight="251951104" behindDoc="0" locked="1" layoutInCell="0" allowOverlap="1" wp14:anchorId="065C23B7" wp14:editId="17D2DA1B">
                <wp:simplePos x="0" y="0"/>
                <wp:positionH relativeFrom="column">
                  <wp:posOffset>-609600</wp:posOffset>
                </wp:positionH>
                <wp:positionV relativeFrom="page">
                  <wp:posOffset>443230</wp:posOffset>
                </wp:positionV>
                <wp:extent cx="636905" cy="396240"/>
                <wp:effectExtent l="0" t="0" r="0" b="0"/>
                <wp:wrapNone/>
                <wp:docPr id="147" name="文字方塊 14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832" w:rsidRDefault="00970832" w:rsidP="00912880">
                            <w:pPr>
                              <w:jc w:val="center"/>
                              <w:rPr>
                                <w:color w:val="000000"/>
                                <w:sz w:val="36"/>
                              </w:rPr>
                            </w:pPr>
                            <w:r>
                              <w:rPr>
                                <w:rFonts w:hint="eastAsia"/>
                                <w:color w:val="000000"/>
                                <w:sz w:val="36"/>
                              </w:rPr>
                              <w:t>正本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7" o:spid="_x0000_s1032" type="#_x0000_t202" style="position:absolute;left:0;text-align:left;margin-left:-48pt;margin-top:34.9pt;width:50.15pt;height:31.2pt;z-index:251951104;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" o:allowincell="f" filled="f">
                <v:textbox inset=".5mm,,.5mm">
                  <w:txbxContent>
                    <w:p w:rsidR="00895792" w:rsidRDefault="00895792" w:rsidP="00912880">
                      <w:pPr>
                        <w:jc w:val="center"/>
                        <w:rPr>
                          <w:color w:val="000000"/>
                          <w:sz w:val="36"/>
                        </w:rPr>
                      </w:pPr>
                      <w:r>
                        <w:rPr>
                          <w:rFonts w:hint="eastAsia"/>
                          <w:color w:val="000000"/>
                          <w:sz w:val="36"/>
                        </w:rPr>
                        <w:t>正本</w:t>
                      </w:r>
                    </w:p>
                  </w:txbxContent>
                </v:textbox>
                <w10:wrap anchory="page"/>
                <w10:anchorlock/>
              </v:shape>
            </w:pict>
          </mc:Fallback>
        </mc:AlternateContent>
      </w:r>
      <w:r w:rsidRPr="00D3592F">
        <w:rPr>
          <w:rFonts w:hint="eastAsia"/>
          <w:noProof/>
          <w:kern w:val="2"/>
          <w:sz w:val="24"/>
          <w:szCs w:val="28"/>
        </w:rPr>
        <mc:AlternateContent>
          <mc:Choice Requires="wps">
            <w:drawing>
              <wp:anchor distT="0" distB="0" distL="114300" distR="114300" simplePos="0" relativeHeight="251950080" behindDoc="0" locked="1" layoutInCell="0" allowOverlap="1" wp14:anchorId="0F06013F" wp14:editId="746A93A4">
                <wp:simplePos x="0" y="0"/>
                <wp:positionH relativeFrom="column">
                  <wp:posOffset>-609600</wp:posOffset>
                </wp:positionH>
                <wp:positionV relativeFrom="page">
                  <wp:posOffset>442595</wp:posOffset>
                </wp:positionV>
                <wp:extent cx="636905" cy="396240"/>
                <wp:effectExtent l="0" t="0" r="0" b="0"/>
                <wp:wrapNone/>
                <wp:docPr id="146" name="文字方塊 14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832" w:rsidRDefault="00970832" w:rsidP="00912880">
                            <w:pPr>
                              <w:jc w:val="center"/>
                              <w:rPr>
                                <w:color w:val="000000"/>
                                <w:sz w:val="36"/>
                              </w:rPr>
                            </w:pPr>
                            <w:r>
                              <w:rPr>
                                <w:rFonts w:hint="eastAsia"/>
                                <w:color w:val="000000"/>
                                <w:sz w:val="36"/>
                              </w:rPr>
                              <w:t>副本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6" o:spid="_x0000_s1033" type="#_x0000_t202" style="position:absolute;left:0;text-align:left;margin-left:-48pt;margin-top:34.85pt;width:50.15pt;height:31.2pt;z-index:251950080;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" o:allowincell="f" filled="f">
                <v:textbox inset=".5mm,,.5mm">
                  <w:txbxContent>
                    <w:p w:rsidR="00895792" w:rsidRDefault="00895792" w:rsidP="00912880">
                      <w:pPr>
                        <w:jc w:val="center"/>
                        <w:rPr>
                          <w:color w:val="000000"/>
                          <w:sz w:val="36"/>
                        </w:rPr>
                      </w:pPr>
                      <w:r>
                        <w:rPr>
                          <w:rFonts w:hint="eastAsia"/>
                          <w:color w:val="000000"/>
                          <w:sz w:val="36"/>
                        </w:rPr>
                        <w:t>副本</w:t>
                      </w:r>
                    </w:p>
                  </w:txbxContent>
                </v:textbox>
                <w10:wrap anchory="page"/>
                <w10:anchorlock/>
              </v:shape>
            </w:pict>
          </mc:Fallback>
        </mc:AlternateContent>
      </w:r>
      <w:r w:rsidRPr="00D3592F">
        <w:rPr>
          <w:rFonts w:hint="eastAsia"/>
          <w:noProof/>
          <w:kern w:val="2"/>
          <w:sz w:val="24"/>
          <w:szCs w:val="28"/>
        </w:rPr>
        <mc:AlternateContent>
          <mc:Choice Requires="wps">
            <w:drawing>
              <wp:anchor distT="0" distB="0" distL="114300" distR="114300" simplePos="0" relativeHeight="251949056" behindDoc="0" locked="1" layoutInCell="0" allowOverlap="1" wp14:anchorId="37AEFEE7" wp14:editId="4F75B55D">
                <wp:simplePos x="0" y="0"/>
                <wp:positionH relativeFrom="column">
                  <wp:posOffset>2819400</wp:posOffset>
                </wp:positionH>
                <wp:positionV relativeFrom="page">
                  <wp:posOffset>443230</wp:posOffset>
                </wp:positionV>
                <wp:extent cx="1440180" cy="360045"/>
                <wp:effectExtent l="0" t="0" r="0" b="0"/>
                <wp:wrapNone/>
                <wp:docPr id="145" name="文字方塊 14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970832" w:rsidRDefault="00970832" w:rsidP="00912880">
                            <w:r>
                              <w:rPr>
                                <w:rFonts w:hint="eastAsia"/>
                              </w:rPr>
                              <w:t>院長王○○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5" o:spid="_x0000_s1034" type="#_x0000_t202" style="position:absolute;left:0;text-align:left;margin-left:222pt;margin-top:34.9pt;width:113.4pt;height:28.35pt;z-index:251949056;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" o:allowincell="f">
                <v:textbox>
                  <w:txbxContent>
                    <w:p w:rsidR="00895792" w:rsidRDefault="00895792" w:rsidP="00912880">
                      <w:r>
                        <w:rPr>
                          <w:rFonts w:hint="eastAsia"/>
                        </w:rPr>
                        <w:t>院長王○○</w:t>
                      </w:r>
                    </w:p>
                  </w:txbxContent>
                </v:textbox>
                <w10:wrap anchory="page"/>
                <w10:anchorlock/>
              </v:shape>
            </w:pict>
          </mc:Fallback>
        </mc:AlternateContent>
      </w:r>
      <w:r w:rsidRPr="00D3592F">
        <w:rPr>
          <w:rFonts w:hint="eastAsia"/>
          <w:noProof/>
          <w:kern w:val="2"/>
          <w:sz w:val="24"/>
          <w:szCs w:val="28"/>
        </w:rPr>
        <mc:AlternateContent>
          <mc:Choice Requires="wps">
            <w:drawing>
              <wp:anchor distT="0" distB="0" distL="114300" distR="114300" simplePos="0" relativeHeight="251948032" behindDoc="0" locked="1" layoutInCell="0" allowOverlap="1" wp14:anchorId="71BB9BA1" wp14:editId="454E7071">
                <wp:simplePos x="0" y="0"/>
                <wp:positionH relativeFrom="column">
                  <wp:posOffset>1381125</wp:posOffset>
                </wp:positionH>
                <wp:positionV relativeFrom="page">
                  <wp:posOffset>443230</wp:posOffset>
                </wp:positionV>
                <wp:extent cx="1440180" cy="360045"/>
                <wp:effectExtent l="0" t="0" r="0" b="0"/>
                <wp:wrapNone/>
                <wp:docPr id="144" name="文字方塊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970832" w:rsidRDefault="00970832" w:rsidP="00912880">
                            <w:pPr>
                              <w:rPr>
                                <w:rFonts w:ascii="標楷體"/>
                              </w:rPr>
                            </w:pPr>
                            <w:r>
                              <w:rPr>
                                <w:rFonts w:ascii="標楷體" w:hint="eastAsia"/>
                              </w:rPr>
                              <w:t>函;函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4" o:spid="_x0000_s1035" type="#_x0000_t202" style="position:absolute;left:0;text-align:left;margin-left:108.75pt;margin-top:34.9pt;width:113.4pt;height:28.35pt;z-index:251948032;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" o:allowincell="f">
                <v:textbox>
                  <w:txbxContent>
                    <w:p w:rsidR="00895792" w:rsidRDefault="00895792" w:rsidP="00912880">
                      <w:pPr>
                        <w:rPr>
                          <w:rFonts w:ascii="標楷體"/>
                        </w:rPr>
                      </w:pPr>
                      <w:r>
                        <w:rPr>
                          <w:rFonts w:ascii="標楷體" w:hint="eastAsia"/>
                        </w:rPr>
                        <w:t>函;函</w:t>
                      </w:r>
                    </w:p>
                  </w:txbxContent>
                </v:textbox>
                <w10:wrap anchory="page"/>
                <w10:anchorlock/>
              </v:shape>
            </w:pict>
          </mc:Fallback>
        </mc:AlternateContent>
      </w:r>
      <w:bookmarkEnd w:id="8"/>
      <w:bookmarkEnd w:id="9"/>
    </w:p>
    <w:p w:rsidR="003807A5" w:rsidRPr="00AC77DF" w:rsidRDefault="003807A5" w:rsidP="00274413">
      <w:pPr>
        <w:pStyle w:val="1---"/>
        <w:ind w:firstLine="480"/>
      </w:pPr>
      <w:r w:rsidRPr="00AC77DF">
        <w:t>自由一直是模糊且具爭論的議題，且不同時代對自由有不同的界定。早期強調的自由，係以人身自由為基礎，並逐漸形成基本人權之一，例如英國大憲章在</w:t>
      </w:r>
      <w:r w:rsidRPr="00AC77DF">
        <w:t>1215</w:t>
      </w:r>
      <w:r w:rsidRPr="00AC77DF">
        <w:t>年即納入自由權的觀念。</w:t>
      </w:r>
      <w:r w:rsidR="00434EAA" w:rsidRPr="00434EAA">
        <w:rPr>
          <w:rFonts w:hint="eastAsia"/>
        </w:rPr>
        <w:t>洛克</w:t>
      </w:r>
      <w:r w:rsidR="00434EAA">
        <w:rPr>
          <w:rFonts w:hint="eastAsia"/>
        </w:rPr>
        <w:t>所</w:t>
      </w:r>
      <w:r w:rsidR="00DD2EA6">
        <w:rPr>
          <w:rFonts w:hint="eastAsia"/>
        </w:rPr>
        <w:t>發表《政府</w:t>
      </w:r>
      <w:r w:rsidR="00DD2EA6" w:rsidRPr="00DD2EA6">
        <w:t>論》</w:t>
      </w:r>
      <w:r w:rsidR="00434EAA">
        <w:rPr>
          <w:rStyle w:val="aff2"/>
        </w:rPr>
        <w:footnoteReference w:id="3"/>
      </w:r>
      <w:r w:rsidR="00DD2EA6" w:rsidRPr="00DD2EA6">
        <w:t>中提及社會契約論（</w:t>
      </w:r>
      <w:r w:rsidR="00DD2EA6" w:rsidRPr="00DD2EA6">
        <w:rPr>
          <w:lang w:eastAsia="zh-TW"/>
        </w:rPr>
        <w:t>Social Contract Theory</w:t>
      </w:r>
      <w:r w:rsidR="00DD2EA6" w:rsidRPr="00DD2EA6">
        <w:t>）</w:t>
      </w:r>
      <w:r w:rsidR="00DD2EA6">
        <w:rPr>
          <w:rFonts w:hint="eastAsia"/>
          <w:lang w:eastAsia="zh-TW"/>
        </w:rPr>
        <w:t>，</w:t>
      </w:r>
      <w:r w:rsidR="00DD2EA6">
        <w:rPr>
          <w:rFonts w:hint="eastAsia"/>
        </w:rPr>
        <w:t>主張生命、自由、財產乃是人類不變的自然權利，也是天賦人權。而保護這些自然權利，乃國家成立的宗旨。</w:t>
      </w:r>
      <w:r w:rsidRPr="00AC77DF">
        <w:t>1948</w:t>
      </w:r>
      <w:r w:rsidRPr="00AC77DF">
        <w:t>年聯合國通過世界人權宣言，該宣言第</w:t>
      </w:r>
      <w:r w:rsidRPr="00AC77DF">
        <w:t>3</w:t>
      </w:r>
      <w:r w:rsidRPr="00AC77DF">
        <w:t>條規定：「人人有權享有生命、自由和人身安全。」其不僅涵蓋多項人類自由權的範疇，並主張人類之自由權，應受到重視與保障。</w:t>
      </w:r>
    </w:p>
    <w:p w:rsidR="003807A5" w:rsidRPr="00AC77DF" w:rsidRDefault="003807A5" w:rsidP="00D12150">
      <w:pPr>
        <w:pStyle w:val="1---"/>
        <w:ind w:firstLine="480"/>
      </w:pPr>
      <w:r w:rsidRPr="00AC77DF">
        <w:t>1966</w:t>
      </w:r>
      <w:r w:rsidRPr="00AC77DF">
        <w:t>年第</w:t>
      </w:r>
      <w:r w:rsidRPr="00AC77DF">
        <w:t>21</w:t>
      </w:r>
      <w:r w:rsidRPr="00AC77DF">
        <w:t>屆聯合國大會通過公民與政治權利國際公約，該公約更於前言揭示</w:t>
      </w:r>
      <w:r w:rsidR="00D12150" w:rsidRPr="0010736E">
        <w:rPr>
          <w:rFonts w:hint="eastAsia"/>
          <w:spacing w:val="-30"/>
          <w:lang w:eastAsia="zh-TW"/>
        </w:rPr>
        <w:t>：</w:t>
      </w:r>
      <w:r w:rsidRPr="00AC77DF">
        <w:t>「依照聯合國憲章規定，各國負有促進人權與尊重自由的義務</w:t>
      </w:r>
      <w:r w:rsidRPr="0010736E">
        <w:rPr>
          <w:spacing w:val="-30"/>
        </w:rPr>
        <w:t>」</w:t>
      </w:r>
      <w:r w:rsidRPr="00AC77DF">
        <w:t>，並進一步規定民族、身體、遷徙、思想、信念及宗教、表現、結社、婚姻、參政等自由權。除此之外，</w:t>
      </w:r>
      <w:r w:rsidRPr="00AC77DF">
        <w:t>1966</w:t>
      </w:r>
      <w:r w:rsidRPr="00AC77DF">
        <w:t>年</w:t>
      </w:r>
      <w:r w:rsidRPr="00AC77DF">
        <w:t>12</w:t>
      </w:r>
      <w:r w:rsidRPr="00AC77DF">
        <w:t>月</w:t>
      </w:r>
      <w:r w:rsidRPr="00AC77DF">
        <w:t>16</w:t>
      </w:r>
      <w:r w:rsidRPr="00AC77DF">
        <w:t>日通過的經濟社會文化權利國際公約亦強調，人人除享有公民及政治權利而外，並得享受經濟社會文化權利，始克實現自由人類享受無所恐懼不虞匱乏之理想。該公約提及的自由概念涵蓋民族自決權、選擇或接受工作、參與工會或結社、婚姻、教育、創作等自由。上開兩公約與世界人權宣言乃人權基本法典，換言之，其所涵蓋的自由應被視為人民應享有且最基本的自由權利，而國家則負有保障人民享有</w:t>
      </w:r>
      <w:r w:rsidRPr="00AC77DF">
        <w:lastRenderedPageBreak/>
        <w:t>該等自由之義務。</w:t>
      </w:r>
    </w:p>
    <w:p w:rsidR="003807A5" w:rsidRPr="00AC77DF" w:rsidRDefault="003807A5" w:rsidP="00274413">
      <w:pPr>
        <w:pStyle w:val="1---"/>
        <w:ind w:firstLine="480"/>
      </w:pPr>
      <w:r w:rsidRPr="00AC77DF">
        <w:t>自由權範疇甚廣，一般認為個人自由必須以其行為不妨害別人為限制</w:t>
      </w:r>
      <w:r w:rsidRPr="00AC77DF">
        <w:rPr>
          <w:rStyle w:val="aff2"/>
        </w:rPr>
        <w:footnoteReference w:id="4"/>
      </w:r>
      <w:r w:rsidRPr="00AC77DF">
        <w:t>。所以，國家除應保障人民的自由權外，尚負有防止公權力或私人侵害他人自由之責任。德國自</w:t>
      </w:r>
      <w:r w:rsidRPr="00AC77DF">
        <w:t>1970</w:t>
      </w:r>
      <w:r w:rsidRPr="00AC77DF">
        <w:t>年代興起國家基本權保護義務論，主張國家須有積極作為，以保障人民的自由權，此可從三方面來論述：（一）當個人自由受到公權力侵害時，國家應提供救濟管道；（二）國家應設立防禦或保護機制，避免自由受到第三人（私人）侵害；（三）國家應設立制度或提供特定公共財，而國民有請求國家履行義務之主觀權利。例如國家應透過立法保障契約自由及財產制度，甚至擔負設置契約制度及財產制度的義務</w:t>
      </w:r>
      <w:r w:rsidRPr="00AC77DF">
        <w:rPr>
          <w:rStyle w:val="aff2"/>
        </w:rPr>
        <w:footnoteReference w:id="5"/>
      </w:r>
      <w:r w:rsidRPr="00AC77DF">
        <w:t>。</w:t>
      </w:r>
    </w:p>
    <w:p w:rsidR="003807A5" w:rsidRPr="00AC77DF" w:rsidRDefault="003807A5" w:rsidP="00274413">
      <w:pPr>
        <w:pStyle w:val="1---"/>
        <w:ind w:firstLine="480"/>
      </w:pPr>
      <w:r w:rsidRPr="00AC77DF">
        <w:t>除了上述傳統強調的自由外，事實上，被剝奪自由者的自主權利亦應受到重視。在談及人身自由權利時，國家除應建立制度，保障人民免受任意逮捕拘禁外，對於被剝奪自由者之人權，亦應受到重視。換言之，國家有義務保障任何人當其被剝奪人身自由時，除了因自由被剝奪而遭受無法避免之限制與痛苦外，享有如自由人在相同條件下之尊嚴</w:t>
      </w:r>
      <w:r w:rsidRPr="00AC77DF">
        <w:rPr>
          <w:rStyle w:val="aff2"/>
        </w:rPr>
        <w:footnoteReference w:id="6"/>
      </w:r>
      <w:r w:rsidRPr="00AC77DF">
        <w:t>。這也是公民與政治權利國際公約第</w:t>
      </w:r>
      <w:r w:rsidRPr="00AC77DF">
        <w:t>10</w:t>
      </w:r>
      <w:r w:rsidRPr="00AC77DF">
        <w:t>條規範被剝奪自由者及被告之人道處遇之核心。該條強調所有人之人身自由被依法剝奪時，其固有的人格權與尊嚴仍應受到尊重，不得因逮捕拘禁程序合法正當，即可</w:t>
      </w:r>
      <w:r w:rsidRPr="00AC77DF">
        <w:lastRenderedPageBreak/>
        <w:t>使被剝奪自由者受到不人道或傷害其人格與尊嚴之行為與待</w:t>
      </w:r>
      <w:r w:rsidR="00037CD1">
        <w:rPr>
          <w:rFonts w:hint="eastAsia"/>
          <w:lang w:eastAsia="zh-TW"/>
        </w:rPr>
        <w:t xml:space="preserve">  </w:t>
      </w:r>
      <w:r w:rsidRPr="00AC77DF">
        <w:t>遇。</w:t>
      </w:r>
    </w:p>
    <w:p w:rsidR="003807A5" w:rsidRPr="00AC77DF" w:rsidRDefault="003807A5" w:rsidP="00037CD1">
      <w:pPr>
        <w:pStyle w:val="1---"/>
        <w:ind w:firstLine="480"/>
      </w:pPr>
      <w:r w:rsidRPr="00AC77DF">
        <w:t>聯合國人權事務委員會早在</w:t>
      </w:r>
      <w:r w:rsidRPr="00AC77DF">
        <w:t>1982</w:t>
      </w:r>
      <w:r w:rsidRPr="00AC77DF">
        <w:t>年第</w:t>
      </w:r>
      <w:r w:rsidRPr="00AC77DF">
        <w:t>16</w:t>
      </w:r>
      <w:r w:rsidRPr="00AC77DF">
        <w:t>屆會議通過第</w:t>
      </w:r>
      <w:r w:rsidRPr="00AC77DF">
        <w:t>9</w:t>
      </w:r>
      <w:r w:rsidRPr="00AC77DF">
        <w:t>號一般性意見即指出，本條第</w:t>
      </w:r>
      <w:r w:rsidRPr="00AC77DF">
        <w:t>1</w:t>
      </w:r>
      <w:r w:rsidRPr="00AC77DF">
        <w:t>項規定，所有被剝奪自由的人應得到人道及尊重其固有的人格尊嚴的處遇，此乃普遍適用於所有被剝奪自由的人，並非僅針對被判決有罪之人而言，這不僅指監獄，也包括醫院、收容所或矯正機構等。至</w:t>
      </w:r>
      <w:r w:rsidRPr="00AC77DF">
        <w:t>1992</w:t>
      </w:r>
      <w:r w:rsidRPr="00AC77DF">
        <w:t>年，聯合國人權事務委員會又發布第</w:t>
      </w:r>
      <w:r w:rsidRPr="00AC77DF">
        <w:t>21</w:t>
      </w:r>
      <w:r w:rsidRPr="00AC77DF">
        <w:t>號一般性意見，並取代前述第</w:t>
      </w:r>
      <w:r w:rsidRPr="00AC77DF">
        <w:t>9</w:t>
      </w:r>
      <w:r w:rsidRPr="00AC77DF">
        <w:t>號一般性意見。其重點包括：公民與政治權利國際公約第</w:t>
      </w:r>
      <w:r w:rsidRPr="00AC77DF">
        <w:t>10</w:t>
      </w:r>
      <w:r w:rsidRPr="00AC77DF">
        <w:t>條第</w:t>
      </w:r>
      <w:r w:rsidRPr="00AC77DF">
        <w:t>1</w:t>
      </w:r>
      <w:r w:rsidRPr="00AC77DF">
        <w:t>項適用於根據國家法律和公權力而被剝奪自由並被關在監獄、醫院（特別是精神（專）科醫院</w:t>
      </w:r>
      <w:r w:rsidRPr="0010736E">
        <w:rPr>
          <w:spacing w:val="-30"/>
        </w:rPr>
        <w:t>）</w:t>
      </w:r>
      <w:r w:rsidRPr="00AC77DF">
        <w:t>、收容所、矯正機構或其他地方的任何人。締約國應確保在屬其管轄的所有受拘禁人的機構和設施內遵循該項規定的原則。以人道和尊重人格的方式對待喪失自由者是一項基本和普遍適用的通則。因此，這項規則的適用絲毫不取決於締約國現有的物質資源水準。必須不加任何區別地適用這項規則，不論種族、膚色、性別、語言、宗教、政見或其他主張、民族本源或社會階級、財產、出生或其他身分。</w:t>
      </w:r>
    </w:p>
    <w:p w:rsidR="003807A5" w:rsidRPr="00AC77DF" w:rsidRDefault="003807A5" w:rsidP="00274413">
      <w:pPr>
        <w:pStyle w:val="1---"/>
        <w:ind w:firstLine="480"/>
      </w:pPr>
      <w:r w:rsidRPr="00AC77DF">
        <w:t>第</w:t>
      </w:r>
      <w:r w:rsidRPr="00AC77DF">
        <w:t>10</w:t>
      </w:r>
      <w:r w:rsidRPr="00AC77DF">
        <w:t>條第</w:t>
      </w:r>
      <w:r w:rsidRPr="00AC77DF">
        <w:t>2</w:t>
      </w:r>
      <w:r w:rsidRPr="00AC77DF">
        <w:t>項第</w:t>
      </w:r>
      <w:r w:rsidRPr="00AC77DF">
        <w:t>1</w:t>
      </w:r>
      <w:r w:rsidRPr="00AC77DF">
        <w:t>款規定，除特殊情況外，被告應與被判有罪的人隔離開。在少年的保護方面，第</w:t>
      </w:r>
      <w:r w:rsidRPr="00AC77DF">
        <w:t>10</w:t>
      </w:r>
      <w:r w:rsidRPr="00AC77DF">
        <w:t>條第</w:t>
      </w:r>
      <w:r w:rsidRPr="00AC77DF">
        <w:t>2</w:t>
      </w:r>
      <w:r w:rsidRPr="00AC77DF">
        <w:t>項第</w:t>
      </w:r>
      <w:r w:rsidRPr="00AC77DF">
        <w:t>2</w:t>
      </w:r>
      <w:r w:rsidRPr="00AC77DF">
        <w:t>款規定，少年被告應與成人被告分別羈押。第</w:t>
      </w:r>
      <w:r w:rsidRPr="00AC77DF">
        <w:t>10</w:t>
      </w:r>
      <w:r w:rsidRPr="00AC77DF">
        <w:t>條第</w:t>
      </w:r>
      <w:r w:rsidRPr="00AC77DF">
        <w:t>3</w:t>
      </w:r>
      <w:r w:rsidRPr="00AC77DF">
        <w:t>項規定，少年犯人應與成年犯人分別拘禁，且其處遇應與其年齡及法律身分相稱，如工作時間較短和與親屬接觸等，以便促進其感化和更生工作。儘管第</w:t>
      </w:r>
      <w:r w:rsidRPr="00AC77DF">
        <w:t>10</w:t>
      </w:r>
      <w:r w:rsidRPr="00AC77DF">
        <w:t>條未列明少年年齡的限制，不過</w:t>
      </w:r>
      <w:r w:rsidR="004F1EF4" w:rsidRPr="00AC77DF">
        <w:t>聯合國人權事務</w:t>
      </w:r>
      <w:r w:rsidRPr="00AC77DF">
        <w:t>委員會認為，第</w:t>
      </w:r>
      <w:r w:rsidRPr="00AC77DF">
        <w:t>6</w:t>
      </w:r>
      <w:r w:rsidRPr="00AC77DF">
        <w:t>條第</w:t>
      </w:r>
      <w:r w:rsidRPr="00AC77DF">
        <w:t>5</w:t>
      </w:r>
      <w:r w:rsidRPr="00AC77DF">
        <w:t>項意味著所有未滿</w:t>
      </w:r>
      <w:r w:rsidRPr="00AC77DF">
        <w:t>18</w:t>
      </w:r>
      <w:r w:rsidRPr="00AC77DF">
        <w:t>歲者均應</w:t>
      </w:r>
      <w:r w:rsidRPr="00AC77DF">
        <w:lastRenderedPageBreak/>
        <w:t>被視為少年，至少在涉及刑事審判時如此。</w:t>
      </w:r>
    </w:p>
    <w:p w:rsidR="003807A5" w:rsidRPr="00AC77DF" w:rsidRDefault="003807A5" w:rsidP="00274413">
      <w:pPr>
        <w:pStyle w:val="1---"/>
        <w:ind w:firstLine="480"/>
      </w:pPr>
      <w:r w:rsidRPr="00AC77DF">
        <w:t>聯合國</w:t>
      </w:r>
      <w:r w:rsidRPr="00AC77DF">
        <w:t>2014</w:t>
      </w:r>
      <w:r w:rsidRPr="00AC77DF">
        <w:t>年又發布第</w:t>
      </w:r>
      <w:r w:rsidRPr="00AC77DF">
        <w:t>35</w:t>
      </w:r>
      <w:r w:rsidRPr="00AC77DF">
        <w:t>號一般性意見，並指出，剝奪自由涉及對活動的更嚴格限制，將其限制在一個更狹窄的空間內。剝奪自由的例子包括員警拘留、還押拘禁、判罪後監禁、軟禁、行政拘禁、非自願住院、兒童機構監管和在機場的某個禁區內監禁以及非自願轉移。在服兵役期間，相當於剝奪平民自由的限制，亦應注意是否有過當而損及自由權情事。</w:t>
      </w:r>
    </w:p>
    <w:p w:rsidR="003807A5" w:rsidRPr="00AC77DF" w:rsidRDefault="003807A5" w:rsidP="00274413">
      <w:pPr>
        <w:pStyle w:val="1---"/>
        <w:ind w:firstLine="480"/>
      </w:pPr>
      <w:r w:rsidRPr="00AC77DF">
        <w:t>在人民選擇工作之自主性上，經濟社會文化權利國際公約保障的工作權，包含不被不合理的剝奪工作，以透過個人有選擇工作的自由而體現尊重個人及其尊嚴，同時強調了工作對於個人發展以及對於社會和經濟融合的重要性。該公約第</w:t>
      </w:r>
      <w:r w:rsidRPr="00AC77DF">
        <w:t>7</w:t>
      </w:r>
      <w:r w:rsidRPr="00AC77DF">
        <w:t>條確認人人有權享受公平與良好之工作條件，尤其有權享有安全的工作條件。國際勞工組織關於就業政策的第</w:t>
      </w:r>
      <w:r w:rsidRPr="00AC77DF">
        <w:t>122</w:t>
      </w:r>
      <w:r w:rsidRPr="00AC77DF">
        <w:t>號公約（</w:t>
      </w:r>
      <w:r w:rsidRPr="00AC77DF">
        <w:t>1964</w:t>
      </w:r>
      <w:r w:rsidRPr="00AC77DF">
        <w:t>年）亦提到「充分、生產性和自由選擇的就業</w:t>
      </w:r>
      <w:r w:rsidRPr="0010736E">
        <w:rPr>
          <w:spacing w:val="-30"/>
        </w:rPr>
        <w:t>」</w:t>
      </w:r>
      <w:r w:rsidRPr="00AC77DF">
        <w:t>，將締約國為充分就業創造條件的義務與確保沒有強迫勞動的義務聯繫在一起。</w:t>
      </w:r>
    </w:p>
    <w:p w:rsidR="003807A5" w:rsidRPr="00AC77DF" w:rsidRDefault="003807A5" w:rsidP="00274413">
      <w:pPr>
        <w:pStyle w:val="1---"/>
        <w:ind w:firstLine="480"/>
      </w:pPr>
      <w:r w:rsidRPr="00AC77DF">
        <w:t>至於工作權的規範內容，經濟社會文化權利國際公約第</w:t>
      </w:r>
      <w:r w:rsidRPr="00AC77DF">
        <w:t>18</w:t>
      </w:r>
      <w:r w:rsidRPr="00AC77DF">
        <w:t>號一般性意見指出，工作權是一項屬於每個人的單獨權利，同時也是一項集體權利。經濟社會文化權利國際公約第</w:t>
      </w:r>
      <w:r w:rsidRPr="00AC77DF">
        <w:t>6</w:t>
      </w:r>
      <w:r w:rsidRPr="00AC77DF">
        <w:t>條規定的工作必須是尊嚴勞動。這種工作尊重人的基本人權以及工作者在工作安全和報酬條件方面的權利。它所提供的收入能夠使工作者按照經濟社會文化權利國際公約第</w:t>
      </w:r>
      <w:r w:rsidRPr="00AC77DF">
        <w:t>7</w:t>
      </w:r>
      <w:r w:rsidRPr="00AC77DF">
        <w:t>條所強調，養活自己和家庭。這些基本權利還包括尊重工作者在從事就業時的身體和心理健康。</w:t>
      </w:r>
    </w:p>
    <w:p w:rsidR="003807A5" w:rsidRPr="00AC77DF" w:rsidRDefault="003807A5" w:rsidP="00274413">
      <w:pPr>
        <w:pStyle w:val="1---"/>
        <w:ind w:firstLine="480"/>
      </w:pPr>
      <w:r w:rsidRPr="00AC77DF">
        <w:t>我國憲法規定自由權包括人身自由（第</w:t>
      </w:r>
      <w:r w:rsidRPr="00AC77DF">
        <w:t>8</w:t>
      </w:r>
      <w:r w:rsidRPr="00AC77DF">
        <w:t>條</w:t>
      </w:r>
      <w:r w:rsidRPr="0010736E">
        <w:rPr>
          <w:spacing w:val="-30"/>
        </w:rPr>
        <w:t>）</w:t>
      </w:r>
      <w:r w:rsidRPr="00AC77DF">
        <w:t>、表現自由</w:t>
      </w:r>
      <w:r w:rsidRPr="00AC77DF">
        <w:lastRenderedPageBreak/>
        <w:t>（第</w:t>
      </w:r>
      <w:r w:rsidRPr="00AC77DF">
        <w:t>11</w:t>
      </w:r>
      <w:r w:rsidRPr="00AC77DF">
        <w:t>條、第</w:t>
      </w:r>
      <w:r w:rsidRPr="00AC77DF">
        <w:t>14</w:t>
      </w:r>
      <w:r w:rsidRPr="00AC77DF">
        <w:t>條）及宗教自由（第</w:t>
      </w:r>
      <w:r w:rsidRPr="00AC77DF">
        <w:t>13</w:t>
      </w:r>
      <w:r w:rsidRPr="00AC77DF">
        <w:t>條）等；另憲法第</w:t>
      </w:r>
      <w:r w:rsidRPr="00AC77DF">
        <w:t>22</w:t>
      </w:r>
      <w:r w:rsidRPr="00AC77DF">
        <w:t>條規定：「凡人民之其他自由及權利，不妨害社會秩序、公共利益者，均受憲法之保障。」此屬概括性權利保障條款，可作為憲法未列舉之權利保障依據。其他未於憲法列舉之權利，司法院透過大法官解釋，闡釋人民所享有的自由權，包括隱私權</w:t>
      </w:r>
      <w:r w:rsidRPr="00AC77DF">
        <w:rPr>
          <w:rStyle w:val="aff2"/>
        </w:rPr>
        <w:footnoteReference w:id="7"/>
      </w:r>
      <w:r w:rsidRPr="00AC77DF">
        <w:t>、姓名權</w:t>
      </w:r>
      <w:r w:rsidRPr="00AC77DF">
        <w:rPr>
          <w:rStyle w:val="aff2"/>
        </w:rPr>
        <w:footnoteReference w:id="8"/>
      </w:r>
      <w:r w:rsidRPr="00AC77DF">
        <w:t>、性自主權</w:t>
      </w:r>
      <w:r w:rsidRPr="00AC77DF">
        <w:rPr>
          <w:rStyle w:val="aff2"/>
        </w:rPr>
        <w:footnoteReference w:id="9"/>
      </w:r>
      <w:r w:rsidRPr="00AC77DF">
        <w:t>、人格權</w:t>
      </w:r>
      <w:r w:rsidRPr="00AC77DF">
        <w:rPr>
          <w:rStyle w:val="aff2"/>
        </w:rPr>
        <w:footnoteReference w:id="10"/>
      </w:r>
      <w:r w:rsidRPr="00AC77DF">
        <w:t>、家庭權</w:t>
      </w:r>
      <w:r w:rsidRPr="00AC77DF">
        <w:rPr>
          <w:rStyle w:val="aff2"/>
        </w:rPr>
        <w:footnoteReference w:id="11"/>
      </w:r>
      <w:r w:rsidRPr="00AC77DF">
        <w:t>、婚姻自由</w:t>
      </w:r>
      <w:r w:rsidRPr="00AC77DF">
        <w:rPr>
          <w:rStyle w:val="aff2"/>
        </w:rPr>
        <w:footnoteReference w:id="12"/>
      </w:r>
      <w:r w:rsidRPr="00AC77DF">
        <w:t>及契約自由</w:t>
      </w:r>
      <w:r w:rsidRPr="00AC77DF">
        <w:rPr>
          <w:rStyle w:val="aff2"/>
        </w:rPr>
        <w:footnoteReference w:id="13"/>
      </w:r>
      <w:r w:rsidRPr="00AC77DF">
        <w:t>，甚至免於身心傷害之身體權</w:t>
      </w:r>
      <w:r w:rsidRPr="00AC77DF">
        <w:rPr>
          <w:rStyle w:val="aff2"/>
        </w:rPr>
        <w:footnoteReference w:id="14"/>
      </w:r>
      <w:r w:rsidRPr="00AC77DF">
        <w:t>，亦屬一般行為自由之範疇</w:t>
      </w:r>
      <w:r w:rsidRPr="00AC77DF">
        <w:rPr>
          <w:rStyle w:val="aff2"/>
        </w:rPr>
        <w:footnoteReference w:id="15"/>
      </w:r>
      <w:r w:rsidRPr="00AC77DF">
        <w:t>。</w:t>
      </w:r>
      <w:r w:rsidRPr="00AC77DF">
        <w:t>84</w:t>
      </w:r>
      <w:r w:rsidRPr="00AC77DF">
        <w:t>年司法院釋字第</w:t>
      </w:r>
      <w:r w:rsidRPr="00AC77DF">
        <w:t>380</w:t>
      </w:r>
      <w:r w:rsidRPr="00AC77DF">
        <w:t>號解釋提出「制度性保障」一語，強調國家對人身自由等之保障責任。又釋字第</w:t>
      </w:r>
      <w:r w:rsidRPr="00AC77DF">
        <w:t>384</w:t>
      </w:r>
      <w:r w:rsidRPr="00AC77DF">
        <w:t>號解釋進一步指出，憲法第</w:t>
      </w:r>
      <w:r w:rsidRPr="00AC77DF">
        <w:t>8</w:t>
      </w:r>
      <w:r w:rsidRPr="00AC77DF">
        <w:t>條第</w:t>
      </w:r>
      <w:r w:rsidRPr="00AC77DF">
        <w:t>1</w:t>
      </w:r>
      <w:r w:rsidRPr="00AC77DF">
        <w:t>項規定：「人民身體之自由應予保障。除現行犯之逮捕由法律另定外，非經司法或警察機關依法定程序，不得逮捕拘禁。非由法院依法定程序，不得審問處罰。非依法定程序之逮捕、拘禁、審問、處罰，得拒絕之。」其所稱「依法定程序」，係指凡限制人民身體自由之處置，不問其是否屬於刑事被告之身分，除現行犯之逮捕外，均受上開規定之保障。在享有工作自主權之保障上，我國憲法第</w:t>
      </w:r>
      <w:r w:rsidRPr="00AC77DF">
        <w:t>15</w:t>
      </w:r>
      <w:r w:rsidRPr="00AC77DF">
        <w:t>條</w:t>
      </w:r>
      <w:r w:rsidRPr="00AC77DF">
        <w:lastRenderedPageBreak/>
        <w:t>規定「人民之生存、工作權及財產權，應予保障。」第</w:t>
      </w:r>
      <w:r w:rsidRPr="00AC77DF">
        <w:t>152</w:t>
      </w:r>
      <w:r w:rsidRPr="00AC77DF">
        <w:t>條規定：「人民具有工作能力者，國家應予以適當之工作機會。」足見我國憲法對工作權的保障兼具自由權及社會權性質</w:t>
      </w:r>
      <w:r w:rsidRPr="00AC77DF">
        <w:rPr>
          <w:rStyle w:val="aff2"/>
        </w:rPr>
        <w:footnoteReference w:id="16"/>
      </w:r>
      <w:r w:rsidRPr="00AC77DF">
        <w:t>。</w:t>
      </w:r>
    </w:p>
    <w:p w:rsidR="003807A5" w:rsidRDefault="00E34060" w:rsidP="00FC0501">
      <w:pPr>
        <w:pStyle w:val="1---"/>
        <w:ind w:firstLine="480"/>
        <w:rPr>
          <w:lang w:eastAsia="zh-TW"/>
        </w:rPr>
      </w:pPr>
      <w:r>
        <w:rPr>
          <w:rFonts w:hint="eastAsia"/>
        </w:rPr>
        <w:t>綜</w:t>
      </w:r>
      <w:r w:rsidR="003807A5" w:rsidRPr="00AC77DF">
        <w:t>上，我國憲法在自由權保障上，</w:t>
      </w:r>
      <w:r>
        <w:rPr>
          <w:rFonts w:hint="eastAsia"/>
        </w:rPr>
        <w:t>得</w:t>
      </w:r>
      <w:r w:rsidR="003807A5" w:rsidRPr="00AC77DF">
        <w:t>因時因事透過司法院解釋，擴大自由權保障範圍。監察院植基於國際人權觀與國內與人權相關各種法規，適時並由各領域檢視各政府機關是否對人民自由權有所侵害，而提出相關調查報告。本章列舉</w:t>
      </w:r>
      <w:r w:rsidR="00BF60AF">
        <w:rPr>
          <w:rFonts w:hint="eastAsia"/>
          <w:lang w:eastAsia="zh-TW"/>
        </w:rPr>
        <w:t>2017</w:t>
      </w:r>
      <w:r w:rsidR="00BF60AF">
        <w:rPr>
          <w:rFonts w:hint="eastAsia"/>
          <w:lang w:eastAsia="zh-TW"/>
        </w:rPr>
        <w:t>年相關調查表</w:t>
      </w:r>
      <w:r w:rsidR="003807A5" w:rsidRPr="00AC77DF">
        <w:t>，並提出政府機關改善情形，供各界參閱。</w:t>
      </w:r>
    </w:p>
    <w:p w:rsidR="00FC0501" w:rsidRDefault="00FC0501" w:rsidP="005C556A">
      <w:pPr>
        <w:pStyle w:val="1---"/>
        <w:ind w:firstLine="480"/>
        <w:rPr>
          <w:lang w:eastAsia="zh-TW"/>
        </w:rPr>
      </w:pPr>
    </w:p>
    <w:tbl>
      <w:tblPr>
        <w:tblStyle w:val="aff5"/>
        <w:tblW w:w="0" w:type="auto"/>
        <w:tblInd w:w="113"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5835"/>
      </w:tblGrid>
      <w:tr w:rsidR="008105BF" w:rsidRPr="00FC0501" w:rsidTr="00AA673D">
        <w:tc>
          <w:tcPr>
            <w:tcW w:w="5835" w:type="dxa"/>
            <w:shd w:val="clear" w:color="auto" w:fill="D9D9D9" w:themeFill="background1" w:themeFillShade="D9"/>
          </w:tcPr>
          <w:p w:rsidR="008105BF" w:rsidRPr="00DD1C4C" w:rsidRDefault="008105BF" w:rsidP="00AA673D">
            <w:pPr>
              <w:pStyle w:val="11-"/>
              <w:spacing w:before="72" w:after="108"/>
              <w:rPr>
                <w:lang w:eastAsia="zh-TW"/>
                <w14:shadow w14:blurRad="63500" w14:dist="50800" w14:dir="18900000" w14:sx="0" w14:sy="0" w14:kx="0" w14:ky="0" w14:algn="none">
                  <w14:srgbClr w14:val="000000">
                    <w14:alpha w14:val="50000"/>
                  </w14:srgbClr>
                </w14:shadow>
              </w:rPr>
            </w:pPr>
            <w:bookmarkStart w:id="10" w:name="_Toc525913931"/>
            <w:bookmarkStart w:id="11" w:name="_Toc535228306"/>
            <w:bookmarkStart w:id="12" w:name="_Toc4058716"/>
            <w:r w:rsidRPr="00DD1C4C">
              <w:rPr>
                <w:rFonts w:hint="eastAsia"/>
                <w14:shadow w14:blurRad="63500" w14:dist="50800" w14:dir="18900000" w14:sx="0" w14:sy="0" w14:kx="0" w14:ky="0" w14:algn="none">
                  <w14:srgbClr w14:val="000000">
                    <w14:alpha w14:val="50000"/>
                  </w14:srgbClr>
                </w14:shadow>
              </w:rPr>
              <w:t>觸法少年於移送少年法院前之程序保障案</w:t>
            </w:r>
            <w:bookmarkEnd w:id="10"/>
            <w:bookmarkEnd w:id="11"/>
            <w:bookmarkEnd w:id="12"/>
          </w:p>
        </w:tc>
      </w:tr>
    </w:tbl>
    <w:p w:rsidR="008105BF" w:rsidRPr="008105BF" w:rsidRDefault="008105BF" w:rsidP="005C556A">
      <w:pPr>
        <w:pStyle w:val="1---"/>
        <w:ind w:firstLine="480"/>
        <w:rPr>
          <w:lang w:eastAsia="zh-TW"/>
        </w:rPr>
      </w:pPr>
    </w:p>
    <w:tbl>
      <w:tblPr>
        <w:tblW w:w="475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5" w:type="dxa"/>
          <w:right w:w="125" w:type="dxa"/>
        </w:tblCellMar>
        <w:tblLook w:val="04A0" w:firstRow="1" w:lastRow="0" w:firstColumn="1" w:lastColumn="0" w:noHBand="0" w:noVBand="1"/>
      </w:tblPr>
      <w:tblGrid>
        <w:gridCol w:w="6540"/>
      </w:tblGrid>
      <w:tr w:rsidR="003807A5" w:rsidRPr="00AC77DF" w:rsidTr="00871E28">
        <w:tc>
          <w:tcPr>
            <w:tcW w:w="5000" w:type="pct"/>
            <w:shd w:val="clear" w:color="auto" w:fill="auto"/>
          </w:tcPr>
          <w:p w:rsidR="003807A5" w:rsidRPr="00AC77DF" w:rsidRDefault="003807A5" w:rsidP="00871E28">
            <w:pPr>
              <w:pStyle w:val="1---"/>
              <w:ind w:firstLineChars="0" w:firstLine="0"/>
              <w:rPr>
                <w:rFonts w:eastAsia="標楷體"/>
              </w:rPr>
            </w:pPr>
            <w:r w:rsidRPr="00AC77DF">
              <w:rPr>
                <w:rFonts w:eastAsia="標楷體"/>
                <w:b/>
              </w:rPr>
              <w:t>相關國際人權公約：</w:t>
            </w:r>
            <w:r w:rsidRPr="00AC77DF">
              <w:rPr>
                <w:rFonts w:eastAsia="標楷體"/>
              </w:rPr>
              <w:t>公民與政治權利國際公約第</w:t>
            </w:r>
            <w:r w:rsidRPr="00AC77DF">
              <w:rPr>
                <w:rFonts w:eastAsia="標楷體"/>
              </w:rPr>
              <w:t>10</w:t>
            </w:r>
            <w:r w:rsidRPr="00AC77DF">
              <w:rPr>
                <w:rFonts w:eastAsia="標楷體"/>
              </w:rPr>
              <w:t>條、兒童權利公約第</w:t>
            </w:r>
            <w:r w:rsidRPr="00AC77DF">
              <w:rPr>
                <w:rFonts w:eastAsia="標楷體"/>
              </w:rPr>
              <w:t>3</w:t>
            </w:r>
            <w:r w:rsidRPr="00AC77DF">
              <w:rPr>
                <w:rFonts w:eastAsia="標楷體"/>
              </w:rPr>
              <w:t>條、第</w:t>
            </w:r>
            <w:r w:rsidRPr="00AC77DF">
              <w:rPr>
                <w:rFonts w:eastAsia="標楷體"/>
              </w:rPr>
              <w:t>40</w:t>
            </w:r>
            <w:r w:rsidRPr="00AC77DF">
              <w:rPr>
                <w:rFonts w:eastAsia="標楷體"/>
              </w:rPr>
              <w:t>條</w:t>
            </w:r>
          </w:p>
          <w:p w:rsidR="003807A5" w:rsidRPr="00AC77DF" w:rsidRDefault="003807A5" w:rsidP="00871E28">
            <w:pPr>
              <w:pStyle w:val="1---"/>
              <w:ind w:firstLineChars="0" w:firstLine="0"/>
              <w:rPr>
                <w:rFonts w:eastAsia="標楷體"/>
                <w:b/>
              </w:rPr>
            </w:pPr>
            <w:r w:rsidRPr="00AC77DF">
              <w:rPr>
                <w:rFonts w:eastAsia="標楷體"/>
                <w:b/>
              </w:rPr>
              <w:t>公民與政治權利國際公約第</w:t>
            </w:r>
            <w:r w:rsidRPr="00AC77DF">
              <w:rPr>
                <w:rFonts w:eastAsia="標楷體"/>
                <w:b/>
              </w:rPr>
              <w:t>10</w:t>
            </w:r>
            <w:r w:rsidRPr="00AC77DF">
              <w:rPr>
                <w:rFonts w:eastAsia="標楷體"/>
                <w:b/>
              </w:rPr>
              <w:t>條</w:t>
            </w:r>
          </w:p>
          <w:p w:rsidR="003807A5" w:rsidRPr="00AC77DF" w:rsidRDefault="003807A5" w:rsidP="00871E28">
            <w:pPr>
              <w:pStyle w:val="1---"/>
              <w:ind w:left="480" w:hangingChars="200" w:hanging="480"/>
              <w:rPr>
                <w:rFonts w:eastAsia="標楷體"/>
              </w:rPr>
            </w:pPr>
            <w:r w:rsidRPr="00AC77DF">
              <w:rPr>
                <w:rFonts w:eastAsia="標楷體"/>
              </w:rPr>
              <w:t>一、自由被剝奪之人，應受合於人道及尊重其天賦人格尊嚴之處遇。</w:t>
            </w:r>
          </w:p>
          <w:p w:rsidR="00871E28" w:rsidRDefault="003807A5" w:rsidP="00871E28">
            <w:pPr>
              <w:pStyle w:val="1---"/>
              <w:ind w:left="888" w:hangingChars="370" w:hanging="888"/>
              <w:rPr>
                <w:rFonts w:eastAsia="標楷體"/>
                <w:lang w:eastAsia="zh-TW"/>
              </w:rPr>
            </w:pPr>
            <w:r w:rsidRPr="00AC77DF">
              <w:rPr>
                <w:rFonts w:eastAsia="標楷體"/>
              </w:rPr>
              <w:t>二、</w:t>
            </w:r>
            <w:r w:rsidR="00FC0501">
              <w:rPr>
                <w:rFonts w:eastAsia="標楷體" w:hint="eastAsia"/>
                <w:lang w:eastAsia="zh-TW"/>
              </w:rPr>
              <w:t>(</w:t>
            </w:r>
            <w:r w:rsidRPr="00AC77DF">
              <w:rPr>
                <w:rFonts w:eastAsia="標楷體"/>
              </w:rPr>
              <w:t>一</w:t>
            </w:r>
            <w:r w:rsidR="00FC0501">
              <w:rPr>
                <w:rFonts w:eastAsia="標楷體" w:hint="eastAsia"/>
                <w:lang w:eastAsia="zh-TW"/>
              </w:rPr>
              <w:t>)</w:t>
            </w:r>
            <w:r w:rsidRPr="00AC77DF">
              <w:rPr>
                <w:rFonts w:eastAsia="標楷體"/>
              </w:rPr>
              <w:t>除特殊情形外，被告應與判決有罪之人分別羈押，且應另予與其未經判決有罪之身分相稱之處遇；</w:t>
            </w:r>
          </w:p>
          <w:p w:rsidR="003807A5" w:rsidRPr="00871E28" w:rsidRDefault="00FC0501" w:rsidP="00871E28">
            <w:pPr>
              <w:pStyle w:val="1---"/>
              <w:ind w:left="903" w:hangingChars="370" w:hanging="903"/>
              <w:rPr>
                <w:rFonts w:eastAsia="標楷體"/>
                <w:spacing w:val="2"/>
              </w:rPr>
            </w:pPr>
            <w:r w:rsidRPr="00871E28">
              <w:rPr>
                <w:rFonts w:eastAsia="標楷體" w:hint="eastAsia"/>
                <w:spacing w:val="2"/>
                <w:lang w:eastAsia="zh-TW"/>
              </w:rPr>
              <w:t xml:space="preserve">　　</w:t>
            </w:r>
            <w:r w:rsidRPr="00871E28">
              <w:rPr>
                <w:rFonts w:eastAsia="標楷體" w:hint="eastAsia"/>
                <w:spacing w:val="2"/>
                <w:lang w:eastAsia="zh-TW"/>
              </w:rPr>
              <w:t>(</w:t>
            </w:r>
            <w:r w:rsidR="003807A5" w:rsidRPr="00871E28">
              <w:rPr>
                <w:rFonts w:eastAsia="標楷體"/>
                <w:spacing w:val="2"/>
              </w:rPr>
              <w:t>二</w:t>
            </w:r>
            <w:r w:rsidRPr="00871E28">
              <w:rPr>
                <w:rFonts w:eastAsia="標楷體" w:hint="eastAsia"/>
                <w:spacing w:val="2"/>
                <w:lang w:eastAsia="zh-TW"/>
              </w:rPr>
              <w:t>)</w:t>
            </w:r>
            <w:r w:rsidR="003807A5" w:rsidRPr="00871E28">
              <w:rPr>
                <w:rFonts w:eastAsia="標楷體"/>
                <w:spacing w:val="2"/>
              </w:rPr>
              <w:t>少年被告應與成年被告分別羈押、並應儘速即予判決。</w:t>
            </w:r>
          </w:p>
          <w:p w:rsidR="003807A5" w:rsidRPr="00AC77DF" w:rsidRDefault="003807A5" w:rsidP="00871E28">
            <w:pPr>
              <w:pStyle w:val="1---"/>
              <w:ind w:left="480" w:hangingChars="200" w:hanging="480"/>
              <w:rPr>
                <w:rFonts w:eastAsia="標楷體"/>
              </w:rPr>
            </w:pPr>
            <w:r w:rsidRPr="00AC77DF">
              <w:rPr>
                <w:rFonts w:eastAsia="標楷體"/>
              </w:rPr>
              <w:t>三、監獄制度所定監犯之處遇，應以使其悛悔自新，重適社會生活為基本目的。少年犯人應與成年犯人分別拘禁，</w:t>
            </w:r>
            <w:r w:rsidRPr="00AC77DF">
              <w:rPr>
                <w:rFonts w:eastAsia="標楷體"/>
              </w:rPr>
              <w:lastRenderedPageBreak/>
              <w:t>且其處遇應與其年齡及法律身分相稱。</w:t>
            </w:r>
          </w:p>
          <w:p w:rsidR="003807A5" w:rsidRPr="00AC77DF" w:rsidRDefault="003807A5" w:rsidP="00871E28">
            <w:pPr>
              <w:pStyle w:val="1---"/>
              <w:ind w:firstLineChars="0" w:firstLine="0"/>
              <w:rPr>
                <w:rFonts w:eastAsia="標楷體"/>
                <w:b/>
              </w:rPr>
            </w:pPr>
            <w:r w:rsidRPr="00AC77DF">
              <w:rPr>
                <w:rFonts w:eastAsia="標楷體"/>
                <w:b/>
              </w:rPr>
              <w:t>兒童權利公約第</w:t>
            </w:r>
            <w:r w:rsidRPr="00AC77DF">
              <w:rPr>
                <w:rFonts w:eastAsia="標楷體"/>
                <w:b/>
              </w:rPr>
              <w:t>3</w:t>
            </w:r>
            <w:r w:rsidRPr="00AC77DF">
              <w:rPr>
                <w:rFonts w:eastAsia="標楷體"/>
                <w:b/>
              </w:rPr>
              <w:t>條</w:t>
            </w:r>
          </w:p>
          <w:p w:rsidR="003807A5" w:rsidRPr="00AC77DF" w:rsidRDefault="003807A5" w:rsidP="00871E28">
            <w:pPr>
              <w:pStyle w:val="1---"/>
              <w:ind w:left="187" w:hangingChars="78" w:hanging="187"/>
              <w:rPr>
                <w:rFonts w:eastAsia="標楷體"/>
              </w:rPr>
            </w:pPr>
            <w:r w:rsidRPr="00AC77DF">
              <w:rPr>
                <w:rFonts w:eastAsia="標楷體"/>
              </w:rPr>
              <w:t>1.</w:t>
            </w:r>
            <w:r w:rsidRPr="00AC77DF">
              <w:rPr>
                <w:rFonts w:eastAsia="標楷體"/>
              </w:rPr>
              <w:t>所有關係兒童之事務，無論是由公私社會福利機構、法院、</w:t>
            </w:r>
            <w:r w:rsidRPr="00795D1C">
              <w:rPr>
                <w:rFonts w:eastAsia="標楷體"/>
                <w:spacing w:val="-2"/>
              </w:rPr>
              <w:t>行政機關或立法機關作為，均應以兒童最佳利益為優先考量。</w:t>
            </w:r>
          </w:p>
          <w:p w:rsidR="003807A5" w:rsidRPr="00AC77DF" w:rsidRDefault="003807A5" w:rsidP="00871E28">
            <w:pPr>
              <w:pStyle w:val="1---"/>
              <w:ind w:left="187" w:hangingChars="78" w:hanging="187"/>
              <w:rPr>
                <w:rFonts w:eastAsia="標楷體"/>
              </w:rPr>
            </w:pPr>
            <w:r w:rsidRPr="00AC77DF">
              <w:rPr>
                <w:rFonts w:eastAsia="標楷體"/>
              </w:rPr>
              <w:t>2.</w:t>
            </w:r>
            <w:r w:rsidRPr="00AC77DF">
              <w:rPr>
                <w:rFonts w:eastAsia="標楷體"/>
              </w:rPr>
              <w:t>締約國承諾為確保兒童福祉所必要之保護與照顧，應考量其父母、法定監護人或其他對其負有法律責任者之權利及義務，並採取一切適當之立法及行政措施達成之。</w:t>
            </w:r>
            <w:r w:rsidRPr="00AC77DF">
              <w:rPr>
                <w:rFonts w:eastAsia="標楷體"/>
              </w:rPr>
              <w:t xml:space="preserve"> </w:t>
            </w:r>
          </w:p>
          <w:p w:rsidR="003807A5" w:rsidRPr="00AC77DF" w:rsidRDefault="003807A5" w:rsidP="00871E28">
            <w:pPr>
              <w:pStyle w:val="1---"/>
              <w:ind w:left="187" w:hangingChars="78" w:hanging="187"/>
              <w:rPr>
                <w:rFonts w:eastAsia="標楷體"/>
              </w:rPr>
            </w:pPr>
            <w:r w:rsidRPr="00AC77DF">
              <w:rPr>
                <w:rFonts w:eastAsia="標楷體"/>
              </w:rPr>
              <w:t>3.</w:t>
            </w:r>
            <w:r w:rsidRPr="00AC77DF">
              <w:rPr>
                <w:rFonts w:eastAsia="標楷體"/>
              </w:rPr>
              <w:t>締約國應確保負責照顧與保護兒童之機構、服務與設施符合主管機關所訂之標準，特別在安全、保健、工作人員數量與資格及有效監督等方面。</w:t>
            </w:r>
          </w:p>
          <w:p w:rsidR="003807A5" w:rsidRPr="00AC77DF" w:rsidRDefault="003807A5" w:rsidP="00871E28">
            <w:pPr>
              <w:pStyle w:val="1---"/>
              <w:ind w:firstLineChars="0" w:firstLine="0"/>
              <w:rPr>
                <w:rFonts w:eastAsia="標楷體"/>
                <w:b/>
              </w:rPr>
            </w:pPr>
            <w:r w:rsidRPr="00AC77DF">
              <w:rPr>
                <w:rFonts w:eastAsia="標楷體"/>
                <w:b/>
              </w:rPr>
              <w:t>兒童權利公約第</w:t>
            </w:r>
            <w:r w:rsidRPr="00AC77DF">
              <w:rPr>
                <w:rFonts w:eastAsia="標楷體"/>
                <w:b/>
              </w:rPr>
              <w:t>40</w:t>
            </w:r>
            <w:r w:rsidRPr="00AC77DF">
              <w:rPr>
                <w:rFonts w:eastAsia="標楷體"/>
                <w:b/>
              </w:rPr>
              <w:t>條</w:t>
            </w:r>
            <w:r w:rsidRPr="00AC77DF">
              <w:rPr>
                <w:rFonts w:eastAsia="標楷體"/>
                <w:b/>
              </w:rPr>
              <w:t xml:space="preserve"> </w:t>
            </w:r>
          </w:p>
          <w:p w:rsidR="003807A5" w:rsidRPr="00AC77DF" w:rsidRDefault="003807A5" w:rsidP="00871E28">
            <w:pPr>
              <w:pStyle w:val="1---"/>
              <w:ind w:left="187" w:hangingChars="78" w:hanging="187"/>
              <w:rPr>
                <w:rFonts w:eastAsia="標楷體"/>
              </w:rPr>
            </w:pPr>
            <w:r w:rsidRPr="00AC77DF">
              <w:rPr>
                <w:rFonts w:eastAsia="標楷體"/>
              </w:rPr>
              <w:t>1.</w:t>
            </w:r>
            <w:r w:rsidRPr="00AC77DF">
              <w:rPr>
                <w:rFonts w:eastAsia="標楷體"/>
              </w:rPr>
              <w:t>締約國對被指稱、指控或認為涉嫌觸犯刑事法律之兒童，應確認該等兒童有權獲得符合以下情況之待遇：依兒童之年齡與對其重返社會，並在社會承擔建設性角色之期待下，促進兒童之尊嚴及價值感，以增強其對他人之人權及基本自由之尊重。</w:t>
            </w:r>
            <w:r w:rsidRPr="00AC77DF">
              <w:rPr>
                <w:rFonts w:eastAsia="標楷體"/>
              </w:rPr>
              <w:t xml:space="preserve"> </w:t>
            </w:r>
          </w:p>
          <w:p w:rsidR="003807A5" w:rsidRPr="00AC77DF" w:rsidRDefault="003807A5" w:rsidP="00871E28">
            <w:pPr>
              <w:pStyle w:val="1---"/>
              <w:ind w:left="187" w:hangingChars="78" w:hanging="187"/>
              <w:rPr>
                <w:rFonts w:eastAsia="標楷體"/>
              </w:rPr>
            </w:pPr>
            <w:r w:rsidRPr="00AC77DF">
              <w:rPr>
                <w:rFonts w:eastAsia="標楷體"/>
              </w:rPr>
              <w:t>2.</w:t>
            </w:r>
            <w:r w:rsidRPr="00795D1C">
              <w:rPr>
                <w:rFonts w:eastAsia="標楷體"/>
                <w:spacing w:val="-2"/>
              </w:rPr>
              <w:t>為達此目的，並鑒於國際文件之相關規定，締約國尤應確保：</w:t>
            </w:r>
          </w:p>
          <w:p w:rsidR="003807A5" w:rsidRPr="00AC77DF" w:rsidRDefault="003807A5" w:rsidP="00871E28">
            <w:pPr>
              <w:pStyle w:val="1---"/>
              <w:ind w:leftChars="78" w:left="463" w:hangingChars="115" w:hanging="276"/>
              <w:rPr>
                <w:rFonts w:eastAsia="標楷體"/>
              </w:rPr>
            </w:pPr>
            <w:r w:rsidRPr="00AC77DF">
              <w:rPr>
                <w:rFonts w:eastAsia="標楷體"/>
              </w:rPr>
              <w:t>(a)</w:t>
            </w:r>
            <w:r w:rsidRPr="00AC77DF">
              <w:rPr>
                <w:rFonts w:eastAsia="標楷體"/>
              </w:rPr>
              <w:t>任何兒童，當其作為或不作為未經本國或國際法所禁止時，不得被指稱、指控或認為涉嫌觸犯刑事法律。</w:t>
            </w:r>
            <w:r w:rsidRPr="00AC77DF">
              <w:rPr>
                <w:rFonts w:eastAsia="標楷體"/>
              </w:rPr>
              <w:t xml:space="preserve"> </w:t>
            </w:r>
          </w:p>
          <w:p w:rsidR="003807A5" w:rsidRPr="00AC77DF" w:rsidRDefault="003807A5" w:rsidP="00871E28">
            <w:pPr>
              <w:pStyle w:val="1---"/>
              <w:ind w:leftChars="78" w:left="463" w:hangingChars="115" w:hanging="276"/>
              <w:rPr>
                <w:rFonts w:eastAsia="標楷體"/>
              </w:rPr>
            </w:pPr>
            <w:r w:rsidRPr="00AC77DF">
              <w:rPr>
                <w:rFonts w:eastAsia="標楷體"/>
              </w:rPr>
              <w:t>(b)</w:t>
            </w:r>
            <w:r w:rsidRPr="00AC77DF">
              <w:rPr>
                <w:rFonts w:eastAsia="標楷體"/>
              </w:rPr>
              <w:t>針對被指稱或指控觸犯刑事法律之兒童，至少應獲得下列保證：</w:t>
            </w:r>
            <w:r w:rsidRPr="00AC77DF">
              <w:rPr>
                <w:rFonts w:eastAsia="標楷體"/>
              </w:rPr>
              <w:t xml:space="preserve"> </w:t>
            </w:r>
          </w:p>
          <w:p w:rsidR="00795D1C" w:rsidRDefault="00795D1C" w:rsidP="00871E28">
            <w:pPr>
              <w:pStyle w:val="1---"/>
              <w:ind w:leftChars="200" w:left="763" w:hangingChars="118" w:hanging="283"/>
              <w:rPr>
                <w:rFonts w:eastAsia="標楷體"/>
                <w:lang w:eastAsia="zh-TW"/>
              </w:rPr>
            </w:pPr>
            <w:r>
              <w:rPr>
                <w:rFonts w:eastAsia="標楷體" w:hint="eastAsia"/>
                <w:lang w:eastAsia="zh-TW"/>
              </w:rPr>
              <w:t>(</w:t>
            </w:r>
            <w:r w:rsidR="00527C54">
              <w:rPr>
                <w:rFonts w:eastAsia="標楷體"/>
              </w:rPr>
              <w:t>1</w:t>
            </w:r>
            <w:r>
              <w:rPr>
                <w:rFonts w:eastAsia="標楷體" w:hint="eastAsia"/>
                <w:lang w:eastAsia="zh-TW"/>
              </w:rPr>
              <w:t>)</w:t>
            </w:r>
            <w:r w:rsidR="003807A5" w:rsidRPr="00AC77DF">
              <w:rPr>
                <w:rFonts w:eastAsia="標楷體"/>
              </w:rPr>
              <w:t>在依法判定有罪前，應推定為無罪；</w:t>
            </w:r>
            <w:r w:rsidR="003807A5" w:rsidRPr="00AC77DF">
              <w:rPr>
                <w:rFonts w:eastAsia="標楷體"/>
              </w:rPr>
              <w:t xml:space="preserve"> </w:t>
            </w:r>
          </w:p>
          <w:p w:rsidR="00795D1C" w:rsidRDefault="00795D1C" w:rsidP="00871E28">
            <w:pPr>
              <w:pStyle w:val="1---"/>
              <w:ind w:leftChars="200" w:left="763" w:hangingChars="118" w:hanging="283"/>
              <w:rPr>
                <w:rFonts w:eastAsia="標楷體"/>
                <w:lang w:eastAsia="zh-TW"/>
              </w:rPr>
            </w:pPr>
            <w:r>
              <w:rPr>
                <w:rFonts w:eastAsia="標楷體" w:hint="eastAsia"/>
                <w:lang w:eastAsia="zh-TW"/>
              </w:rPr>
              <w:t>(</w:t>
            </w:r>
            <w:r w:rsidR="00527C54">
              <w:rPr>
                <w:rFonts w:eastAsia="標楷體"/>
              </w:rPr>
              <w:t>2</w:t>
            </w:r>
            <w:r>
              <w:rPr>
                <w:rFonts w:eastAsia="標楷體" w:hint="eastAsia"/>
                <w:lang w:eastAsia="zh-TW"/>
              </w:rPr>
              <w:t>)</w:t>
            </w:r>
            <w:r w:rsidR="003807A5" w:rsidRPr="00AC77DF">
              <w:rPr>
                <w:rFonts w:eastAsia="標楷體"/>
              </w:rPr>
              <w:t>對其被控訴之罪名能夠迅速且直接地被告知，適當情</w:t>
            </w:r>
            <w:r w:rsidR="003807A5" w:rsidRPr="00AC77DF">
              <w:rPr>
                <w:rFonts w:eastAsia="標楷體"/>
              </w:rPr>
              <w:lastRenderedPageBreak/>
              <w:t>況下經由父母或法定監護人告知本人，於準備與提出答辯時並獲得法律或其他適當之協助；</w:t>
            </w:r>
            <w:r w:rsidR="003807A5" w:rsidRPr="00AC77DF">
              <w:rPr>
                <w:rFonts w:eastAsia="標楷體"/>
              </w:rPr>
              <w:t xml:space="preserve"> </w:t>
            </w:r>
          </w:p>
          <w:p w:rsidR="003807A5" w:rsidRPr="00AC77DF" w:rsidRDefault="00795D1C" w:rsidP="00871E28">
            <w:pPr>
              <w:pStyle w:val="1---"/>
              <w:ind w:leftChars="200" w:left="763" w:hangingChars="118" w:hanging="283"/>
              <w:rPr>
                <w:rFonts w:eastAsia="標楷體"/>
              </w:rPr>
            </w:pPr>
            <w:r>
              <w:rPr>
                <w:rFonts w:eastAsia="標楷體" w:hint="eastAsia"/>
                <w:lang w:eastAsia="zh-TW"/>
              </w:rPr>
              <w:t>(</w:t>
            </w:r>
            <w:r w:rsidR="00527C54">
              <w:rPr>
                <w:rFonts w:eastAsia="標楷體"/>
              </w:rPr>
              <w:t>3</w:t>
            </w:r>
            <w:r>
              <w:rPr>
                <w:rFonts w:eastAsia="標楷體" w:hint="eastAsia"/>
                <w:lang w:eastAsia="zh-TW"/>
              </w:rPr>
              <w:t>)</w:t>
            </w:r>
            <w:r w:rsidR="003807A5" w:rsidRPr="00AC77DF">
              <w:rPr>
                <w:rFonts w:eastAsia="標楷體"/>
              </w:rPr>
              <w:t>要求有權、獨立且公正之機關或司法機構迅速依法公正審理，兒童並應獲得法律或其他適當之協助，且其父母或法定監護人亦應在場，惟經特別考量兒童之年齡或狀況認為其父母或法定監護人在場不符合兒童最佳利益者除外；</w:t>
            </w:r>
            <w:r w:rsidR="003807A5" w:rsidRPr="00AC77DF">
              <w:rPr>
                <w:rFonts w:eastAsia="標楷體"/>
              </w:rPr>
              <w:t xml:space="preserve"> </w:t>
            </w:r>
          </w:p>
          <w:p w:rsidR="003807A5" w:rsidRPr="00AC77DF" w:rsidRDefault="00795D1C" w:rsidP="00871E28">
            <w:pPr>
              <w:pStyle w:val="1---"/>
              <w:ind w:leftChars="200" w:left="763" w:hangingChars="118" w:hanging="283"/>
              <w:rPr>
                <w:rFonts w:eastAsia="標楷體"/>
              </w:rPr>
            </w:pPr>
            <w:r>
              <w:rPr>
                <w:rFonts w:eastAsia="標楷體" w:hint="eastAsia"/>
                <w:lang w:eastAsia="zh-TW"/>
              </w:rPr>
              <w:t>(</w:t>
            </w:r>
            <w:r w:rsidR="00527C54">
              <w:rPr>
                <w:rFonts w:eastAsia="標楷體"/>
              </w:rPr>
              <w:t>4</w:t>
            </w:r>
            <w:r>
              <w:rPr>
                <w:rFonts w:eastAsia="標楷體" w:hint="eastAsia"/>
                <w:lang w:eastAsia="zh-TW"/>
              </w:rPr>
              <w:t>)</w:t>
            </w:r>
            <w:r w:rsidR="003807A5" w:rsidRPr="00AC77DF">
              <w:rPr>
                <w:rFonts w:eastAsia="標楷體"/>
              </w:rPr>
              <w:t>不得被迫作證或認罪；可詰問或間接詰問對自身不利之證人，並且在平等之條件下，要求對自己有利的證人出庭並接受詰問；</w:t>
            </w:r>
            <w:r w:rsidR="003807A5" w:rsidRPr="00AC77DF">
              <w:rPr>
                <w:rFonts w:eastAsia="標楷體"/>
              </w:rPr>
              <w:t xml:space="preserve"> </w:t>
            </w:r>
          </w:p>
          <w:p w:rsidR="003807A5" w:rsidRPr="00AC77DF" w:rsidRDefault="00795D1C" w:rsidP="00871E28">
            <w:pPr>
              <w:pStyle w:val="1---"/>
              <w:ind w:leftChars="200" w:left="763" w:hangingChars="118" w:hanging="283"/>
              <w:rPr>
                <w:rFonts w:eastAsia="標楷體"/>
              </w:rPr>
            </w:pPr>
            <w:r>
              <w:rPr>
                <w:rFonts w:eastAsia="標楷體" w:hint="eastAsia"/>
                <w:lang w:eastAsia="zh-TW"/>
              </w:rPr>
              <w:t>(</w:t>
            </w:r>
            <w:r w:rsidR="00527C54">
              <w:rPr>
                <w:rFonts w:eastAsia="標楷體"/>
              </w:rPr>
              <w:t>5</w:t>
            </w:r>
            <w:r>
              <w:rPr>
                <w:rFonts w:eastAsia="標楷體" w:hint="eastAsia"/>
                <w:lang w:eastAsia="zh-TW"/>
              </w:rPr>
              <w:t>)</w:t>
            </w:r>
            <w:r w:rsidR="003807A5" w:rsidRPr="00AC77DF">
              <w:rPr>
                <w:rFonts w:eastAsia="標楷體"/>
              </w:rPr>
              <w:t>若經認定觸犯刑事法律，對該認定及因此所衍生之處置，有權要求較高層級之權責、獨立、公正機關或司法機關依法再為審查；</w:t>
            </w:r>
            <w:r w:rsidR="003807A5" w:rsidRPr="00AC77DF">
              <w:rPr>
                <w:rFonts w:eastAsia="標楷體"/>
              </w:rPr>
              <w:t xml:space="preserve"> </w:t>
            </w:r>
          </w:p>
          <w:p w:rsidR="003807A5" w:rsidRPr="00AC77DF" w:rsidRDefault="00795D1C" w:rsidP="00871E28">
            <w:pPr>
              <w:pStyle w:val="1---"/>
              <w:ind w:leftChars="200" w:left="763" w:hangingChars="118" w:hanging="283"/>
              <w:rPr>
                <w:rFonts w:eastAsia="標楷體"/>
              </w:rPr>
            </w:pPr>
            <w:r>
              <w:rPr>
                <w:rFonts w:eastAsia="標楷體" w:hint="eastAsia"/>
                <w:lang w:eastAsia="zh-TW"/>
              </w:rPr>
              <w:t>(</w:t>
            </w:r>
            <w:r w:rsidR="00527C54">
              <w:rPr>
                <w:rFonts w:eastAsia="標楷體"/>
              </w:rPr>
              <w:t>6</w:t>
            </w:r>
            <w:r>
              <w:rPr>
                <w:rFonts w:eastAsia="標楷體" w:hint="eastAsia"/>
                <w:lang w:eastAsia="zh-TW"/>
              </w:rPr>
              <w:t>)</w:t>
            </w:r>
            <w:r w:rsidR="003807A5" w:rsidRPr="00795D1C">
              <w:rPr>
                <w:rFonts w:eastAsia="標楷體"/>
                <w:spacing w:val="-4"/>
              </w:rPr>
              <w:t>若使用兒童不瞭解或不會說之語言，應提供免費之通譯；</w:t>
            </w:r>
          </w:p>
          <w:p w:rsidR="003807A5" w:rsidRPr="00AC77DF" w:rsidRDefault="00795D1C" w:rsidP="00871E28">
            <w:pPr>
              <w:pStyle w:val="1---"/>
              <w:ind w:leftChars="200" w:left="763" w:hangingChars="118" w:hanging="283"/>
              <w:rPr>
                <w:rFonts w:eastAsia="標楷體"/>
              </w:rPr>
            </w:pPr>
            <w:r>
              <w:rPr>
                <w:rFonts w:eastAsia="標楷體" w:hint="eastAsia"/>
                <w:lang w:eastAsia="zh-TW"/>
              </w:rPr>
              <w:t>(</w:t>
            </w:r>
            <w:r w:rsidR="00527C54">
              <w:rPr>
                <w:rFonts w:eastAsia="標楷體"/>
              </w:rPr>
              <w:t>7</w:t>
            </w:r>
            <w:r>
              <w:rPr>
                <w:rFonts w:eastAsia="標楷體" w:hint="eastAsia"/>
                <w:lang w:eastAsia="zh-TW"/>
              </w:rPr>
              <w:t>)</w:t>
            </w:r>
            <w:r w:rsidR="003807A5" w:rsidRPr="00AC77DF">
              <w:rPr>
                <w:rFonts w:eastAsia="標楷體"/>
              </w:rPr>
              <w:t>在前開程序之所有過程中，應充分尊重兒童之隱私。</w:t>
            </w:r>
            <w:r w:rsidR="003807A5" w:rsidRPr="00AC77DF">
              <w:rPr>
                <w:rFonts w:eastAsia="標楷體"/>
              </w:rPr>
              <w:t xml:space="preserve"> </w:t>
            </w:r>
          </w:p>
          <w:p w:rsidR="003807A5" w:rsidRPr="00AC77DF" w:rsidRDefault="003807A5" w:rsidP="00871E28">
            <w:pPr>
              <w:pStyle w:val="1---"/>
              <w:ind w:left="187" w:hangingChars="78" w:hanging="187"/>
              <w:rPr>
                <w:rFonts w:eastAsia="標楷體"/>
              </w:rPr>
            </w:pPr>
            <w:r w:rsidRPr="00AC77DF">
              <w:rPr>
                <w:rFonts w:eastAsia="標楷體"/>
              </w:rPr>
              <w:t>3.</w:t>
            </w:r>
            <w:r w:rsidRPr="00AC77DF">
              <w:rPr>
                <w:rFonts w:eastAsia="標楷體"/>
              </w:rPr>
              <w:t>締約國對於被指稱、指控或確認為觸犯刑事法律之兒童，應特別設置適用之法律、程序、機關與機構，尤應：</w:t>
            </w:r>
            <w:r w:rsidRPr="00AC77DF">
              <w:rPr>
                <w:rFonts w:eastAsia="標楷體"/>
              </w:rPr>
              <w:t xml:space="preserve"> </w:t>
            </w:r>
          </w:p>
          <w:p w:rsidR="003807A5" w:rsidRPr="00AC77DF" w:rsidRDefault="003807A5" w:rsidP="00871E28">
            <w:pPr>
              <w:pStyle w:val="1---"/>
              <w:ind w:leftChars="78" w:left="463" w:hangingChars="115" w:hanging="276"/>
              <w:rPr>
                <w:rFonts w:eastAsia="標楷體"/>
              </w:rPr>
            </w:pPr>
            <w:r w:rsidRPr="00AC77DF">
              <w:rPr>
                <w:rFonts w:eastAsia="標楷體"/>
              </w:rPr>
              <w:t>(a)</w:t>
            </w:r>
            <w:r w:rsidRPr="00AC77DF">
              <w:rPr>
                <w:rFonts w:eastAsia="標楷體"/>
              </w:rPr>
              <w:t>規定無觸犯刑事能力之最低年齡；</w:t>
            </w:r>
            <w:r w:rsidRPr="00AC77DF">
              <w:rPr>
                <w:rFonts w:eastAsia="標楷體"/>
              </w:rPr>
              <w:t xml:space="preserve"> </w:t>
            </w:r>
          </w:p>
          <w:p w:rsidR="003807A5" w:rsidRPr="00AC77DF" w:rsidRDefault="003807A5" w:rsidP="00871E28">
            <w:pPr>
              <w:pStyle w:val="1---"/>
              <w:ind w:leftChars="78" w:left="463" w:hangingChars="115" w:hanging="276"/>
              <w:rPr>
                <w:rFonts w:eastAsia="標楷體"/>
              </w:rPr>
            </w:pPr>
            <w:r w:rsidRPr="00AC77DF">
              <w:rPr>
                <w:rFonts w:eastAsia="標楷體"/>
              </w:rPr>
              <w:t>(b)</w:t>
            </w:r>
            <w:r w:rsidRPr="00AC77DF">
              <w:rPr>
                <w:rFonts w:eastAsia="標楷體"/>
              </w:rPr>
              <w:t>於適當與必要時，制定不對此等兒童訴諸司法程序之措施，惟須充分尊重人權及法律保障。</w:t>
            </w:r>
            <w:r w:rsidRPr="00AC77DF">
              <w:rPr>
                <w:rFonts w:eastAsia="標楷體"/>
              </w:rPr>
              <w:t xml:space="preserve"> </w:t>
            </w:r>
          </w:p>
          <w:p w:rsidR="003807A5" w:rsidRPr="00AC77DF" w:rsidRDefault="003807A5" w:rsidP="00871E28">
            <w:pPr>
              <w:pStyle w:val="1---"/>
              <w:ind w:left="187" w:hangingChars="78" w:hanging="187"/>
            </w:pPr>
            <w:r w:rsidRPr="00AC77DF">
              <w:rPr>
                <w:rFonts w:eastAsia="標楷體"/>
              </w:rPr>
              <w:t>4.</w:t>
            </w:r>
            <w:r w:rsidRPr="00AC77DF">
              <w:rPr>
                <w:rFonts w:eastAsia="標楷體"/>
              </w:rPr>
              <w:t>為確保兒童福祉，並合乎其自身狀況與違法情事，應採行多樣化之處置，例如照顧、輔導或監督裁定、諮商輔導、觀護、寄養照顧、教育或職業培訓方案及其他替代機構照顧之方式。</w:t>
            </w:r>
          </w:p>
        </w:tc>
      </w:tr>
    </w:tbl>
    <w:p w:rsidR="003807A5" w:rsidRPr="00AC77DF" w:rsidRDefault="00D46E31" w:rsidP="0010736E">
      <w:pPr>
        <w:pStyle w:val="afff1"/>
        <w:spacing w:before="360" w:after="360"/>
      </w:pPr>
      <w:bookmarkStart w:id="13" w:name="_Toc525913932"/>
      <w:r w:rsidRPr="00D46E31">
        <w:rPr>
          <w:rFonts w:hint="eastAsia"/>
        </w:rPr>
        <w:lastRenderedPageBreak/>
        <w:t>(一)</w:t>
      </w:r>
      <w:r w:rsidRPr="00AC77DF">
        <w:t>案情簡述</w:t>
      </w:r>
      <w:bookmarkEnd w:id="13"/>
    </w:p>
    <w:p w:rsidR="003807A5" w:rsidRPr="00AC77DF" w:rsidRDefault="003807A5" w:rsidP="00274413">
      <w:pPr>
        <w:pStyle w:val="1---"/>
        <w:ind w:firstLine="480"/>
      </w:pPr>
      <w:r w:rsidRPr="00AC77DF">
        <w:t>實務上各警察機關為偵辦少年與成人共犯之販賣毒品、電信詐騙、暴力幫派等案件，常出於少年法院先議前，持檢察官簽發之拘票進行拘提，拘至地檢署訊問完畢後，再解送少年法庭。因涉及實務運作有無落實少年法制採取去刑事化之立法精神，該作法是否符合國際公約對兒童及少年保護，監察委員認有深入瞭解之必要，而立案調查。</w:t>
      </w:r>
    </w:p>
    <w:p w:rsidR="003807A5" w:rsidRPr="00AC77DF" w:rsidRDefault="00D46E31" w:rsidP="0010736E">
      <w:pPr>
        <w:pStyle w:val="afff1"/>
        <w:spacing w:before="360" w:after="360"/>
      </w:pPr>
      <w:bookmarkStart w:id="14" w:name="_Toc525913933"/>
      <w:r w:rsidRPr="00D46E31">
        <w:rPr>
          <w:rFonts w:hint="eastAsia"/>
        </w:rPr>
        <w:t>(二)</w:t>
      </w:r>
      <w:r w:rsidR="003807A5" w:rsidRPr="00AC77DF">
        <w:t>監察院調查發現與建議</w:t>
      </w:r>
      <w:bookmarkEnd w:id="14"/>
    </w:p>
    <w:p w:rsidR="003807A5" w:rsidRPr="001A2343" w:rsidRDefault="00D46E31" w:rsidP="00D46E31">
      <w:pPr>
        <w:pStyle w:val="1--13"/>
        <w:spacing w:before="180" w:after="180"/>
      </w:pPr>
      <w:r w:rsidRPr="001A2343">
        <w:rPr>
          <w:rFonts w:hint="eastAsia"/>
        </w:rPr>
        <w:t>˙</w:t>
      </w:r>
      <w:r w:rsidR="003807A5" w:rsidRPr="001A2343">
        <w:rPr>
          <w:rFonts w:ascii="華康正顏楷體W5" w:hint="eastAsia"/>
        </w:rPr>
        <w:t>違反司法福利化之保護優先原則</w:t>
      </w:r>
    </w:p>
    <w:p w:rsidR="0010736E" w:rsidRPr="00AC77DF" w:rsidRDefault="003807A5" w:rsidP="00274413">
      <w:pPr>
        <w:pStyle w:val="1---"/>
        <w:ind w:firstLine="480"/>
        <w:rPr>
          <w:lang w:eastAsia="zh-TW"/>
        </w:rPr>
      </w:pPr>
      <w:r w:rsidRPr="00AC77DF">
        <w:t>司法院認為檢警知少年有犯罪嫌疑時，屬於「固有偵查階段」，檢察官得對少年以犯罪嫌疑人身分核發拘票，違反少年事件處理法（簡稱少事法）及兒童權利公約採取司法福利化之保護優先原則。司法院應強化所屬各少年法院（庭）法官有關國際公約基本精神之認識，尊重少年具特殊基本權利主體之地位，摒除將少年保護事件逕行套用刑事訴訟法的思維，以落實對少年之保護。</w:t>
      </w:r>
    </w:p>
    <w:p w:rsidR="003807A5" w:rsidRPr="00AC77DF" w:rsidRDefault="00D46E31" w:rsidP="00D46E31">
      <w:pPr>
        <w:pStyle w:val="1--13"/>
        <w:spacing w:before="180" w:after="180"/>
      </w:pPr>
      <w:r w:rsidRPr="008E1832">
        <w:rPr>
          <w:rFonts w:hint="eastAsia"/>
        </w:rPr>
        <w:t>˙</w:t>
      </w:r>
      <w:r w:rsidR="003807A5" w:rsidRPr="00AC77DF">
        <w:t>未採取去刑事化之措施</w:t>
      </w:r>
    </w:p>
    <w:p w:rsidR="003807A5" w:rsidRPr="00AC77DF" w:rsidRDefault="003807A5" w:rsidP="00274413">
      <w:pPr>
        <w:pStyle w:val="1---"/>
        <w:ind w:firstLine="480"/>
      </w:pPr>
      <w:r w:rsidRPr="00AC77DF">
        <w:t>少事法雖明定少年法院對少年事件有先議權，但因該法欠缺受理移送或報告前之程序規定，司法院</w:t>
      </w:r>
      <w:r w:rsidRPr="00AC77DF">
        <w:t>92</w:t>
      </w:r>
      <w:r w:rsidRPr="00AC77DF">
        <w:t>年</w:t>
      </w:r>
      <w:r w:rsidRPr="00AC77DF">
        <w:t>3</w:t>
      </w:r>
      <w:r w:rsidRPr="00AC77DF">
        <w:t>月</w:t>
      </w:r>
      <w:r w:rsidRPr="00AC77DF">
        <w:t>3</w:t>
      </w:r>
      <w:r w:rsidRPr="00AC77DF">
        <w:t>日第</w:t>
      </w:r>
      <w:r w:rsidRPr="00AC77DF">
        <w:t>1</w:t>
      </w:r>
      <w:r w:rsidRPr="00AC77DF">
        <w:t>期業務研討會結論，拒絕警方對觸法少年聲請同行書，致司法警</w:t>
      </w:r>
      <w:r w:rsidRPr="00AC77DF">
        <w:lastRenderedPageBreak/>
        <w:t>察機關基於實務需要，常將少年事件連同相牽連之成人共犯案件報請檢察官指揮偵辦，由檢察官以嫌疑人身分簽發拘票拘提少年到案，進行偵訊後移送少年法院（庭</w:t>
      </w:r>
      <w:r w:rsidRPr="0010736E">
        <w:rPr>
          <w:spacing w:val="-30"/>
        </w:rPr>
        <w:t>）</w:t>
      </w:r>
      <w:r w:rsidRPr="00AC77DF">
        <w:t>，未採取去刑事化之措施，對少年之保護未周。</w:t>
      </w:r>
    </w:p>
    <w:p w:rsidR="003807A5" w:rsidRPr="00AC77DF" w:rsidRDefault="00D46E31" w:rsidP="00D46E31">
      <w:pPr>
        <w:pStyle w:val="1--13"/>
        <w:spacing w:before="180" w:after="180"/>
      </w:pPr>
      <w:r w:rsidRPr="008E1832">
        <w:rPr>
          <w:rFonts w:hint="eastAsia"/>
        </w:rPr>
        <w:t>˙</w:t>
      </w:r>
      <w:r w:rsidR="00BB0F17">
        <w:rPr>
          <w:rFonts w:hint="eastAsia"/>
        </w:rPr>
        <w:t>未</w:t>
      </w:r>
      <w:r w:rsidR="003807A5" w:rsidRPr="00AC77DF">
        <w:t>研議法院受理移送或報告前的正當法律程序</w:t>
      </w:r>
    </w:p>
    <w:p w:rsidR="003807A5" w:rsidRPr="00AC77DF" w:rsidRDefault="003807A5" w:rsidP="00274413">
      <w:pPr>
        <w:pStyle w:val="1---"/>
        <w:ind w:firstLine="480"/>
      </w:pPr>
      <w:r w:rsidRPr="00AC77DF">
        <w:t>現行少年法制對非屬現行犯之非行少年，在法院依保護事件程序調查審理前之程序規定有缺漏，對於少年之告知事項、隔離訊（詢）問、陪同人員等規定亦有不足，司法院身為主管機關，不宜僅以「檢警在固有偵查階段依刑事訴訟法對少年進行詢問訊問時，需注意法律及公約之規定」為由，希望第一線檢警自行注意保護少年。為避免刑事偵查程序不當介入少年事件，應儘速推動少事法之修正，於修法完成前，該院及法務部宜研議於相關審理規則及注意事項中明定其程序。</w:t>
      </w:r>
    </w:p>
    <w:p w:rsidR="0010736E" w:rsidRPr="00AC77DF" w:rsidRDefault="003807A5" w:rsidP="00274413">
      <w:pPr>
        <w:pStyle w:val="1---"/>
        <w:spacing w:after="180"/>
        <w:ind w:firstLine="480"/>
        <w:rPr>
          <w:lang w:eastAsia="zh-TW"/>
        </w:rPr>
      </w:pPr>
      <w:r w:rsidRPr="00AC77DF">
        <w:t>依據本案調查意見</w:t>
      </w:r>
      <w:r w:rsidRPr="00AC77DF">
        <w:rPr>
          <w:rStyle w:val="aff2"/>
        </w:rPr>
        <w:footnoteReference w:id="17"/>
      </w:r>
      <w:r w:rsidRPr="00AC77DF">
        <w:t>，監察院函請司法院及法務部檢討改進。</w:t>
      </w:r>
    </w:p>
    <w:p w:rsidR="003807A5" w:rsidRPr="00AC77DF" w:rsidRDefault="00D46E31" w:rsidP="001A2343">
      <w:pPr>
        <w:pStyle w:val="afff1"/>
        <w:spacing w:before="360" w:after="360"/>
      </w:pPr>
      <w:bookmarkStart w:id="15" w:name="_Toc525913934"/>
      <w:r w:rsidRPr="00D46E31">
        <w:rPr>
          <w:rFonts w:hint="eastAsia"/>
        </w:rPr>
        <w:t>(三)</w:t>
      </w:r>
      <w:r w:rsidR="003807A5" w:rsidRPr="00AC77DF">
        <w:t>政府機關改善情形</w:t>
      </w:r>
      <w:bookmarkEnd w:id="15"/>
    </w:p>
    <w:p w:rsidR="003807A5" w:rsidRPr="00AC77DF" w:rsidRDefault="003807A5" w:rsidP="0010736E">
      <w:pPr>
        <w:pStyle w:val="1---"/>
        <w:ind w:leftChars="100" w:left="600" w:hangingChars="150" w:hanging="360"/>
      </w:pPr>
      <w:r w:rsidRPr="00AC77DF">
        <w:t>1</w:t>
      </w:r>
      <w:r w:rsidRPr="00AC77DF">
        <w:t>、司法院於</w:t>
      </w:r>
      <w:r w:rsidRPr="00AC77DF">
        <w:t>106</w:t>
      </w:r>
      <w:r w:rsidRPr="00AC77DF">
        <w:t>年度院部業務會談中，將少年於移送少年法院前之程序保障列為議題討論，並於</w:t>
      </w:r>
      <w:r w:rsidRPr="00AC77DF">
        <w:t>106</w:t>
      </w:r>
      <w:r w:rsidRPr="00AC77DF">
        <w:t>年</w:t>
      </w:r>
      <w:r w:rsidRPr="00AC77DF">
        <w:t>5</w:t>
      </w:r>
      <w:r w:rsidRPr="00AC77DF">
        <w:t>月</w:t>
      </w:r>
      <w:r w:rsidRPr="00AC77DF">
        <w:t>23</w:t>
      </w:r>
      <w:r w:rsidRPr="00AC77DF">
        <w:t>日函</w:t>
      </w:r>
      <w:r w:rsidRPr="0010736E">
        <w:rPr>
          <w:spacing w:val="2"/>
        </w:rPr>
        <w:t>請法務部、內政部增訂相關規定及加強所屬人員在職訓練。</w:t>
      </w:r>
    </w:p>
    <w:p w:rsidR="003807A5" w:rsidRPr="00AC77DF" w:rsidRDefault="003807A5" w:rsidP="007373B4">
      <w:pPr>
        <w:pStyle w:val="1---"/>
        <w:ind w:leftChars="100" w:left="600" w:hangingChars="150" w:hanging="360"/>
      </w:pPr>
      <w:r w:rsidRPr="00AC77DF">
        <w:lastRenderedPageBreak/>
        <w:t>2</w:t>
      </w:r>
      <w:r w:rsidRPr="00AC77DF">
        <w:t>、司法院</w:t>
      </w:r>
      <w:r w:rsidRPr="00AC77DF">
        <w:t>107</w:t>
      </w:r>
      <w:r w:rsidRPr="00AC77DF">
        <w:t>年</w:t>
      </w:r>
      <w:r w:rsidRPr="00AC77DF">
        <w:t>1</w:t>
      </w:r>
      <w:r w:rsidRPr="00AC77DF">
        <w:t>月</w:t>
      </w:r>
      <w:r w:rsidRPr="00AC77DF">
        <w:t>16</w:t>
      </w:r>
      <w:r w:rsidRPr="00AC77DF">
        <w:t>日院會通過少事法部分條文修正草案，就觸法少年於移送法院前之程序保障，增訂成人陪同在場、兒童及少年心理或其他專業人士、通譯協助等表意權保障規定（修正條文第</w:t>
      </w:r>
      <w:r w:rsidRPr="00AC77DF">
        <w:t>3</w:t>
      </w:r>
      <w:r w:rsidRPr="00AC77DF">
        <w:t>條之</w:t>
      </w:r>
      <w:r w:rsidRPr="00AC77DF">
        <w:t>1</w:t>
      </w:r>
      <w:r w:rsidRPr="006808A2">
        <w:rPr>
          <w:spacing w:val="-30"/>
        </w:rPr>
        <w:t>）</w:t>
      </w:r>
      <w:r w:rsidRPr="00AC77DF">
        <w:t>；明定詢（訊）問時應告知事項之內容，強化程序權之保障（修正條文第</w:t>
      </w:r>
      <w:r w:rsidRPr="00AC77DF">
        <w:t>3</w:t>
      </w:r>
      <w:r w:rsidRPr="00AC77DF">
        <w:t>條之</w:t>
      </w:r>
      <w:r w:rsidRPr="00AC77DF">
        <w:t>2</w:t>
      </w:r>
      <w:r w:rsidRPr="006808A2">
        <w:rPr>
          <w:spacing w:val="-30"/>
        </w:rPr>
        <w:t>）</w:t>
      </w:r>
      <w:r w:rsidRPr="00AC77DF">
        <w:t>；為避免少年受不當影響，詢（訊）問、護送及使其等候過程，應使少年與一般刑事案件嫌疑人或被告隔離（修正條文第</w:t>
      </w:r>
      <w:r w:rsidRPr="00AC77DF">
        <w:t>3</w:t>
      </w:r>
      <w:r w:rsidRPr="00AC77DF">
        <w:t>條之</w:t>
      </w:r>
      <w:r w:rsidRPr="00AC77DF">
        <w:t>3</w:t>
      </w:r>
      <w:r w:rsidRPr="00AC77DF">
        <w:t>、第</w:t>
      </w:r>
      <w:r w:rsidRPr="00AC77DF">
        <w:t>72</w:t>
      </w:r>
      <w:r w:rsidRPr="00AC77DF">
        <w:t>條）等。</w:t>
      </w:r>
    </w:p>
    <w:p w:rsidR="003807A5" w:rsidRPr="00AC77DF" w:rsidRDefault="003807A5" w:rsidP="007373B4">
      <w:pPr>
        <w:pStyle w:val="1---"/>
        <w:ind w:leftChars="100" w:left="600" w:hangingChars="150" w:hanging="360"/>
      </w:pPr>
      <w:r w:rsidRPr="00AC77DF">
        <w:t>3</w:t>
      </w:r>
      <w:r w:rsidRPr="00AC77DF">
        <w:t>、法務部考量少事法修法在即，</w:t>
      </w:r>
      <w:r w:rsidR="00E91B27">
        <w:rPr>
          <w:rFonts w:hint="eastAsia"/>
        </w:rPr>
        <w:t>已先</w:t>
      </w:r>
      <w:r w:rsidRPr="00AC77DF">
        <w:t>於</w:t>
      </w:r>
      <w:r w:rsidRPr="00AC77DF">
        <w:t>106</w:t>
      </w:r>
      <w:r w:rsidRPr="00AC77DF">
        <w:t>年</w:t>
      </w:r>
      <w:r w:rsidRPr="00AC77DF">
        <w:t>7</w:t>
      </w:r>
      <w:r w:rsidRPr="00AC77DF">
        <w:t>月</w:t>
      </w:r>
      <w:r w:rsidRPr="00AC77DF">
        <w:t>14</w:t>
      </w:r>
      <w:r w:rsidRPr="00AC77DF">
        <w:t>日函請所屬檢察機關督導所屬檢察官踐行包括通知少年之父母或現在保護少年之人陪同在場、不得強迫少年作證或認罪、必要時應使用通譯、尊重少年隱私及人格尊嚴，儘可能避免拘束少年之身體自由等改善作為。</w:t>
      </w:r>
    </w:p>
    <w:p w:rsidR="003807A5" w:rsidRPr="001A2343" w:rsidRDefault="00D46E31" w:rsidP="001A2343">
      <w:pPr>
        <w:pStyle w:val="afff1"/>
        <w:spacing w:before="360" w:after="360"/>
      </w:pPr>
      <w:bookmarkStart w:id="16" w:name="_Toc525913935"/>
      <w:r w:rsidRPr="00D46E31">
        <w:rPr>
          <w:rFonts w:ascii="Times New Roman" w:hAnsi="Times New Roman" w:cs="Times New Roman"/>
        </w:rPr>
        <w:t>(</w:t>
      </w:r>
      <w:r w:rsidRPr="00D46E31">
        <w:rPr>
          <w:rFonts w:hAnsi="Times New Roman" w:cs="Times New Roman" w:hint="eastAsia"/>
        </w:rPr>
        <w:t>四</w:t>
      </w:r>
      <w:r w:rsidRPr="00D46E31">
        <w:rPr>
          <w:rFonts w:ascii="Times New Roman" w:eastAsia="細明體" w:hAnsi="Times New Roman" w:cs="Times New Roman"/>
        </w:rPr>
        <w:t>)</w:t>
      </w:r>
      <w:r w:rsidR="003807A5" w:rsidRPr="00AC77DF">
        <w:t>案件進展</w:t>
      </w:r>
      <w:bookmarkEnd w:id="16"/>
    </w:p>
    <w:p w:rsidR="003807A5" w:rsidRDefault="003807A5" w:rsidP="00274413">
      <w:pPr>
        <w:pStyle w:val="1---"/>
        <w:ind w:firstLine="480"/>
        <w:rPr>
          <w:lang w:eastAsia="zh-TW"/>
        </w:rPr>
      </w:pPr>
      <w:r w:rsidRPr="00AC77DF">
        <w:t>司法院及法務部已推動修法</w:t>
      </w:r>
      <w:r w:rsidR="00E91B27">
        <w:rPr>
          <w:rFonts w:hint="eastAsia"/>
        </w:rPr>
        <w:t>及</w:t>
      </w:r>
      <w:r w:rsidRPr="00AC77DF">
        <w:t>研議</w:t>
      </w:r>
      <w:r w:rsidR="006F2C12">
        <w:rPr>
          <w:rFonts w:hint="eastAsia"/>
        </w:rPr>
        <w:t>修正</w:t>
      </w:r>
      <w:r w:rsidRPr="00AC77DF">
        <w:t>相關子法，</w:t>
      </w:r>
      <w:r w:rsidR="006F2C12">
        <w:rPr>
          <w:rFonts w:hint="eastAsia"/>
        </w:rPr>
        <w:t>並</w:t>
      </w:r>
      <w:r w:rsidRPr="00AC77DF">
        <w:t>採取改善措施</w:t>
      </w:r>
      <w:r w:rsidR="006F2C12">
        <w:t>。</w:t>
      </w:r>
      <w:r w:rsidR="006F2C12" w:rsidRPr="00AC77DF">
        <w:t>本案</w:t>
      </w:r>
      <w:r w:rsidRPr="00AC77DF">
        <w:t>已結案。</w:t>
      </w:r>
    </w:p>
    <w:p w:rsidR="005600A4" w:rsidRDefault="005600A4" w:rsidP="00CA17A8">
      <w:pPr>
        <w:pStyle w:val="1---"/>
        <w:spacing w:line="420" w:lineRule="exact"/>
        <w:ind w:firstLine="480"/>
        <w:rPr>
          <w:lang w:eastAsia="zh-TW"/>
        </w:rPr>
      </w:pPr>
    </w:p>
    <w:tbl>
      <w:tblPr>
        <w:tblStyle w:val="aff5"/>
        <w:tblW w:w="0" w:type="auto"/>
        <w:tblInd w:w="113"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219"/>
      </w:tblGrid>
      <w:tr w:rsidR="00AB3F51" w:rsidTr="00396E14">
        <w:tc>
          <w:tcPr>
            <w:tcW w:w="4219" w:type="dxa"/>
            <w:shd w:val="clear" w:color="auto" w:fill="D9D9D9" w:themeFill="background1" w:themeFillShade="D9"/>
          </w:tcPr>
          <w:p w:rsidR="00AB3F51" w:rsidRPr="00DD1C4C" w:rsidRDefault="00AB3F51" w:rsidP="00AA673D">
            <w:pPr>
              <w:pStyle w:val="11-"/>
              <w:spacing w:before="72" w:after="108"/>
              <w:rPr>
                <w:lang w:eastAsia="zh-TW"/>
              </w:rPr>
            </w:pPr>
            <w:bookmarkStart w:id="17" w:name="_Toc525913936"/>
            <w:bookmarkStart w:id="18" w:name="_Toc535228307"/>
            <w:bookmarkStart w:id="19" w:name="_Toc4058717"/>
            <w:r w:rsidRPr="00DD1C4C">
              <w:rPr>
                <w:rFonts w:hint="eastAsia"/>
              </w:rPr>
              <w:t>更生人再犯及其就業輔導機制</w:t>
            </w:r>
            <w:bookmarkEnd w:id="17"/>
            <w:bookmarkEnd w:id="18"/>
            <w:bookmarkEnd w:id="19"/>
          </w:p>
        </w:tc>
      </w:tr>
    </w:tbl>
    <w:p w:rsidR="00AB3F51" w:rsidRPr="00AB3F51" w:rsidRDefault="00AB3F51" w:rsidP="00CA17A8">
      <w:pPr>
        <w:pStyle w:val="1---"/>
        <w:spacing w:line="420" w:lineRule="exact"/>
        <w:ind w:firstLine="480"/>
        <w:rPr>
          <w:lang w:eastAsia="zh-T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4"/>
      </w:tblGrid>
      <w:tr w:rsidR="003807A5" w:rsidRPr="00AC77DF" w:rsidTr="006808A2">
        <w:tc>
          <w:tcPr>
            <w:tcW w:w="6544" w:type="dxa"/>
            <w:shd w:val="clear" w:color="auto" w:fill="auto"/>
          </w:tcPr>
          <w:p w:rsidR="003807A5" w:rsidRPr="00AC77DF" w:rsidRDefault="003807A5" w:rsidP="00CA17A8">
            <w:pPr>
              <w:pStyle w:val="1---"/>
              <w:spacing w:afterLines="50" w:after="180"/>
              <w:ind w:firstLineChars="0" w:firstLine="0"/>
              <w:rPr>
                <w:rFonts w:eastAsia="標楷體"/>
                <w:b/>
              </w:rPr>
            </w:pPr>
            <w:r w:rsidRPr="00AC77DF">
              <w:rPr>
                <w:rFonts w:eastAsia="標楷體"/>
                <w:b/>
              </w:rPr>
              <w:t>相關國際人權公約與一般性意見：</w:t>
            </w:r>
            <w:r w:rsidRPr="00AC77DF">
              <w:rPr>
                <w:rFonts w:eastAsia="標楷體"/>
              </w:rPr>
              <w:t>經濟社會文化權利國際公約第</w:t>
            </w:r>
            <w:r w:rsidRPr="00AC77DF">
              <w:rPr>
                <w:rFonts w:eastAsia="標楷體"/>
              </w:rPr>
              <w:t>6</w:t>
            </w:r>
            <w:r w:rsidRPr="00AC77DF">
              <w:rPr>
                <w:rFonts w:eastAsia="標楷體"/>
              </w:rPr>
              <w:t>條、經濟社會文化權利國際公約第</w:t>
            </w:r>
            <w:r w:rsidRPr="00AC77DF">
              <w:rPr>
                <w:rFonts w:eastAsia="標楷體"/>
              </w:rPr>
              <w:t>18</w:t>
            </w:r>
            <w:r w:rsidRPr="00AC77DF">
              <w:rPr>
                <w:rFonts w:eastAsia="標楷體"/>
              </w:rPr>
              <w:t>號一般性意見</w:t>
            </w:r>
          </w:p>
          <w:p w:rsidR="003807A5" w:rsidRPr="00AC77DF" w:rsidRDefault="003807A5" w:rsidP="00AB3F51">
            <w:pPr>
              <w:pStyle w:val="1---"/>
              <w:ind w:firstLineChars="0" w:firstLine="0"/>
              <w:rPr>
                <w:rFonts w:eastAsia="標楷體"/>
                <w:b/>
              </w:rPr>
            </w:pPr>
            <w:r w:rsidRPr="00AC77DF">
              <w:rPr>
                <w:rFonts w:eastAsia="標楷體"/>
                <w:b/>
              </w:rPr>
              <w:lastRenderedPageBreak/>
              <w:t>經濟社會文化權利國際公約第</w:t>
            </w:r>
            <w:r w:rsidRPr="00AC77DF">
              <w:rPr>
                <w:rFonts w:eastAsia="標楷體"/>
                <w:b/>
              </w:rPr>
              <w:t>6</w:t>
            </w:r>
            <w:r w:rsidRPr="00AC77DF">
              <w:rPr>
                <w:rFonts w:eastAsia="標楷體"/>
                <w:b/>
              </w:rPr>
              <w:t>條</w:t>
            </w:r>
          </w:p>
          <w:p w:rsidR="003807A5" w:rsidRPr="00AC77DF" w:rsidRDefault="003807A5" w:rsidP="00B32493">
            <w:pPr>
              <w:pStyle w:val="1---"/>
              <w:spacing w:line="400" w:lineRule="exact"/>
              <w:ind w:left="480" w:hangingChars="200" w:hanging="480"/>
              <w:rPr>
                <w:rFonts w:eastAsia="標楷體"/>
              </w:rPr>
            </w:pPr>
            <w:r w:rsidRPr="00AC77DF">
              <w:rPr>
                <w:rFonts w:eastAsia="標楷體"/>
              </w:rPr>
              <w:t>一、本公約締約國確認人人有工作之權利，包括人人應有機會憑本人自由選擇或接受之工作謀生之權利，並將採取適當步驟保障之。</w:t>
            </w:r>
          </w:p>
          <w:p w:rsidR="003807A5" w:rsidRPr="00AC77DF" w:rsidRDefault="003807A5" w:rsidP="00B32493">
            <w:pPr>
              <w:pStyle w:val="1---"/>
              <w:spacing w:line="400" w:lineRule="exact"/>
              <w:ind w:left="480" w:hangingChars="200" w:hanging="480"/>
              <w:rPr>
                <w:rFonts w:eastAsia="標楷體"/>
                <w:b/>
              </w:rPr>
            </w:pPr>
            <w:r w:rsidRPr="00AC77DF">
              <w:rPr>
                <w:rFonts w:eastAsia="標楷體"/>
              </w:rPr>
              <w:t>二、本公約締約國為求完全實現此種權利而須採取之步驟，應包括技術與職業指導及訓練方案、政策與方法，以便在保障個人基本政治與經濟自由之條件下，造成經濟、社會及文化之穩步發展以及充分之生產性就業。</w:t>
            </w:r>
          </w:p>
        </w:tc>
      </w:tr>
    </w:tbl>
    <w:p w:rsidR="003807A5" w:rsidRPr="00AC77DF" w:rsidRDefault="00E1477D" w:rsidP="001A2343">
      <w:pPr>
        <w:pStyle w:val="afff1"/>
        <w:spacing w:before="360" w:after="360"/>
      </w:pPr>
      <w:bookmarkStart w:id="20" w:name="_Toc525913937"/>
      <w:r w:rsidRPr="00E1477D">
        <w:rPr>
          <w:rFonts w:hint="eastAsia"/>
        </w:rPr>
        <w:lastRenderedPageBreak/>
        <w:t>(一)</w:t>
      </w:r>
      <w:r w:rsidR="003807A5" w:rsidRPr="00AC77DF">
        <w:t>案情簡述</w:t>
      </w:r>
      <w:bookmarkEnd w:id="20"/>
    </w:p>
    <w:p w:rsidR="003807A5" w:rsidRPr="00AC77DF" w:rsidRDefault="003807A5" w:rsidP="00274413">
      <w:pPr>
        <w:pStyle w:val="1---"/>
        <w:ind w:firstLine="480"/>
      </w:pPr>
      <w:r w:rsidRPr="00AC77DF">
        <w:t>更生人重新復歸社會，面對的即是就業問題，如何在最短期間內輔導更生人投入就業市場，避免再犯，是各國政府努力的重要課題之一。更生保護法於</w:t>
      </w:r>
      <w:r w:rsidRPr="00AC77DF">
        <w:t>65</w:t>
      </w:r>
      <w:r w:rsidRPr="00AC77DF">
        <w:t>年制定時，旨在保護出獄人或有再犯之虞者，使其自立更生，適於社會生活，預防再犯，以維社會安寧。次按監獄行刑法第</w:t>
      </w:r>
      <w:r w:rsidRPr="00AC77DF">
        <w:t>1</w:t>
      </w:r>
      <w:r w:rsidRPr="00AC77DF">
        <w:t>條揭示矯正機構的功能之一，就是對受刑人施予教育處遇的措施，使其回到社會後有適應生活的能力及條件。為達此目的，矯正機構對受刑人就業技能訓練為重要的指標之一，監察</w:t>
      </w:r>
      <w:r w:rsidR="006F2C12">
        <w:rPr>
          <w:rFonts w:hint="eastAsia"/>
        </w:rPr>
        <w:t>委員爰</w:t>
      </w:r>
      <w:r w:rsidRPr="00AC77DF">
        <w:t>對此進行專案調查，期能發現影響更生人成功再就業之關鍵因素，以利其重新出發，適應社會生活，進而降低再犯機會。</w:t>
      </w:r>
    </w:p>
    <w:p w:rsidR="00B32493" w:rsidRDefault="00B32493">
      <w:pPr>
        <w:widowControl/>
        <w:snapToGrid/>
        <w:rPr>
          <w:rFonts w:ascii="華康魏碑體" w:eastAsia="華康魏碑體" w:hAnsi="細明體" w:cs="細明體"/>
          <w:kern w:val="0"/>
          <w:sz w:val="34"/>
          <w:szCs w:val="32"/>
        </w:rPr>
      </w:pPr>
      <w:bookmarkStart w:id="21" w:name="_Toc525913938"/>
      <w:r>
        <w:br w:type="page"/>
      </w:r>
    </w:p>
    <w:p w:rsidR="003807A5" w:rsidRPr="00AC77DF" w:rsidRDefault="00E1477D" w:rsidP="001A2343">
      <w:pPr>
        <w:pStyle w:val="afff1"/>
        <w:spacing w:before="360" w:after="360"/>
      </w:pPr>
      <w:r w:rsidRPr="00E1477D">
        <w:rPr>
          <w:rFonts w:hint="eastAsia"/>
        </w:rPr>
        <w:lastRenderedPageBreak/>
        <w:t>(二)</w:t>
      </w:r>
      <w:r w:rsidR="003807A5" w:rsidRPr="00AC77DF">
        <w:t>監察院調查發現與建議</w:t>
      </w:r>
      <w:bookmarkEnd w:id="21"/>
    </w:p>
    <w:p w:rsidR="003807A5" w:rsidRPr="00AC77DF" w:rsidRDefault="00A773D6" w:rsidP="00A773D6">
      <w:pPr>
        <w:pStyle w:val="1--13"/>
        <w:spacing w:before="180" w:after="180"/>
      </w:pPr>
      <w:r w:rsidRPr="008E1832">
        <w:rPr>
          <w:rFonts w:hint="eastAsia"/>
        </w:rPr>
        <w:t>˙</w:t>
      </w:r>
      <w:r w:rsidR="003807A5" w:rsidRPr="00AC77DF">
        <w:t>技能訓練銜接就業</w:t>
      </w:r>
    </w:p>
    <w:p w:rsidR="003807A5" w:rsidRPr="00AC77DF" w:rsidRDefault="003807A5" w:rsidP="00274413">
      <w:pPr>
        <w:pStyle w:val="1---"/>
        <w:ind w:firstLine="480"/>
      </w:pPr>
      <w:r w:rsidRPr="00AC77DF">
        <w:t>相關研究及實務經驗指出，矯正機關所辦理之技能訓練有助於更生人出監所後穩定就業。法務部矯正署宜參酌財團法人臺灣更生保護會（簡稱更保會）輔導人員意見及更生人就業需求，適時檢討技能訓練項目，以銜接收容（受刑）人出監後之就業市場。另監所教誨師人力不足，建議研謀解決，以提升輔導成效。</w:t>
      </w:r>
    </w:p>
    <w:p w:rsidR="003807A5" w:rsidRPr="00AC77DF" w:rsidRDefault="003807A5" w:rsidP="00274413">
      <w:pPr>
        <w:pStyle w:val="1---"/>
        <w:ind w:firstLine="480"/>
      </w:pPr>
      <w:r w:rsidRPr="00AC77DF">
        <w:t>據法務部</w:t>
      </w:r>
      <w:r w:rsidRPr="00AC77DF">
        <w:t>103</w:t>
      </w:r>
      <w:r w:rsidRPr="00AC77DF">
        <w:t>年「更生人就業狀況調查」成果報告書指出，更生人最想接受的就業服務是就業津貼、職業訓練、創業協助（各自均超過</w:t>
      </w:r>
      <w:r w:rsidRPr="00AC77DF">
        <w:t>2</w:t>
      </w:r>
      <w:r w:rsidRPr="00AC77DF">
        <w:t>成以上</w:t>
      </w:r>
      <w:r w:rsidRPr="00AA673D">
        <w:rPr>
          <w:spacing w:val="-30"/>
        </w:rPr>
        <w:t>）</w:t>
      </w:r>
      <w:r w:rsidRPr="00AC77DF">
        <w:t>。惟勞動部所提供各項職業訓練，更生人往往受限於學經歷及工作技能不足而未獲錄取，致實際獲得協助的更生人人數及比例似有偏低。另建議增加個別化的方式提供輔導處遇，協助將不利因素排除，提升其就業率。</w:t>
      </w:r>
    </w:p>
    <w:p w:rsidR="003807A5" w:rsidRPr="00AC77DF" w:rsidRDefault="003807A5" w:rsidP="00AA673D">
      <w:pPr>
        <w:pStyle w:val="1---"/>
        <w:ind w:firstLine="480"/>
      </w:pPr>
      <w:r w:rsidRPr="00AC77DF">
        <w:t>現行對更生人就業限制相關法令眾多，且涉及眾多主管機關。經統計更生人近</w:t>
      </w:r>
      <w:r w:rsidRPr="00AC77DF">
        <w:t>6</w:t>
      </w:r>
      <w:r w:rsidRPr="00AC77DF">
        <w:t>成工作性質以勞力服務或技術人員為主，對應於現行排除更生人從事之職業類別，部分確實增添更生人就業困難度。建議法務部持續蒐集相關意見及統計數據，適時促請相關法令主管機關依據當前之社會狀況，檢討評估相關</w:t>
      </w:r>
      <w:r w:rsidRPr="00AA673D">
        <w:rPr>
          <w:spacing w:val="-2"/>
        </w:rPr>
        <w:t>規範之妥適性，俾與時俱進，兼顧社會安全與人民工作權保障。</w:t>
      </w:r>
    </w:p>
    <w:p w:rsidR="003807A5" w:rsidRPr="00AC77DF" w:rsidRDefault="00A773D6" w:rsidP="00A773D6">
      <w:pPr>
        <w:pStyle w:val="1--13"/>
        <w:spacing w:before="180" w:after="180"/>
      </w:pPr>
      <w:r w:rsidRPr="008E1832">
        <w:rPr>
          <w:rFonts w:hint="eastAsia"/>
        </w:rPr>
        <w:t>˙</w:t>
      </w:r>
      <w:r w:rsidR="003807A5" w:rsidRPr="00AC77DF">
        <w:t>加強跨領域跨機關之合作機制</w:t>
      </w:r>
    </w:p>
    <w:p w:rsidR="003807A5" w:rsidRPr="00AC77DF" w:rsidRDefault="003807A5" w:rsidP="00274413">
      <w:pPr>
        <w:pStyle w:val="1---"/>
        <w:ind w:firstLine="480"/>
      </w:pPr>
      <w:r w:rsidRPr="00AC77DF">
        <w:t>更生人就業輔導事涉法務部、勞動部、</w:t>
      </w:r>
      <w:r w:rsidRPr="0025002C">
        <w:rPr>
          <w:rFonts w:hint="eastAsia"/>
        </w:rPr>
        <w:t>衛生福利部（簡稱</w:t>
      </w:r>
      <w:r w:rsidRPr="0025002C">
        <w:rPr>
          <w:rFonts w:hint="eastAsia"/>
        </w:rPr>
        <w:lastRenderedPageBreak/>
        <w:t>衛福部）</w:t>
      </w:r>
      <w:r w:rsidRPr="00AC77DF">
        <w:t>及</w:t>
      </w:r>
      <w:r>
        <w:rPr>
          <w:rFonts w:hint="eastAsia"/>
        </w:rPr>
        <w:t>內政部</w:t>
      </w:r>
      <w:r w:rsidRPr="00972C84">
        <w:rPr>
          <w:rFonts w:hint="eastAsia"/>
        </w:rPr>
        <w:t>警政署（</w:t>
      </w:r>
      <w:r>
        <w:rPr>
          <w:rFonts w:hint="eastAsia"/>
        </w:rPr>
        <w:t>簡</w:t>
      </w:r>
      <w:r w:rsidRPr="00972C84">
        <w:rPr>
          <w:rFonts w:hint="eastAsia"/>
        </w:rPr>
        <w:t>稱警政署）</w:t>
      </w:r>
      <w:r w:rsidRPr="00AC77DF">
        <w:t>等相關政府機關，除更保會外，基督教更生團契、基督教晨曦會、利伯他茲教育基金會及法律扶助基金會等財團法人，以及中華民國紅心字會、更生少年關懷協會等社團法人亦對更生人提供相關服務。為避免個案重複服務及資源整合，建議加強跨領域跨機關之合作機制，整合更生人就業輔導需求及服務，落實對更生人輔導就業，避免再犯。</w:t>
      </w:r>
      <w:r w:rsidRPr="00AC77DF">
        <w:tab/>
      </w:r>
    </w:p>
    <w:p w:rsidR="003807A5" w:rsidRPr="00AC77DF" w:rsidRDefault="00A773D6" w:rsidP="001A2343">
      <w:pPr>
        <w:pStyle w:val="1--13"/>
        <w:spacing w:before="180" w:after="180"/>
      </w:pPr>
      <w:r w:rsidRPr="008E1832">
        <w:rPr>
          <w:rFonts w:hint="eastAsia"/>
        </w:rPr>
        <w:t>˙</w:t>
      </w:r>
      <w:r w:rsidR="003807A5" w:rsidRPr="00AC77DF">
        <w:t>鼓勵更生人友善廠商</w:t>
      </w:r>
    </w:p>
    <w:p w:rsidR="003807A5" w:rsidRPr="00AC77DF" w:rsidRDefault="003807A5" w:rsidP="00274413">
      <w:pPr>
        <w:pStyle w:val="1---"/>
        <w:ind w:firstLine="480"/>
      </w:pPr>
      <w:r w:rsidRPr="00AC77DF">
        <w:t>日前發生臺灣高鐵公司在招標採購合約中，限制包商員工「不得有前科紀錄」，遭高雄市議員指為係歧視更生人之情事。而現階段政府相關機關對帶頭示範聘僱更生人多採保留態度，究其可行性如何、是否將政府機關納為「更生人友善廠商」等情，建議法務部研議。</w:t>
      </w:r>
    </w:p>
    <w:p w:rsidR="003807A5" w:rsidRPr="00AC77DF" w:rsidRDefault="003807A5" w:rsidP="00274413">
      <w:pPr>
        <w:pStyle w:val="1---"/>
        <w:ind w:firstLine="480"/>
      </w:pPr>
      <w:r w:rsidRPr="00AC77DF">
        <w:t>法務部、更保會宜持續擴大公開表揚友善雇主，鼓勵雇主接納更生人；參酌美國「員工誠實保障保險」制度，評估適用於我國增進雇主聘僱更生人之可行性。另定期舉辦更生保護業務之輔導經驗交流，協助一線執行更生保護輔導人員</w:t>
      </w:r>
      <w:r w:rsidR="006F2C12">
        <w:t>，</w:t>
      </w:r>
      <w:r w:rsidRPr="00AC77DF">
        <w:t>提升專業輔導能力。</w:t>
      </w:r>
    </w:p>
    <w:p w:rsidR="003807A5" w:rsidRPr="00AC77DF" w:rsidRDefault="003807A5" w:rsidP="00274413">
      <w:pPr>
        <w:pStyle w:val="1---"/>
        <w:ind w:firstLine="480"/>
      </w:pPr>
      <w:r w:rsidRPr="00AC77DF">
        <w:t>依據本案研究意見</w:t>
      </w:r>
      <w:r w:rsidRPr="005F1DE2">
        <w:rPr>
          <w:rStyle w:val="aff2"/>
        </w:rPr>
        <w:footnoteReference w:id="18"/>
      </w:r>
      <w:r w:rsidRPr="00AC77DF">
        <w:t>，監察院函請法務部參考研究辦理。</w:t>
      </w:r>
    </w:p>
    <w:p w:rsidR="00B32493" w:rsidRDefault="00B32493">
      <w:pPr>
        <w:widowControl/>
        <w:snapToGrid/>
        <w:rPr>
          <w:rFonts w:ascii="華康魏碑體" w:eastAsia="華康魏碑體" w:hAnsi="細明體" w:cs="細明體"/>
          <w:kern w:val="0"/>
          <w:sz w:val="34"/>
          <w:szCs w:val="32"/>
        </w:rPr>
      </w:pPr>
      <w:bookmarkStart w:id="22" w:name="_Toc525913939"/>
      <w:r>
        <w:br w:type="page"/>
      </w:r>
    </w:p>
    <w:p w:rsidR="003807A5" w:rsidRPr="00AC77DF" w:rsidRDefault="00AA673D" w:rsidP="00AA673D">
      <w:pPr>
        <w:pStyle w:val="afff1"/>
        <w:spacing w:before="360" w:after="360"/>
      </w:pPr>
      <w:r w:rsidRPr="00AA673D">
        <w:rPr>
          <w:rFonts w:hint="eastAsia"/>
        </w:rPr>
        <w:lastRenderedPageBreak/>
        <w:t>(三)</w:t>
      </w:r>
      <w:r w:rsidR="003807A5" w:rsidRPr="00AA673D">
        <w:rPr>
          <w:rFonts w:hint="eastAsia"/>
        </w:rPr>
        <w:t>政</w:t>
      </w:r>
      <w:r w:rsidR="003807A5" w:rsidRPr="00AC77DF">
        <w:t>府機關改善情形</w:t>
      </w:r>
      <w:bookmarkEnd w:id="22"/>
    </w:p>
    <w:p w:rsidR="003807A5" w:rsidRPr="00AC77DF" w:rsidRDefault="003807A5" w:rsidP="00274413">
      <w:pPr>
        <w:pStyle w:val="1---"/>
        <w:ind w:firstLine="480"/>
      </w:pPr>
      <w:r w:rsidRPr="00AC77DF">
        <w:t>法務部針對有關「提升更生人之就業意願」、「建議加強跨領域跨機關之合作機制，整合更生人就業輔導需求及服務」及「有關公開表揚友善雇主及定期舉辦更生保護業務之輔導交流部分」等議題，研提相關具體改善措施。</w:t>
      </w:r>
    </w:p>
    <w:p w:rsidR="003807A5" w:rsidRPr="00AC77DF" w:rsidRDefault="00AA673D" w:rsidP="00AA673D">
      <w:pPr>
        <w:pStyle w:val="afff1"/>
        <w:spacing w:before="360" w:after="360"/>
      </w:pPr>
      <w:bookmarkStart w:id="23" w:name="_Toc525913940"/>
      <w:r w:rsidRPr="00AA673D">
        <w:rPr>
          <w:rFonts w:hint="eastAsia"/>
        </w:rPr>
        <w:t>(四)</w:t>
      </w:r>
      <w:r w:rsidR="003807A5" w:rsidRPr="00AC77DF">
        <w:t>案件進展</w:t>
      </w:r>
      <w:bookmarkEnd w:id="23"/>
    </w:p>
    <w:p w:rsidR="003807A5" w:rsidRDefault="003807A5" w:rsidP="00AA673D">
      <w:pPr>
        <w:pStyle w:val="1---"/>
        <w:ind w:firstLine="480"/>
        <w:rPr>
          <w:lang w:eastAsia="zh-TW"/>
        </w:rPr>
      </w:pPr>
      <w:r w:rsidRPr="00AC77DF">
        <w:t>本案</w:t>
      </w:r>
      <w:r w:rsidR="006F2C12">
        <w:rPr>
          <w:rFonts w:hint="eastAsia"/>
        </w:rPr>
        <w:t>法部已研提各項改善措施</w:t>
      </w:r>
      <w:r w:rsidR="006F2C12">
        <w:t>。</w:t>
      </w:r>
      <w:r w:rsidR="006F2C12">
        <w:rPr>
          <w:rFonts w:hint="eastAsia"/>
        </w:rPr>
        <w:t>本</w:t>
      </w:r>
      <w:r w:rsidRPr="00AC77DF">
        <w:t>案</w:t>
      </w:r>
      <w:r w:rsidR="006F2C12">
        <w:rPr>
          <w:rFonts w:hint="eastAsia"/>
        </w:rPr>
        <w:t>已</w:t>
      </w:r>
      <w:r w:rsidRPr="00AC77DF">
        <w:t>結案。</w:t>
      </w:r>
    </w:p>
    <w:p w:rsidR="00AA673D" w:rsidRDefault="00AA673D" w:rsidP="00AA673D">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3652"/>
      </w:tblGrid>
      <w:tr w:rsidR="00AA673D" w:rsidTr="00AA673D">
        <w:tc>
          <w:tcPr>
            <w:tcW w:w="3652" w:type="dxa"/>
            <w:shd w:val="clear" w:color="auto" w:fill="D9D9D9" w:themeFill="background1" w:themeFillShade="D9"/>
          </w:tcPr>
          <w:p w:rsidR="00AA673D" w:rsidRDefault="00AA673D" w:rsidP="00AA673D">
            <w:pPr>
              <w:pStyle w:val="11-"/>
              <w:spacing w:before="72" w:after="108"/>
              <w:rPr>
                <w:lang w:eastAsia="zh-TW"/>
              </w:rPr>
            </w:pPr>
            <w:bookmarkStart w:id="24" w:name="_Toc525913941"/>
            <w:bookmarkStart w:id="25" w:name="_Toc535228308"/>
            <w:bookmarkStart w:id="26" w:name="_Toc4058718"/>
            <w:r w:rsidRPr="00AC77DF">
              <w:t>國軍軍隊紀律成效之檢討</w:t>
            </w:r>
            <w:bookmarkEnd w:id="24"/>
            <w:bookmarkEnd w:id="25"/>
            <w:bookmarkEnd w:id="26"/>
          </w:p>
        </w:tc>
      </w:tr>
    </w:tbl>
    <w:p w:rsidR="00AA673D" w:rsidRPr="00AA673D" w:rsidRDefault="00AA673D" w:rsidP="00AA673D">
      <w:pPr>
        <w:pStyle w:val="1---"/>
        <w:ind w:firstLine="480"/>
        <w:rPr>
          <w:lang w:eastAsia="zh-TW"/>
        </w:rPr>
      </w:pPr>
    </w:p>
    <w:p w:rsidR="003807A5" w:rsidRPr="00AC77DF" w:rsidRDefault="00AA673D" w:rsidP="00AA673D">
      <w:pPr>
        <w:pStyle w:val="afff1"/>
        <w:spacing w:before="360" w:after="360"/>
      </w:pPr>
      <w:bookmarkStart w:id="27" w:name="_Toc525913942"/>
      <w:r w:rsidRPr="00AA673D">
        <w:rPr>
          <w:rFonts w:hint="eastAsia"/>
        </w:rPr>
        <w:t>(一)</w:t>
      </w:r>
      <w:r w:rsidR="003807A5" w:rsidRPr="00AC77DF">
        <w:t>案情簡述</w:t>
      </w:r>
      <w:bookmarkEnd w:id="27"/>
    </w:p>
    <w:p w:rsidR="003807A5" w:rsidRPr="00AC77DF" w:rsidRDefault="003807A5" w:rsidP="00274413">
      <w:pPr>
        <w:pStyle w:val="1---"/>
        <w:ind w:firstLine="480"/>
      </w:pPr>
      <w:r w:rsidRPr="00AC77DF">
        <w:t>按國軍教戰總則第</w:t>
      </w:r>
      <w:r w:rsidRPr="00AC77DF">
        <w:t>3</w:t>
      </w:r>
      <w:r w:rsidRPr="00AC77DF">
        <w:t>條「嚴肅軍紀」開宗明義揭示：軍紀為軍隊之命脈。然現今社會急遽變遷發展，多元的價值觀及偏差的行為已反映至軍中，加以個人自我意識高漲，致使國軍近年發生多起重大軍紀事件，國防部面對近來重大軍紀事件，雖已提出相關提振軍隊紀律之專案措施，惟其執行情形，監察委員認仍有待進一步檢討具體成效及深入瞭解之必要，而進行通案性調查研究。</w:t>
      </w:r>
    </w:p>
    <w:p w:rsidR="003807A5" w:rsidRPr="00AC77DF" w:rsidRDefault="00645CAD" w:rsidP="001A2343">
      <w:pPr>
        <w:pStyle w:val="afff1"/>
        <w:spacing w:before="360" w:after="360"/>
      </w:pPr>
      <w:bookmarkStart w:id="28" w:name="_Toc525913943"/>
      <w:r>
        <w:rPr>
          <w:rFonts w:hint="eastAsia"/>
        </w:rPr>
        <w:lastRenderedPageBreak/>
        <w:t>(</w:t>
      </w:r>
      <w:r w:rsidR="00AA673D" w:rsidRPr="00AA673D">
        <w:rPr>
          <w:rFonts w:hint="eastAsia"/>
        </w:rPr>
        <w:t>二</w:t>
      </w:r>
      <w:r>
        <w:rPr>
          <w:rFonts w:hint="eastAsia"/>
        </w:rPr>
        <w:t>)</w:t>
      </w:r>
      <w:r w:rsidR="003807A5" w:rsidRPr="00AC77DF">
        <w:t>監察院調查發現與建議</w:t>
      </w:r>
      <w:bookmarkEnd w:id="28"/>
    </w:p>
    <w:p w:rsidR="003807A5" w:rsidRPr="00AC77DF" w:rsidRDefault="00645CAD" w:rsidP="00645CAD">
      <w:pPr>
        <w:pStyle w:val="1--13"/>
        <w:spacing w:before="180" w:after="180"/>
      </w:pPr>
      <w:r w:rsidRPr="008E1832">
        <w:rPr>
          <w:rFonts w:hint="eastAsia"/>
        </w:rPr>
        <w:t>˙</w:t>
      </w:r>
      <w:r w:rsidR="003807A5" w:rsidRPr="00AC77DF">
        <w:t>未澈底檢討問題癥結</w:t>
      </w:r>
    </w:p>
    <w:p w:rsidR="003807A5" w:rsidRPr="00AC77DF" w:rsidRDefault="003807A5" w:rsidP="00274413">
      <w:pPr>
        <w:pStyle w:val="1---"/>
        <w:ind w:firstLine="480"/>
      </w:pPr>
      <w:r w:rsidRPr="00AC77DF">
        <w:t>近年來國防部屢屢研提多項提振軍隊紀律之專案措施，惟未能從制度面、結構性澈底檢討軍紀問題癥結，致改善方案疊床架屋，不僅難以落實於基層，更淪為軍中形式主義、表面文化的現象。</w:t>
      </w:r>
    </w:p>
    <w:p w:rsidR="003807A5" w:rsidRPr="00AC77DF" w:rsidRDefault="003807A5" w:rsidP="00274413">
      <w:pPr>
        <w:pStyle w:val="1---"/>
        <w:ind w:firstLine="480"/>
      </w:pPr>
      <w:r w:rsidRPr="00AC77DF">
        <w:t>102</w:t>
      </w:r>
      <w:r w:rsidRPr="00AC77DF">
        <w:t>年</w:t>
      </w:r>
      <w:r w:rsidRPr="00AC77DF">
        <w:t>8</w:t>
      </w:r>
      <w:r w:rsidRPr="00AC77DF">
        <w:t>月</w:t>
      </w:r>
      <w:r w:rsidRPr="00AC77DF">
        <w:t>13</w:t>
      </w:r>
      <w:r w:rsidRPr="00AC77DF">
        <w:t>日軍事審判法修正後，平時軍人犯罪之審判工作，全面改由司法機關追訴、處罰，至此對我國行之有年軍事審判制度，產生重大變革。政府宜審慎評估軍法改制後對於軍紀維護之影響，據以配套措施，完備軍事審判制度。</w:t>
      </w:r>
    </w:p>
    <w:p w:rsidR="003807A5" w:rsidRPr="00AC77DF" w:rsidRDefault="003807A5" w:rsidP="00274413">
      <w:pPr>
        <w:pStyle w:val="1---"/>
        <w:ind w:firstLine="480"/>
      </w:pPr>
      <w:r w:rsidRPr="00AC77DF">
        <w:t>自</w:t>
      </w:r>
      <w:r w:rsidRPr="00AC77DF">
        <w:t>103</w:t>
      </w:r>
      <w:r w:rsidRPr="00AC77DF">
        <w:t>年</w:t>
      </w:r>
      <w:r w:rsidRPr="00AC77DF">
        <w:t>8</w:t>
      </w:r>
      <w:r w:rsidRPr="00AC77DF">
        <w:t>月監察院針對軍紀案件提出之國防類調查報告中，屬軍紀案件比率高達</w:t>
      </w:r>
      <w:r w:rsidRPr="00AC77DF">
        <w:t>6</w:t>
      </w:r>
      <w:r w:rsidRPr="00AC77DF">
        <w:t>成以上；而通過之國防類糾正案則有</w:t>
      </w:r>
      <w:r w:rsidRPr="00AC77DF">
        <w:t>9</w:t>
      </w:r>
      <w:r w:rsidRPr="00AC77DF">
        <w:t>成以上屬於軍紀案件，</w:t>
      </w:r>
      <w:r w:rsidR="004D0068">
        <w:t>顯示</w:t>
      </w:r>
      <w:r w:rsidRPr="00AC77DF">
        <w:t>當前國軍紀律仍面臨嚴峻挑戰。鑑於軍紀為部隊命脈之所繫，國防部應以務實態度審慎面對並全盤檢討，澈底探究軍紀政策無法內化落實於部隊組織文化與執行之肇因，據以整飭軍紀安全。</w:t>
      </w:r>
    </w:p>
    <w:p w:rsidR="003807A5" w:rsidRPr="00AC77DF" w:rsidRDefault="003807A5" w:rsidP="00274413">
      <w:pPr>
        <w:pStyle w:val="1---"/>
        <w:ind w:firstLine="480"/>
      </w:pPr>
      <w:r w:rsidRPr="00AC77DF">
        <w:t>102</w:t>
      </w:r>
      <w:r w:rsidRPr="00AC77DF">
        <w:t>年</w:t>
      </w:r>
      <w:r w:rsidRPr="00AC77DF">
        <w:t>7</w:t>
      </w:r>
      <w:r w:rsidRPr="00AC77DF">
        <w:t>月間洪下士事件發生之前，禁閉（悔過）室每年收訓違紀士官兵約有</w:t>
      </w:r>
      <w:r w:rsidRPr="00AC77DF">
        <w:t>5</w:t>
      </w:r>
      <w:r w:rsidRPr="00AC77DF">
        <w:t>、</w:t>
      </w:r>
      <w:r w:rsidRPr="00AC77DF">
        <w:t>6</w:t>
      </w:r>
      <w:r w:rsidRPr="00AC77DF">
        <w:t>百餘人，惟該事件發生後，國防部修正禁閉（悔過）處分之執行程序並改善禁閉（悔過）室軟硬體與課程，使得收訓人數大幅減少，每年不及</w:t>
      </w:r>
      <w:r w:rsidRPr="00AC77DF">
        <w:t>100</w:t>
      </w:r>
      <w:r w:rsidRPr="00AC77DF">
        <w:t>人，恐國防部對禁閉（悔過）室矯枉過正，怠於執法，難以維持軍紀。國防部宜進行通盤性、制度性之檢討與調整，以落實部隊管理與紀律。</w:t>
      </w:r>
    </w:p>
    <w:p w:rsidR="003807A5" w:rsidRPr="00AC77DF" w:rsidRDefault="003807A5" w:rsidP="00274413">
      <w:pPr>
        <w:pStyle w:val="1---"/>
        <w:ind w:firstLine="480"/>
      </w:pPr>
      <w:r w:rsidRPr="00AC77DF">
        <w:lastRenderedPageBreak/>
        <w:t>國軍性騷擾案件呈現被害人以女性及士官兵階層為多、加害人以男性及軍官位階為多之現象，</w:t>
      </w:r>
      <w:r w:rsidR="004D0068">
        <w:t>顯示</w:t>
      </w:r>
      <w:r w:rsidRPr="00AC77DF">
        <w:t>國軍性騷擾案件發生於權力不對等的兩方之間。鑑於國軍女性官兵人數逐年增加及國軍封閉場域之特性，國防部應修改相關法規，積極強化國軍人員的性別意識，落實性騷擾防治措施及教育訓練，以保障女性官兵權益。</w:t>
      </w:r>
    </w:p>
    <w:p w:rsidR="003807A5" w:rsidRPr="00AC77DF" w:rsidRDefault="00645CAD" w:rsidP="00645CAD">
      <w:pPr>
        <w:pStyle w:val="1--13"/>
        <w:spacing w:before="180" w:after="180"/>
      </w:pPr>
      <w:r w:rsidRPr="008E1832">
        <w:rPr>
          <w:rFonts w:hint="eastAsia"/>
        </w:rPr>
        <w:t>˙</w:t>
      </w:r>
      <w:r w:rsidR="003807A5" w:rsidRPr="00AC77DF">
        <w:t>人力缺額有待解決</w:t>
      </w:r>
    </w:p>
    <w:p w:rsidR="003807A5" w:rsidRPr="00AC77DF" w:rsidRDefault="003807A5" w:rsidP="00274413">
      <w:pPr>
        <w:pStyle w:val="1---"/>
        <w:ind w:firstLine="480"/>
      </w:pPr>
      <w:r w:rsidRPr="00AC77DF">
        <w:t>國軍基層部隊軍官缺額嚴重，所有管道進用人員均呈現負成長之趨勢；而軍官以專業軍官班及大學儲備軍官訓練團等非正期班方式召募訓練者，亦有專業養成不足之疑慮；國防部應正視國軍基層軍官人力不足對於部隊組成與領導所造成之影響，及早因應國軍結構內短期速成、養成訓練欠缺之軍士官兵衍生之訓練管理及軍紀維護問題。</w:t>
      </w:r>
    </w:p>
    <w:p w:rsidR="003807A5" w:rsidRPr="00AC77DF" w:rsidRDefault="003807A5" w:rsidP="00274413">
      <w:pPr>
        <w:pStyle w:val="1---"/>
        <w:ind w:firstLine="480"/>
      </w:pPr>
      <w:r w:rsidRPr="00AC77DF">
        <w:t>在國軍三級防處體系架構下，對於基層部隊心緒不穩或具自我傷害傾向官兵個案，係仰賴第一線之營、連、排、班級基層領導幹部先期發掘並及時適當處遇，惟心輔訓練流於形式，基層領導幹部又缺額嚴重，以致第一線防處工作無法充分發揮初級發掘預防之功能，亟待國防部正視並檢討補救，以維護國軍心輔工作品質，強化國軍官兵之心理衛生健康，落實國軍領導統御，堅實國軍戰力。</w:t>
      </w:r>
    </w:p>
    <w:p w:rsidR="003807A5" w:rsidRPr="00AC77DF" w:rsidRDefault="00645CAD" w:rsidP="00645CAD">
      <w:pPr>
        <w:pStyle w:val="1--13"/>
        <w:spacing w:before="180" w:after="180"/>
      </w:pPr>
      <w:r w:rsidRPr="008E1832">
        <w:rPr>
          <w:rFonts w:hint="eastAsia"/>
        </w:rPr>
        <w:t>˙</w:t>
      </w:r>
      <w:r w:rsidR="003807A5" w:rsidRPr="00AC77DF">
        <w:t>正視領導統御問題</w:t>
      </w:r>
    </w:p>
    <w:p w:rsidR="003807A5" w:rsidRPr="00AC77DF" w:rsidRDefault="003807A5" w:rsidP="00274413">
      <w:pPr>
        <w:pStyle w:val="1---"/>
        <w:ind w:firstLine="480"/>
      </w:pPr>
      <w:r w:rsidRPr="00AC77DF">
        <w:t>國防部對軍隊紀律統計，多側重國軍人員自身因素所構成違法（紀）行為態樣統計，以致無法窺見基層部隊領導統御現</w:t>
      </w:r>
      <w:r w:rsidRPr="00AC77DF">
        <w:lastRenderedPageBreak/>
        <w:t>狀；再者，軍事審判法修正後，承平時期軍人涉案，移由司法機關依刑事訴訟法追訴，此項制度的改變已使國軍基層幹部「不想管、不願管」，危及部隊之領導統御。國防部對於建構國軍幹部領導統御，實施部隊軍紀管理，應重視並務實瞭解問題所在。</w:t>
      </w:r>
    </w:p>
    <w:p w:rsidR="003807A5" w:rsidRPr="00AC77DF" w:rsidRDefault="003807A5" w:rsidP="00274413">
      <w:pPr>
        <w:pStyle w:val="1---"/>
        <w:ind w:firstLine="480"/>
      </w:pPr>
      <w:r w:rsidRPr="00AC77DF">
        <w:t>102</w:t>
      </w:r>
      <w:r w:rsidRPr="00AC77DF">
        <w:t>年</w:t>
      </w:r>
      <w:r w:rsidRPr="00AC77DF">
        <w:t>8</w:t>
      </w:r>
      <w:r w:rsidRPr="00AC77DF">
        <w:t>月</w:t>
      </w:r>
      <w:r w:rsidRPr="00AC77DF">
        <w:t>13</w:t>
      </w:r>
      <w:r w:rsidRPr="00AC77DF">
        <w:t>日軍事審判法修正後，因軍法官僅於戰時負責軍法案偵審工作，國防部為使軍法官持續累積實務經驗，並考量國防軍事勤務有其特殊性及專業性，於</w:t>
      </w:r>
      <w:r w:rsidRPr="00AC77DF">
        <w:t>106</w:t>
      </w:r>
      <w:r w:rsidRPr="00AC77DF">
        <w:t>年</w:t>
      </w:r>
      <w:r w:rsidRPr="00AC77DF">
        <w:t>5</w:t>
      </w:r>
      <w:r w:rsidRPr="00AC77DF">
        <w:t>月</w:t>
      </w:r>
      <w:r w:rsidRPr="00AC77DF">
        <w:t>26</w:t>
      </w:r>
      <w:r w:rsidRPr="00AC77DF">
        <w:t>日修正法院組織法後，派軍法官赴轄區軍事單位較多之地檢署協助檢察官辦理檢察事務官事務。因此，法務部應遂行借調軍法官之立法目的，國防部亦應隨時關切，使借調之軍法官能充分掌握國軍部隊中有關領導統御之問題及實況，以協助檢察官辦理軍事案件偵查工作。</w:t>
      </w:r>
    </w:p>
    <w:p w:rsidR="003807A5" w:rsidRPr="00AC77DF" w:rsidRDefault="003807A5" w:rsidP="00274413">
      <w:pPr>
        <w:pStyle w:val="1---"/>
        <w:ind w:firstLine="480"/>
      </w:pPr>
      <w:r w:rsidRPr="00AC77DF">
        <w:t>依據本案研究意見</w:t>
      </w:r>
      <w:r w:rsidRPr="00F85A65">
        <w:rPr>
          <w:rStyle w:val="aff2"/>
        </w:rPr>
        <w:footnoteReference w:id="19"/>
      </w:r>
      <w:r w:rsidRPr="00AC77DF">
        <w:t>，監察院函請國防部參考研究辦理。</w:t>
      </w:r>
    </w:p>
    <w:p w:rsidR="003807A5" w:rsidRPr="00AC77DF" w:rsidRDefault="00645CAD" w:rsidP="001A2343">
      <w:pPr>
        <w:pStyle w:val="afff1"/>
        <w:spacing w:before="360" w:after="360"/>
      </w:pPr>
      <w:bookmarkStart w:id="29" w:name="_Toc525913944"/>
      <w:r w:rsidRPr="00645CAD">
        <w:rPr>
          <w:rFonts w:hint="eastAsia"/>
        </w:rPr>
        <w:t>(</w:t>
      </w:r>
      <w:r w:rsidR="00AA673D" w:rsidRPr="00AA673D">
        <w:rPr>
          <w:rFonts w:hint="eastAsia"/>
        </w:rPr>
        <w:t>三</w:t>
      </w:r>
      <w:r w:rsidRPr="00645CAD">
        <w:rPr>
          <w:rFonts w:hint="eastAsia"/>
        </w:rPr>
        <w:t>)</w:t>
      </w:r>
      <w:r w:rsidR="003807A5" w:rsidRPr="00AC77DF">
        <w:t>政府機關改善情形</w:t>
      </w:r>
      <w:bookmarkEnd w:id="29"/>
    </w:p>
    <w:p w:rsidR="003807A5" w:rsidRDefault="003807A5" w:rsidP="00274413">
      <w:pPr>
        <w:pStyle w:val="1---"/>
        <w:ind w:firstLine="480"/>
        <w:rPr>
          <w:lang w:eastAsia="zh-TW"/>
        </w:rPr>
      </w:pPr>
      <w:r w:rsidRPr="00AC77DF">
        <w:t>國防部研提為達嚴肅軍隊紀律，訂有「國軍軍風紀維護實施規定」，配合陸海空軍刑法之增（修）正，以切合時宜，符合基層運作實況，兼顧政策與執行層面，使各級均能遵循，戮力維護軍紀安全工作。</w:t>
      </w:r>
    </w:p>
    <w:p w:rsidR="00AA673D" w:rsidRPr="00AC77DF" w:rsidRDefault="00AA673D" w:rsidP="00274413">
      <w:pPr>
        <w:pStyle w:val="1---"/>
        <w:ind w:firstLine="480"/>
        <w:rPr>
          <w:lang w:eastAsia="zh-TW"/>
        </w:rPr>
      </w:pPr>
    </w:p>
    <w:p w:rsidR="003807A5" w:rsidRPr="00AC77DF" w:rsidRDefault="00645CAD" w:rsidP="001A2343">
      <w:pPr>
        <w:pStyle w:val="afff1"/>
        <w:spacing w:before="360" w:after="360"/>
      </w:pPr>
      <w:bookmarkStart w:id="30" w:name="_Toc525913945"/>
      <w:r w:rsidRPr="00645CAD">
        <w:rPr>
          <w:rFonts w:hint="eastAsia"/>
        </w:rPr>
        <w:lastRenderedPageBreak/>
        <w:t>(</w:t>
      </w:r>
      <w:r w:rsidR="00AA673D" w:rsidRPr="00AA673D">
        <w:rPr>
          <w:rFonts w:hint="eastAsia"/>
        </w:rPr>
        <w:t>四</w:t>
      </w:r>
      <w:r w:rsidRPr="00645CAD">
        <w:rPr>
          <w:rFonts w:hint="eastAsia"/>
        </w:rPr>
        <w:t>)</w:t>
      </w:r>
      <w:r w:rsidR="003807A5" w:rsidRPr="00AC77DF">
        <w:t>案件進展</w:t>
      </w:r>
      <w:bookmarkEnd w:id="30"/>
    </w:p>
    <w:p w:rsidR="003807A5" w:rsidRDefault="003807A5" w:rsidP="00AA673D">
      <w:pPr>
        <w:pStyle w:val="1---"/>
        <w:ind w:firstLine="480"/>
        <w:rPr>
          <w:lang w:eastAsia="zh-TW"/>
        </w:rPr>
      </w:pPr>
      <w:r w:rsidRPr="00AC77DF">
        <w:t>本案經核相關處置已臻完備，全案結案。</w:t>
      </w:r>
    </w:p>
    <w:p w:rsidR="00AA673D" w:rsidRDefault="00AA673D" w:rsidP="00AA673D">
      <w:pPr>
        <w:pStyle w:val="1---"/>
        <w:snapToGrid w:val="0"/>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5098"/>
      </w:tblGrid>
      <w:tr w:rsidR="00AA673D" w:rsidTr="00AA673D">
        <w:tc>
          <w:tcPr>
            <w:tcW w:w="5098" w:type="dxa"/>
            <w:shd w:val="clear" w:color="auto" w:fill="D9D9D9" w:themeFill="background1" w:themeFillShade="D9"/>
          </w:tcPr>
          <w:p w:rsidR="00AA673D" w:rsidRDefault="00AA673D" w:rsidP="00AA673D">
            <w:pPr>
              <w:pStyle w:val="11-"/>
              <w:spacing w:before="72" w:after="108"/>
              <w:rPr>
                <w:lang w:eastAsia="zh-TW"/>
              </w:rPr>
            </w:pPr>
            <w:bookmarkStart w:id="31" w:name="_Toc525913946"/>
            <w:bookmarkStart w:id="32" w:name="_Toc535228309"/>
            <w:bookmarkStart w:id="33" w:name="_Toc4058719"/>
            <w:r w:rsidRPr="00AC77DF">
              <w:t>鹿窟地區共黨基地受難者司法救濟案</w:t>
            </w:r>
            <w:bookmarkEnd w:id="31"/>
            <w:bookmarkEnd w:id="32"/>
            <w:bookmarkEnd w:id="33"/>
          </w:p>
        </w:tc>
      </w:tr>
    </w:tbl>
    <w:p w:rsidR="00AA673D" w:rsidRPr="00AC77DF" w:rsidRDefault="00AA673D" w:rsidP="00AA673D">
      <w:pPr>
        <w:pStyle w:val="1---"/>
        <w:snapToGrid w:val="0"/>
        <w:ind w:firstLine="480"/>
        <w:rPr>
          <w:lang w:eastAsia="zh-T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tblGrid>
      <w:tr w:rsidR="003807A5" w:rsidRPr="00AC77DF" w:rsidTr="00AA673D">
        <w:tc>
          <w:tcPr>
            <w:tcW w:w="6516" w:type="dxa"/>
            <w:shd w:val="clear" w:color="auto" w:fill="auto"/>
          </w:tcPr>
          <w:p w:rsidR="003807A5" w:rsidRPr="00AC77DF" w:rsidRDefault="003807A5" w:rsidP="007D467F">
            <w:pPr>
              <w:spacing w:line="360" w:lineRule="exact"/>
              <w:jc w:val="both"/>
            </w:pPr>
            <w:r w:rsidRPr="00AC77DF">
              <w:rPr>
                <w:b/>
                <w:lang w:eastAsia="zh-HK"/>
              </w:rPr>
              <w:t>相關</w:t>
            </w:r>
            <w:r w:rsidRPr="00AC77DF">
              <w:rPr>
                <w:b/>
              </w:rPr>
              <w:t>國際人權公約與一般性意見：</w:t>
            </w:r>
            <w:r w:rsidRPr="00AC77DF">
              <w:t>公民與政治權利國際公約第</w:t>
            </w:r>
            <w:r w:rsidRPr="00AC77DF">
              <w:t>7</w:t>
            </w:r>
            <w:r w:rsidRPr="00AC77DF">
              <w:t>條、第</w:t>
            </w:r>
            <w:r w:rsidRPr="00AC77DF">
              <w:t>9</w:t>
            </w:r>
            <w:r w:rsidRPr="00AC77DF">
              <w:t>條、第</w:t>
            </w:r>
            <w:r w:rsidRPr="00AC77DF">
              <w:t>10</w:t>
            </w:r>
            <w:r w:rsidRPr="00AC77DF">
              <w:t>條；公民與政治權利國際公約第</w:t>
            </w:r>
            <w:r w:rsidRPr="00AC77DF">
              <w:t>7</w:t>
            </w:r>
            <w:r w:rsidRPr="00AC77DF">
              <w:t>號、第</w:t>
            </w:r>
            <w:r w:rsidRPr="00AC77DF">
              <w:t>9</w:t>
            </w:r>
            <w:r w:rsidRPr="00AC77DF">
              <w:t>號一般性意見</w:t>
            </w:r>
          </w:p>
          <w:p w:rsidR="003807A5" w:rsidRPr="00AC77DF" w:rsidRDefault="003807A5" w:rsidP="007D467F">
            <w:pPr>
              <w:pStyle w:val="1---"/>
              <w:ind w:firstLineChars="0" w:firstLine="0"/>
              <w:rPr>
                <w:rFonts w:eastAsia="標楷體"/>
                <w:b/>
              </w:rPr>
            </w:pPr>
            <w:r w:rsidRPr="00AC77DF">
              <w:rPr>
                <w:rFonts w:eastAsia="標楷體"/>
                <w:b/>
              </w:rPr>
              <w:t>公民與政治權利國際公約第</w:t>
            </w:r>
            <w:r w:rsidRPr="00AC77DF">
              <w:rPr>
                <w:rFonts w:eastAsia="標楷體"/>
                <w:b/>
              </w:rPr>
              <w:t>7</w:t>
            </w:r>
            <w:r w:rsidRPr="00AC77DF">
              <w:rPr>
                <w:rFonts w:eastAsia="標楷體"/>
                <w:b/>
              </w:rPr>
              <w:t>條</w:t>
            </w:r>
          </w:p>
          <w:p w:rsidR="003807A5" w:rsidRPr="00AC77DF" w:rsidRDefault="003807A5" w:rsidP="007D467F">
            <w:pPr>
              <w:pStyle w:val="1---"/>
              <w:ind w:firstLineChars="0" w:firstLine="0"/>
              <w:rPr>
                <w:rFonts w:eastAsia="標楷體"/>
              </w:rPr>
            </w:pPr>
            <w:r w:rsidRPr="00AC77DF">
              <w:rPr>
                <w:rFonts w:eastAsia="標楷體"/>
              </w:rPr>
              <w:t>任何人不得施以酷刑，或予以殘忍、不人道或侮辱之處遇或懲罰。非經本人自願同意，尤不得對任何人作醫學或科學試驗。</w:t>
            </w:r>
          </w:p>
          <w:p w:rsidR="003807A5" w:rsidRPr="00AC77DF" w:rsidRDefault="003807A5" w:rsidP="007D467F">
            <w:pPr>
              <w:pStyle w:val="1---"/>
              <w:ind w:firstLineChars="0" w:firstLine="0"/>
              <w:rPr>
                <w:rFonts w:eastAsia="標楷體"/>
                <w:b/>
              </w:rPr>
            </w:pPr>
            <w:r w:rsidRPr="00AC77DF">
              <w:rPr>
                <w:rFonts w:eastAsia="標楷體"/>
                <w:b/>
              </w:rPr>
              <w:t>公民與政治權利國際公約第</w:t>
            </w:r>
            <w:r w:rsidRPr="00AC77DF">
              <w:rPr>
                <w:rFonts w:eastAsia="標楷體"/>
                <w:b/>
              </w:rPr>
              <w:t>9</w:t>
            </w:r>
            <w:r w:rsidRPr="00AC77DF">
              <w:rPr>
                <w:rFonts w:eastAsia="標楷體"/>
                <w:b/>
              </w:rPr>
              <w:t>條</w:t>
            </w:r>
          </w:p>
          <w:p w:rsidR="003807A5" w:rsidRPr="00AC77DF" w:rsidRDefault="003807A5" w:rsidP="00F631CD">
            <w:pPr>
              <w:pStyle w:val="1---"/>
              <w:ind w:left="480" w:hangingChars="200" w:hanging="480"/>
              <w:rPr>
                <w:rFonts w:eastAsia="標楷體"/>
              </w:rPr>
            </w:pPr>
            <w:r w:rsidRPr="00AC77DF">
              <w:rPr>
                <w:rFonts w:eastAsia="標楷體"/>
              </w:rPr>
              <w:t>一、人人有權享有身體自由及人身安全。任何人不得無理予以逮捕或拘禁。非依法定理由及程序，不得剝奪任何人之自由。</w:t>
            </w:r>
          </w:p>
          <w:p w:rsidR="003807A5" w:rsidRPr="00AC77DF" w:rsidRDefault="003807A5" w:rsidP="00F631CD">
            <w:pPr>
              <w:pStyle w:val="1---"/>
              <w:ind w:left="480" w:hangingChars="200" w:hanging="480"/>
              <w:rPr>
                <w:rFonts w:eastAsia="標楷體"/>
              </w:rPr>
            </w:pPr>
            <w:r w:rsidRPr="00AC77DF">
              <w:rPr>
                <w:rFonts w:eastAsia="標楷體"/>
              </w:rPr>
              <w:t>二、執行逮捕時，應當場向被捕人宣告逮捕原因，並應隨即告知被控案由。</w:t>
            </w:r>
          </w:p>
          <w:p w:rsidR="003807A5" w:rsidRPr="00AC77DF" w:rsidRDefault="003807A5" w:rsidP="009E7A79">
            <w:pPr>
              <w:pStyle w:val="1---"/>
              <w:ind w:left="480" w:hangingChars="200" w:hanging="480"/>
              <w:rPr>
                <w:rFonts w:eastAsia="標楷體"/>
              </w:rPr>
            </w:pPr>
            <w:r w:rsidRPr="00AC77DF">
              <w:rPr>
                <w:rFonts w:eastAsia="標楷體"/>
              </w:rPr>
              <w:t>三、因刑事罪名而被逮捕或拘禁之人，應迅即解送法官或依法執行司法權力之其他官員，並應於合理期間內審訊或釋放。候訊人通常不得加以羈押，但釋放得令具報，於審訊時，於司法程序之任何其他階段、並於一旦執行判決時，候傳到場。</w:t>
            </w:r>
          </w:p>
          <w:p w:rsidR="003807A5" w:rsidRPr="00AC77DF" w:rsidRDefault="003807A5" w:rsidP="00F631CD">
            <w:pPr>
              <w:pStyle w:val="1---"/>
              <w:ind w:left="480" w:hangingChars="200" w:hanging="480"/>
              <w:jc w:val="distribute"/>
              <w:rPr>
                <w:rFonts w:eastAsia="標楷體"/>
              </w:rPr>
            </w:pPr>
            <w:r w:rsidRPr="00AC77DF">
              <w:rPr>
                <w:rFonts w:eastAsia="標楷體"/>
              </w:rPr>
              <w:lastRenderedPageBreak/>
              <w:t>四、任何人因逮捕或拘禁而被奪自由時，有權聲請法院提審</w:t>
            </w:r>
            <w:r w:rsidRPr="00F631CD">
              <w:rPr>
                <w:rFonts w:eastAsia="標楷體"/>
                <w:spacing w:val="-4"/>
              </w:rPr>
              <w:t>，以迅速決定其拘禁是否合法，如屬非法，應即令釋放。</w:t>
            </w:r>
          </w:p>
          <w:p w:rsidR="003807A5" w:rsidRPr="00AC77DF" w:rsidRDefault="003807A5" w:rsidP="007D467F">
            <w:pPr>
              <w:pStyle w:val="1---"/>
              <w:ind w:firstLineChars="0" w:firstLine="0"/>
              <w:rPr>
                <w:rFonts w:eastAsia="標楷體"/>
                <w:b/>
              </w:rPr>
            </w:pPr>
            <w:r w:rsidRPr="00AC77DF">
              <w:rPr>
                <w:rFonts w:eastAsia="標楷體"/>
              </w:rPr>
              <w:t>五、任何人受非法逮捕或拘禁者，有權要求執行損害賠償。</w:t>
            </w:r>
          </w:p>
        </w:tc>
      </w:tr>
    </w:tbl>
    <w:p w:rsidR="0004644E" w:rsidRDefault="0004644E" w:rsidP="0004644E">
      <w:pPr>
        <w:pStyle w:val="1---"/>
        <w:ind w:firstLine="480"/>
      </w:pPr>
      <w:bookmarkStart w:id="34" w:name="_Toc525913947"/>
    </w:p>
    <w:p w:rsidR="003807A5" w:rsidRPr="00AC77DF" w:rsidRDefault="00B93584" w:rsidP="00B93584">
      <w:pPr>
        <w:pStyle w:val="afff1"/>
        <w:spacing w:before="360" w:after="360"/>
      </w:pPr>
      <w:r>
        <w:rPr>
          <w:rFonts w:hint="eastAsia"/>
        </w:rPr>
        <w:t>(一)</w:t>
      </w:r>
      <w:r w:rsidRPr="00AC77DF">
        <w:t>案情簡述</w:t>
      </w:r>
      <w:bookmarkEnd w:id="34"/>
    </w:p>
    <w:p w:rsidR="003807A5" w:rsidRPr="00AC77DF" w:rsidRDefault="003807A5" w:rsidP="00274413">
      <w:pPr>
        <w:pStyle w:val="1---"/>
        <w:ind w:firstLine="480"/>
      </w:pPr>
      <w:r w:rsidRPr="00AC77DF">
        <w:t>據悉，</w:t>
      </w:r>
      <w:r w:rsidRPr="00AC77DF">
        <w:t>1952</w:t>
      </w:r>
      <w:r w:rsidRPr="00AC77DF">
        <w:t>年</w:t>
      </w:r>
      <w:r w:rsidRPr="00AC77DF">
        <w:t>12</w:t>
      </w:r>
      <w:r w:rsidRPr="00AC77DF">
        <w:t>月間臺灣發生「鹿窟事件」致受難者逾</w:t>
      </w:r>
      <w:r w:rsidRPr="00AC77DF">
        <w:t>400</w:t>
      </w:r>
      <w:r w:rsidRPr="00AC77DF">
        <w:t>人，其中約</w:t>
      </w:r>
      <w:r w:rsidRPr="00AC77DF">
        <w:t>200</w:t>
      </w:r>
      <w:r w:rsidRPr="00AC77DF">
        <w:t>多人受審，</w:t>
      </w:r>
      <w:r w:rsidRPr="00AC77DF">
        <w:t>35</w:t>
      </w:r>
      <w:r w:rsidRPr="00AC77DF">
        <w:t>人被判死刑槍決，自首無罪和不起訴者</w:t>
      </w:r>
      <w:r w:rsidRPr="00AC77DF">
        <w:t>12</w:t>
      </w:r>
      <w:r w:rsidRPr="00AC77DF">
        <w:t>人，</w:t>
      </w:r>
      <w:r w:rsidRPr="00AC77DF">
        <w:t>98</w:t>
      </w:r>
      <w:r w:rsidRPr="00AC77DF">
        <w:t>人被判有期徒刑，包括未成年人。究鹿窟山區是否真為「武裝基地」？村民是否遭受不當逮捕、濫刑逼供及不當審判致冤死或冤獄？多少被害人及其家屬迄今未獲平反、賠償或補償？有無提起再審、補償及其他救濟途徑之可能性？監察委員認有深入瞭解之必要，而立案調查。</w:t>
      </w:r>
    </w:p>
    <w:p w:rsidR="003807A5" w:rsidRPr="00AC77DF" w:rsidRDefault="00B93584" w:rsidP="00B93584">
      <w:pPr>
        <w:pStyle w:val="afff1"/>
        <w:spacing w:before="360" w:after="360"/>
      </w:pPr>
      <w:bookmarkStart w:id="35" w:name="_Toc525913948"/>
      <w:r>
        <w:rPr>
          <w:rFonts w:hint="eastAsia"/>
        </w:rPr>
        <w:t>(二)</w:t>
      </w:r>
      <w:r w:rsidR="003807A5" w:rsidRPr="00AC77DF">
        <w:t>監察院調查發現與建議</w:t>
      </w:r>
      <w:bookmarkEnd w:id="35"/>
    </w:p>
    <w:p w:rsidR="003807A5" w:rsidRPr="00AC77DF" w:rsidRDefault="00A773D6" w:rsidP="001A2343">
      <w:pPr>
        <w:pStyle w:val="1--13"/>
        <w:spacing w:before="180" w:after="180"/>
      </w:pPr>
      <w:r w:rsidRPr="008E1832">
        <w:rPr>
          <w:rFonts w:hint="eastAsia"/>
        </w:rPr>
        <w:t>˙</w:t>
      </w:r>
      <w:r w:rsidR="003807A5" w:rsidRPr="00AC77DF">
        <w:t>共黨幹部確曾至鹿窟發展並建立基地</w:t>
      </w:r>
    </w:p>
    <w:p w:rsidR="003807A5" w:rsidRPr="00AC77DF" w:rsidRDefault="003807A5" w:rsidP="00274413">
      <w:pPr>
        <w:pStyle w:val="1---"/>
        <w:ind w:firstLine="480"/>
      </w:pPr>
      <w:r w:rsidRPr="00AC77DF">
        <w:t>中國共產黨於</w:t>
      </w:r>
      <w:r w:rsidRPr="00AC77DF">
        <w:t>35</w:t>
      </w:r>
      <w:r w:rsidRPr="00AC77DF">
        <w:t>年間派</w:t>
      </w:r>
      <w:r w:rsidR="000702D0" w:rsidRPr="00C157A1">
        <w:rPr>
          <w:rFonts w:asciiTheme="majorEastAsia" w:eastAsiaTheme="majorEastAsia" w:hAnsiTheme="majorEastAsia" w:hint="eastAsia"/>
        </w:rPr>
        <w:t>蔡孝乾</w:t>
      </w:r>
      <w:r w:rsidRPr="00AC77DF">
        <w:t>來臺設立「臺灣省工作委員會」（簡稱省工委）並擔任書記，</w:t>
      </w:r>
      <w:r w:rsidRPr="00AC77DF">
        <w:t>36</w:t>
      </w:r>
      <w:r w:rsidRPr="00AC77DF">
        <w:t>年爆發二二八事件後，省工委之共產黨員人數增加，</w:t>
      </w:r>
      <w:r w:rsidR="000702D0">
        <w:t>陳本江</w:t>
      </w:r>
      <w:r w:rsidRPr="00AC77DF">
        <w:t>及</w:t>
      </w:r>
      <w:r w:rsidR="000702D0">
        <w:t>陳通和</w:t>
      </w:r>
      <w:r w:rsidRPr="00AC77DF">
        <w:t>於</w:t>
      </w:r>
      <w:r w:rsidRPr="00AC77DF">
        <w:t>38</w:t>
      </w:r>
      <w:r w:rsidRPr="00AC77DF">
        <w:t>年</w:t>
      </w:r>
      <w:r w:rsidRPr="00AC77DF">
        <w:t>9</w:t>
      </w:r>
      <w:r w:rsidRPr="00AC77DF">
        <w:t>月間奉</w:t>
      </w:r>
      <w:r w:rsidR="000702D0" w:rsidRPr="00C157A1">
        <w:rPr>
          <w:rFonts w:asciiTheme="majorEastAsia" w:eastAsiaTheme="majorEastAsia" w:hAnsiTheme="majorEastAsia" w:hint="eastAsia"/>
        </w:rPr>
        <w:t>蔡孝乾</w:t>
      </w:r>
      <w:r w:rsidRPr="00AC77DF">
        <w:t>之命在鹿窟地區建立基地及成立「北區武裝委員會</w:t>
      </w:r>
      <w:r w:rsidRPr="0004644E">
        <w:rPr>
          <w:spacing w:val="-30"/>
        </w:rPr>
        <w:t>」</w:t>
      </w:r>
      <w:r w:rsidRPr="00AC77DF">
        <w:t>，其二人分任主任委員及委員。</w:t>
      </w:r>
      <w:r w:rsidRPr="00AC77DF">
        <w:t>39</w:t>
      </w:r>
      <w:r w:rsidRPr="00AC77DF">
        <w:t>年間，</w:t>
      </w:r>
      <w:r w:rsidR="000702D0">
        <w:t>蔡孝乾</w:t>
      </w:r>
      <w:r w:rsidRPr="00AC77DF">
        <w:t>在嘉義被捕，省工委及其他組織被嚴重破壞，未受到影響之鹿窟基地與中國大陸</w:t>
      </w:r>
      <w:r w:rsidRPr="00AC77DF">
        <w:lastRenderedPageBreak/>
        <w:t>華東局連絡後，依該局指令改變工作方針，要把鹿窟基地擴大鞏固變為山地解放區。</w:t>
      </w:r>
      <w:r w:rsidRPr="00AC77DF">
        <w:t>40</w:t>
      </w:r>
      <w:r w:rsidRPr="00AC77DF">
        <w:t>年底或</w:t>
      </w:r>
      <w:r w:rsidRPr="00AC77DF">
        <w:t>41</w:t>
      </w:r>
      <w:r w:rsidRPr="00AC77DF">
        <w:t>年間鹿窟基地改組為「台灣人民武裝保衛隊</w:t>
      </w:r>
      <w:r w:rsidRPr="0004644E">
        <w:rPr>
          <w:spacing w:val="-30"/>
        </w:rPr>
        <w:t>」</w:t>
      </w:r>
      <w:r w:rsidRPr="00AC77DF">
        <w:t>，</w:t>
      </w:r>
      <w:r w:rsidR="000702D0">
        <w:t>陳本江</w:t>
      </w:r>
      <w:r w:rsidRPr="00AC77DF">
        <w:t>化名劉上級，</w:t>
      </w:r>
      <w:r w:rsidR="000702D0">
        <w:t>陳通和</w:t>
      </w:r>
      <w:r w:rsidRPr="00AC77DF">
        <w:t>化名楊上級，下設指導員、連絡員、戰鬥員共</w:t>
      </w:r>
      <w:r w:rsidRPr="00AC77DF">
        <w:t>20</w:t>
      </w:r>
      <w:r w:rsidRPr="00AC77DF">
        <w:t>餘人（皆以化名稱之</w:t>
      </w:r>
      <w:r w:rsidRPr="0004644E">
        <w:rPr>
          <w:spacing w:val="-30"/>
        </w:rPr>
        <w:t>）</w:t>
      </w:r>
      <w:r w:rsidRPr="00AC77DF">
        <w:t>，還有其他幹部及共黨黨員，隊員及辦過保密守秘手續的家庭婦女共有</w:t>
      </w:r>
      <w:r w:rsidRPr="00AC77DF">
        <w:t>2</w:t>
      </w:r>
      <w:r w:rsidRPr="00AC77DF">
        <w:t>百餘人。許多隊員是教育程度不高的村民，因為受到各種脅迫、利誘或矇騙而加入，想脫離組織或自首之幹部或隊員慘遭殺害。戰鬥員接受軍事訓練、理論學習、勞動訓練、改造教育，隊員亦接受教育、訓練。據多位幹部證稱該隊有</w:t>
      </w:r>
      <w:r w:rsidRPr="00AC77DF">
        <w:t>6</w:t>
      </w:r>
      <w:r w:rsidRPr="00AC77DF">
        <w:t>、</w:t>
      </w:r>
      <w:r w:rsidRPr="00AC77DF">
        <w:t>7</w:t>
      </w:r>
      <w:r w:rsidRPr="00AC77DF">
        <w:t>支短槍、自製手榴彈</w:t>
      </w:r>
      <w:r w:rsidRPr="00AC77DF">
        <w:t>50</w:t>
      </w:r>
      <w:r w:rsidRPr="00AC77DF">
        <w:t>至</w:t>
      </w:r>
      <w:r w:rsidRPr="00AC77DF">
        <w:t>4</w:t>
      </w:r>
      <w:r w:rsidRPr="00AC77DF">
        <w:t>百枚不等、短刀</w:t>
      </w:r>
      <w:r w:rsidRPr="00AC77DF">
        <w:t>10</w:t>
      </w:r>
      <w:r w:rsidRPr="00AC77DF">
        <w:t>餘枝、地雷</w:t>
      </w:r>
      <w:r w:rsidRPr="00AC77DF">
        <w:t>7</w:t>
      </w:r>
      <w:r w:rsidRPr="00AC77DF">
        <w:t>至</w:t>
      </w:r>
      <w:r w:rsidRPr="00AC77DF">
        <w:t>10</w:t>
      </w:r>
      <w:r w:rsidRPr="00AC77DF">
        <w:t>枚不等、雷管約</w:t>
      </w:r>
      <w:r w:rsidRPr="00AC77DF">
        <w:t>200</w:t>
      </w:r>
      <w:r w:rsidRPr="00AC77DF">
        <w:t>枚、炸藥</w:t>
      </w:r>
      <w:r w:rsidRPr="00AC77DF">
        <w:t>6</w:t>
      </w:r>
      <w:r w:rsidRPr="00AC77DF">
        <w:t>條、大五星旗</w:t>
      </w:r>
      <w:r w:rsidRPr="00AC77DF">
        <w:t>1</w:t>
      </w:r>
      <w:r w:rsidRPr="00AC77DF">
        <w:t>至</w:t>
      </w:r>
      <w:r w:rsidRPr="00AC77DF">
        <w:t>4</w:t>
      </w:r>
      <w:r w:rsidRPr="00AC77DF">
        <w:t>面不等、小五星旗</w:t>
      </w:r>
      <w:r w:rsidRPr="00AC77DF">
        <w:t>2</w:t>
      </w:r>
      <w:r w:rsidRPr="00AC77DF">
        <w:t>至</w:t>
      </w:r>
      <w:r w:rsidRPr="00AC77DF">
        <w:t>6</w:t>
      </w:r>
      <w:r w:rsidRPr="00AC77DF">
        <w:t>面不等、多種共黨書籍。因此，「台灣人民武裝保衛隊」為共黨在鹿窟所建立之基地，官方文件稱為鹿窟武裝基地，其建立目的係為配合共黨解放臺灣。惟該基地因武器不多且性能不佳，隊員多為教育程度不高之村民且軍事訓練不足，所以雖被稱為武裝基地，但戰鬥力相當低。</w:t>
      </w:r>
    </w:p>
    <w:p w:rsidR="003807A5" w:rsidRPr="00AC77DF" w:rsidRDefault="00A773D6" w:rsidP="001A2343">
      <w:pPr>
        <w:pStyle w:val="1--13"/>
        <w:spacing w:before="180" w:after="180"/>
      </w:pPr>
      <w:r w:rsidRPr="008E1832">
        <w:rPr>
          <w:rFonts w:hint="eastAsia"/>
        </w:rPr>
        <w:t>˙</w:t>
      </w:r>
      <w:r w:rsidR="003807A5" w:rsidRPr="00AC77DF">
        <w:t>刑求逼供不當偵審</w:t>
      </w:r>
    </w:p>
    <w:p w:rsidR="003807A5" w:rsidRPr="00AC77DF" w:rsidRDefault="003807A5" w:rsidP="00274413">
      <w:pPr>
        <w:pStyle w:val="1---"/>
        <w:ind w:firstLine="480"/>
      </w:pPr>
      <w:r w:rsidRPr="00AC77DF">
        <w:t>許多村民控訴，軍隊於搜捕期間有恣意宰殺並食用村民所飼養家禽，及搜刮村民</w:t>
      </w:r>
      <w:r w:rsidRPr="00274413">
        <w:t>財產情事。許多村民遭捕後拘禁於光明寺狹小空間內，不能盥</w:t>
      </w:r>
      <w:r w:rsidRPr="00AC77DF">
        <w:t>洗、休息或睡眠，時間長達數日或數十日；保密局於調查過程中對許多村民刑求，有人被打到骨頭破碎而發瘋，其中更有人於釋放後自殺，不少村民因被刑求而為不實之陳述。許多被逮捕、拘禁及刑求之村民，因其未經裁判或不起訴處分，且因官方未留下逮捕、拘禁及釋放之紀錄，而</w:t>
      </w:r>
      <w:r w:rsidRPr="00AC77DF">
        <w:lastRenderedPageBreak/>
        <w:t>不能依相關法律規定獲得賠償或補償，保密局、臺灣省保安司令部核有嚴重違失。在偵審中軍事檢察官及法官對許多被告陳稱其於光明寺因遭受刑求、受調查人員稱「承認便可獲釋」所誤導、因不識字而不知筆錄記載內容等主張，均未予審酌，亦未向被告提示物證或名冊，多僅憑被告自白及共同被告之陳述而為有罪判決，於法不合，侵害其人權。</w:t>
      </w:r>
    </w:p>
    <w:p w:rsidR="003807A5" w:rsidRPr="00AC77DF" w:rsidRDefault="00A773D6" w:rsidP="001A2343">
      <w:pPr>
        <w:pStyle w:val="1--13"/>
        <w:spacing w:before="180" w:after="180"/>
      </w:pPr>
      <w:r w:rsidRPr="008E1832">
        <w:rPr>
          <w:rFonts w:hint="eastAsia"/>
        </w:rPr>
        <w:t>˙</w:t>
      </w:r>
      <w:r w:rsidR="003807A5" w:rsidRPr="00AC77DF">
        <w:t>自新者淪為私人奴役</w:t>
      </w:r>
    </w:p>
    <w:p w:rsidR="003807A5" w:rsidRPr="00AC77DF" w:rsidRDefault="003807A5" w:rsidP="00274413">
      <w:pPr>
        <w:pStyle w:val="1---"/>
        <w:ind w:firstLine="480"/>
      </w:pPr>
      <w:r w:rsidRPr="00AC77DF">
        <w:t>共黨重要成員及幹部均准予自首或自新，未移送受偵查及審判。</w:t>
      </w:r>
      <w:r w:rsidRPr="00AC77DF">
        <w:t>19</w:t>
      </w:r>
      <w:r w:rsidRPr="00AC77DF">
        <w:t>位因自新而交保密局運用者（其中</w:t>
      </w:r>
      <w:r w:rsidRPr="00AC77DF">
        <w:t>6</w:t>
      </w:r>
      <w:r w:rsidRPr="00AC77DF">
        <w:t>位未成年</w:t>
      </w:r>
      <w:r w:rsidRPr="0004644E">
        <w:rPr>
          <w:spacing w:val="-30"/>
        </w:rPr>
        <w:t>）</w:t>
      </w:r>
      <w:r w:rsidRPr="00AC77DF">
        <w:t>，甚至淪為保密局偵防組組長谷</w:t>
      </w:r>
      <w:r w:rsidR="000702D0" w:rsidRPr="00C157A1">
        <w:rPr>
          <w:rFonts w:asciiTheme="majorEastAsia" w:eastAsiaTheme="majorEastAsia" w:hAnsiTheme="majorEastAsia" w:hint="eastAsia"/>
        </w:rPr>
        <w:t>正文</w:t>
      </w:r>
      <w:r w:rsidRPr="00AC77DF">
        <w:t>之私人奴役，時間長</w:t>
      </w:r>
      <w:r w:rsidRPr="00BF4D75">
        <w:rPr>
          <w:spacing w:val="-20"/>
        </w:rPr>
        <w:t>達</w:t>
      </w:r>
      <w:r w:rsidRPr="00AC77DF">
        <w:t>1,52</w:t>
      </w:r>
      <w:r w:rsidRPr="00BF4D75">
        <w:rPr>
          <w:spacing w:val="-20"/>
        </w:rPr>
        <w:t>4</w:t>
      </w:r>
      <w:r w:rsidRPr="00AC77DF">
        <w:t>日至</w:t>
      </w:r>
      <w:r w:rsidRPr="00AC77DF">
        <w:t>2,315</w:t>
      </w:r>
      <w:r w:rsidRPr="00AC77DF">
        <w:t>日。</w:t>
      </w:r>
    </w:p>
    <w:p w:rsidR="003807A5" w:rsidRPr="00AC77DF" w:rsidRDefault="00A773D6" w:rsidP="001A2343">
      <w:pPr>
        <w:pStyle w:val="1--13"/>
        <w:spacing w:before="180" w:after="180"/>
      </w:pPr>
      <w:r w:rsidRPr="008E1832">
        <w:rPr>
          <w:rFonts w:hint="eastAsia"/>
        </w:rPr>
        <w:t>˙</w:t>
      </w:r>
      <w:r w:rsidR="003807A5" w:rsidRPr="00AC77DF">
        <w:t>復審無救濟功能</w:t>
      </w:r>
    </w:p>
    <w:p w:rsidR="003807A5" w:rsidRPr="00AC77DF" w:rsidRDefault="003807A5" w:rsidP="00274413">
      <w:pPr>
        <w:pStyle w:val="1---"/>
        <w:ind w:firstLine="480"/>
      </w:pPr>
      <w:r w:rsidRPr="00AC77DF">
        <w:t>本案復審不僅對被告無任何救濟功能，反而造成加重刑期或判處死刑，對被告人權造成嚴重侵害。</w:t>
      </w:r>
    </w:p>
    <w:p w:rsidR="003807A5" w:rsidRPr="00AC77DF" w:rsidRDefault="003807A5" w:rsidP="00274413">
      <w:pPr>
        <w:pStyle w:val="1---"/>
        <w:ind w:firstLine="480"/>
      </w:pPr>
      <w:r w:rsidRPr="00AC77DF">
        <w:t>依據本案相關調查意見</w:t>
      </w:r>
      <w:r w:rsidRPr="00F85A65">
        <w:rPr>
          <w:rStyle w:val="aff2"/>
        </w:rPr>
        <w:footnoteReference w:id="20"/>
      </w:r>
      <w:r w:rsidRPr="00AC77DF">
        <w:t>，監察院糾正國防部並函請該部檢討改進。</w:t>
      </w:r>
    </w:p>
    <w:p w:rsidR="003807A5" w:rsidRPr="00AC77DF" w:rsidRDefault="00B93584" w:rsidP="00B93584">
      <w:pPr>
        <w:pStyle w:val="afff1"/>
        <w:spacing w:before="360" w:after="360"/>
      </w:pPr>
      <w:bookmarkStart w:id="36" w:name="_Toc525913949"/>
      <w:r>
        <w:rPr>
          <w:rFonts w:hint="eastAsia"/>
        </w:rPr>
        <w:t>(三)</w:t>
      </w:r>
      <w:r w:rsidR="003807A5" w:rsidRPr="00AC77DF">
        <w:t>政府機關改善情形</w:t>
      </w:r>
      <w:bookmarkEnd w:id="36"/>
    </w:p>
    <w:p w:rsidR="003807A5" w:rsidRPr="00AC77DF" w:rsidRDefault="003807A5" w:rsidP="00274413">
      <w:pPr>
        <w:pStyle w:val="1---"/>
        <w:ind w:firstLine="480"/>
      </w:pPr>
      <w:r w:rsidRPr="00AC77DF">
        <w:t>本案指摘的違失多已是</w:t>
      </w:r>
      <w:r w:rsidRPr="00AC77DF">
        <w:t>60</w:t>
      </w:r>
      <w:r w:rsidRPr="00AC77DF">
        <w:t>幾年前保密局及臺灣省保安司令部所為，現該二單位已不存在，且軍事審判案件現已改由普通</w:t>
      </w:r>
      <w:r w:rsidRPr="00AC77DF">
        <w:lastRenderedPageBreak/>
        <w:t>法院審理。儘管本案已無從改正，然為使國防部引以為戒，期不再有類似侵害人權情事，爰糾正國防部。國防部函復表示，未來將更致力落實人權保障教育、貫徹依法行政作為、強化官兵法紀觀念、加強幹部本職學能。</w:t>
      </w:r>
    </w:p>
    <w:p w:rsidR="003807A5" w:rsidRPr="00AC77DF" w:rsidRDefault="00B93584" w:rsidP="00B93584">
      <w:pPr>
        <w:pStyle w:val="afff1"/>
        <w:spacing w:before="360" w:after="360"/>
      </w:pPr>
      <w:bookmarkStart w:id="37" w:name="_Toc525913950"/>
      <w:r>
        <w:rPr>
          <w:rFonts w:hint="eastAsia"/>
        </w:rPr>
        <w:t>(四)</w:t>
      </w:r>
      <w:r w:rsidR="003807A5" w:rsidRPr="00AC77DF">
        <w:t>案件進展</w:t>
      </w:r>
      <w:bookmarkEnd w:id="37"/>
    </w:p>
    <w:p w:rsidR="003807A5" w:rsidRDefault="003807A5" w:rsidP="00274413">
      <w:pPr>
        <w:pStyle w:val="1---"/>
        <w:ind w:firstLine="480"/>
        <w:rPr>
          <w:lang w:eastAsia="zh-TW"/>
        </w:rPr>
      </w:pPr>
      <w:r w:rsidRPr="00AC77DF">
        <w:t>監察院為國家人權院，本案在監察院監督下，已產生具體成效，後續將持續追蹤，以保障軍中人權。</w:t>
      </w:r>
    </w:p>
    <w:p w:rsidR="00B93584" w:rsidRDefault="00B93584" w:rsidP="00274413">
      <w:pPr>
        <w:pStyle w:val="1---"/>
        <w:ind w:firstLine="480"/>
        <w:rPr>
          <w:b/>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4815"/>
      </w:tblGrid>
      <w:tr w:rsidR="009E7A79" w:rsidTr="009E7A79">
        <w:tc>
          <w:tcPr>
            <w:tcW w:w="4815" w:type="dxa"/>
            <w:shd w:val="clear" w:color="auto" w:fill="D9D9D9" w:themeFill="background1" w:themeFillShade="D9"/>
          </w:tcPr>
          <w:p w:rsidR="009E7A79" w:rsidRDefault="009E7A79" w:rsidP="009E7A79">
            <w:pPr>
              <w:pStyle w:val="11-"/>
              <w:spacing w:before="72" w:after="108"/>
              <w:rPr>
                <w:b/>
                <w:lang w:eastAsia="zh-TW"/>
              </w:rPr>
            </w:pPr>
            <w:bookmarkStart w:id="38" w:name="_Toc525913951"/>
            <w:bookmarkStart w:id="39" w:name="_Toc535228310"/>
            <w:bookmarkStart w:id="40" w:name="_Toc4058720"/>
            <w:r w:rsidRPr="00AC77DF">
              <w:t>漁船遭國外海盜挾持相關保障措施</w:t>
            </w:r>
            <w:bookmarkEnd w:id="38"/>
            <w:bookmarkEnd w:id="39"/>
            <w:bookmarkEnd w:id="40"/>
          </w:p>
        </w:tc>
      </w:tr>
    </w:tbl>
    <w:p w:rsidR="003807A5" w:rsidRPr="00AC77DF" w:rsidRDefault="003807A5" w:rsidP="009E7A79">
      <w:pPr>
        <w:pStyle w:val="1---"/>
        <w:ind w:firstLine="48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3807A5" w:rsidRPr="00AC77DF" w:rsidTr="009E7A79">
        <w:tc>
          <w:tcPr>
            <w:tcW w:w="6520" w:type="dxa"/>
            <w:shd w:val="clear" w:color="auto" w:fill="auto"/>
          </w:tcPr>
          <w:p w:rsidR="003807A5" w:rsidRPr="00AC77DF" w:rsidRDefault="003807A5" w:rsidP="009E7A79">
            <w:pPr>
              <w:spacing w:line="360" w:lineRule="exact"/>
              <w:jc w:val="both"/>
            </w:pPr>
            <w:r w:rsidRPr="00AC77DF">
              <w:rPr>
                <w:b/>
                <w:color w:val="000000"/>
                <w:szCs w:val="28"/>
                <w:lang w:val="x-none"/>
              </w:rPr>
              <w:t>相關國際人權公約</w:t>
            </w:r>
            <w:r w:rsidRPr="00AC77DF">
              <w:rPr>
                <w:color w:val="000000"/>
                <w:szCs w:val="28"/>
                <w:lang w:val="x-none"/>
              </w:rPr>
              <w:t>：經濟社會</w:t>
            </w:r>
            <w:r w:rsidRPr="00AC77DF">
              <w:t>文化權利國際公約前言、第</w:t>
            </w:r>
            <w:r w:rsidRPr="00AC77DF">
              <w:t>1</w:t>
            </w:r>
            <w:r w:rsidRPr="00AC77DF">
              <w:t>條、第</w:t>
            </w:r>
            <w:r w:rsidRPr="00AC77DF">
              <w:t>2</w:t>
            </w:r>
            <w:r w:rsidRPr="00AC77DF">
              <w:t>條、第</w:t>
            </w:r>
            <w:r w:rsidRPr="00AC77DF">
              <w:t>7</w:t>
            </w:r>
            <w:r w:rsidRPr="00AC77DF">
              <w:t>條</w:t>
            </w:r>
          </w:p>
          <w:p w:rsidR="003807A5" w:rsidRPr="00AC77DF" w:rsidRDefault="003807A5" w:rsidP="009E7A79">
            <w:pPr>
              <w:pStyle w:val="a2"/>
              <w:spacing w:line="360" w:lineRule="exact"/>
              <w:ind w:left="0"/>
              <w:jc w:val="both"/>
              <w:rPr>
                <w:b/>
              </w:rPr>
            </w:pPr>
            <w:r w:rsidRPr="00AC77DF">
              <w:rPr>
                <w:b/>
                <w:color w:val="000000"/>
                <w:szCs w:val="28"/>
                <w:lang w:val="x-none"/>
              </w:rPr>
              <w:t>經濟社會</w:t>
            </w:r>
            <w:r w:rsidRPr="00AC77DF">
              <w:rPr>
                <w:b/>
              </w:rPr>
              <w:t>文化權利國際公約第</w:t>
            </w:r>
            <w:r w:rsidRPr="00AC77DF">
              <w:rPr>
                <w:b/>
              </w:rPr>
              <w:t>1</w:t>
            </w:r>
            <w:r w:rsidRPr="00AC77DF">
              <w:rPr>
                <w:b/>
              </w:rPr>
              <w:t>條</w:t>
            </w:r>
          </w:p>
          <w:p w:rsidR="003807A5" w:rsidRPr="00AC77DF" w:rsidRDefault="003807A5" w:rsidP="009E7A79">
            <w:pPr>
              <w:pStyle w:val="a2"/>
              <w:spacing w:line="360" w:lineRule="exact"/>
              <w:ind w:hangingChars="200" w:hanging="480"/>
              <w:jc w:val="both"/>
            </w:pPr>
            <w:r w:rsidRPr="00AC77DF">
              <w:t>一、所有民族均享有自決權，根據此種權利，自由決定其政治地位及自由從事其經濟、社會與文化之發展。</w:t>
            </w:r>
          </w:p>
          <w:p w:rsidR="003807A5" w:rsidRPr="00AC77DF" w:rsidRDefault="003807A5" w:rsidP="009E7A79">
            <w:pPr>
              <w:pStyle w:val="a2"/>
              <w:spacing w:line="360" w:lineRule="exact"/>
              <w:ind w:hangingChars="200" w:hanging="480"/>
              <w:jc w:val="both"/>
              <w:rPr>
                <w:b/>
              </w:rPr>
            </w:pPr>
            <w:r w:rsidRPr="00AC77DF">
              <w:t>二、所有民族得為本身之目的，自由處置其天然財富及資源，但不得妨害因基於互惠原則之國際經濟合作及因國際法而生之任何義務。無論在何種情形下，民族之生計，不容剝奪。</w:t>
            </w:r>
          </w:p>
          <w:p w:rsidR="003807A5" w:rsidRPr="00AC77DF" w:rsidRDefault="003807A5" w:rsidP="009E7A79">
            <w:pPr>
              <w:pStyle w:val="a2"/>
              <w:spacing w:line="360" w:lineRule="exact"/>
              <w:ind w:hangingChars="200" w:hanging="480"/>
              <w:jc w:val="both"/>
            </w:pPr>
            <w:r w:rsidRPr="00AC77DF">
              <w:t>三、本公約締約國包括負責管理非自治及託管領土之國家在內，均應遵照聯合國憲章規定，促進自決權之實現並尊重此種權利。</w:t>
            </w:r>
          </w:p>
          <w:p w:rsidR="003807A5" w:rsidRPr="00AC77DF" w:rsidRDefault="003807A5" w:rsidP="009E7A79">
            <w:pPr>
              <w:pStyle w:val="a2"/>
              <w:spacing w:line="360" w:lineRule="exact"/>
              <w:ind w:left="0"/>
              <w:jc w:val="both"/>
              <w:rPr>
                <w:b/>
              </w:rPr>
            </w:pPr>
            <w:r w:rsidRPr="00AC77DF">
              <w:rPr>
                <w:b/>
                <w:color w:val="000000"/>
                <w:szCs w:val="28"/>
                <w:lang w:val="x-none"/>
              </w:rPr>
              <w:lastRenderedPageBreak/>
              <w:t>經濟社會</w:t>
            </w:r>
            <w:r w:rsidRPr="00AC77DF">
              <w:rPr>
                <w:b/>
              </w:rPr>
              <w:t>文化權利國際公約第</w:t>
            </w:r>
            <w:r w:rsidRPr="00AC77DF">
              <w:rPr>
                <w:b/>
              </w:rPr>
              <w:t>2</w:t>
            </w:r>
            <w:r w:rsidRPr="00AC77DF">
              <w:rPr>
                <w:b/>
              </w:rPr>
              <w:t>條</w:t>
            </w:r>
          </w:p>
          <w:p w:rsidR="003807A5" w:rsidRPr="00AC77DF" w:rsidRDefault="003807A5" w:rsidP="009E7A79">
            <w:pPr>
              <w:pStyle w:val="a2"/>
              <w:spacing w:line="360" w:lineRule="exact"/>
              <w:ind w:hangingChars="200" w:hanging="480"/>
              <w:jc w:val="both"/>
            </w:pPr>
            <w:r w:rsidRPr="00AC77DF">
              <w:t>一、本公約締約國承允盡其資源能力所及，各自並藉國際協助與合作，特別在經濟與技術方面之協助與合作採取種種步驟，務期以所有適當方法，尤其包括通過立法措施，逐漸使本公約所確認之各種權利完全實現。</w:t>
            </w:r>
          </w:p>
          <w:p w:rsidR="003807A5" w:rsidRPr="00AC77DF" w:rsidRDefault="003807A5" w:rsidP="008D7C4B">
            <w:pPr>
              <w:pStyle w:val="a2"/>
              <w:spacing w:line="360" w:lineRule="exact"/>
              <w:ind w:hangingChars="200" w:hanging="480"/>
              <w:jc w:val="both"/>
            </w:pPr>
            <w:r w:rsidRPr="00AC77DF">
              <w:t>二、本公約締約國承允保證人人行使本公約所載之各種權利，不因種族、膚色、性別、語言、宗教、政見或其他主張、民族本源或社會階級、財產、出生或其他身分等等而受歧視。</w:t>
            </w:r>
          </w:p>
          <w:p w:rsidR="003807A5" w:rsidRPr="00AC77DF" w:rsidRDefault="003807A5" w:rsidP="009E7A79">
            <w:pPr>
              <w:pStyle w:val="a2"/>
              <w:spacing w:line="360" w:lineRule="exact"/>
              <w:ind w:hangingChars="200" w:hanging="480"/>
              <w:jc w:val="both"/>
              <w:rPr>
                <w:b/>
              </w:rPr>
            </w:pPr>
            <w:r w:rsidRPr="00AC77DF">
              <w:t>三、發展中國家在適當顧及人權及國民經濟之情形下，得決定保證非本國國民享受本公約所確認經濟權利之程度。</w:t>
            </w:r>
          </w:p>
          <w:p w:rsidR="003807A5" w:rsidRPr="00AC77DF" w:rsidRDefault="003807A5" w:rsidP="009E7A79">
            <w:pPr>
              <w:pStyle w:val="a2"/>
              <w:spacing w:line="360" w:lineRule="exact"/>
              <w:ind w:left="0"/>
              <w:jc w:val="both"/>
              <w:rPr>
                <w:b/>
              </w:rPr>
            </w:pPr>
            <w:r w:rsidRPr="00AC77DF">
              <w:rPr>
                <w:b/>
                <w:color w:val="000000"/>
                <w:szCs w:val="28"/>
                <w:lang w:val="x-none"/>
              </w:rPr>
              <w:t>經濟社會</w:t>
            </w:r>
            <w:r w:rsidRPr="00AC77DF">
              <w:rPr>
                <w:b/>
              </w:rPr>
              <w:t>文化權利國際公約第</w:t>
            </w:r>
            <w:r w:rsidRPr="00AC77DF">
              <w:rPr>
                <w:b/>
              </w:rPr>
              <w:t>7</w:t>
            </w:r>
            <w:r w:rsidRPr="00AC77DF">
              <w:rPr>
                <w:b/>
              </w:rPr>
              <w:t>條</w:t>
            </w:r>
          </w:p>
          <w:p w:rsidR="003807A5" w:rsidRPr="00AC77DF" w:rsidRDefault="003807A5" w:rsidP="008D7C4B">
            <w:pPr>
              <w:pStyle w:val="a2"/>
              <w:spacing w:line="360" w:lineRule="exact"/>
              <w:ind w:left="0"/>
              <w:jc w:val="both"/>
            </w:pPr>
            <w:r w:rsidRPr="00AC77DF">
              <w:t>本公約締約國確認人人有權享受公平與良好之工作條件，尤須確保：</w:t>
            </w:r>
          </w:p>
          <w:p w:rsidR="003807A5" w:rsidRPr="00AC77DF" w:rsidRDefault="008D7C4B" w:rsidP="008D7C4B">
            <w:pPr>
              <w:pStyle w:val="a2"/>
              <w:spacing w:line="360" w:lineRule="exact"/>
              <w:ind w:hangingChars="200" w:hanging="480"/>
              <w:jc w:val="both"/>
            </w:pPr>
            <w:r w:rsidRPr="008D7C4B">
              <w:rPr>
                <w:rFonts w:ascii="標楷體" w:hAnsi="標楷體" w:hint="eastAsia"/>
              </w:rPr>
              <w:t>(</w:t>
            </w:r>
            <w:r w:rsidR="003807A5" w:rsidRPr="008D7C4B">
              <w:rPr>
                <w:rFonts w:ascii="標楷體" w:hAnsi="標楷體"/>
              </w:rPr>
              <w:t>一</w:t>
            </w:r>
            <w:r w:rsidRPr="008D7C4B">
              <w:rPr>
                <w:rFonts w:ascii="標楷體" w:hAnsi="標楷體" w:hint="eastAsia"/>
              </w:rPr>
              <w:t>)</w:t>
            </w:r>
            <w:r w:rsidR="003807A5" w:rsidRPr="00AC77DF">
              <w:t>所有工作者之報酬使其最低限度均能：</w:t>
            </w:r>
          </w:p>
          <w:p w:rsidR="003807A5" w:rsidRPr="00AC77DF" w:rsidRDefault="008D7C4B" w:rsidP="008D7C4B">
            <w:pPr>
              <w:pStyle w:val="a2"/>
              <w:spacing w:line="360" w:lineRule="exact"/>
              <w:ind w:leftChars="200" w:left="744" w:hangingChars="110" w:hanging="264"/>
              <w:jc w:val="both"/>
            </w:pPr>
            <w:r>
              <w:rPr>
                <w:rFonts w:hint="eastAsia"/>
              </w:rPr>
              <w:t>(</w:t>
            </w:r>
            <w:r w:rsidR="003807A5" w:rsidRPr="00AC77DF">
              <w:t>1</w:t>
            </w:r>
            <w:r>
              <w:rPr>
                <w:rFonts w:hint="eastAsia"/>
              </w:rPr>
              <w:t>)</w:t>
            </w:r>
            <w:r w:rsidR="003807A5" w:rsidRPr="00AC77DF">
              <w:t>獲得公允之工資，工作價值相等者享受同等報酬，不得有任何區別，尤須保證婦女之工作條件不得次於男子，且應同工同酬；</w:t>
            </w:r>
          </w:p>
          <w:p w:rsidR="003807A5" w:rsidRPr="00AC77DF" w:rsidRDefault="008D7C4B" w:rsidP="008D7C4B">
            <w:pPr>
              <w:pStyle w:val="a2"/>
              <w:spacing w:line="360" w:lineRule="exact"/>
              <w:ind w:leftChars="200"/>
              <w:jc w:val="both"/>
            </w:pPr>
            <w:r>
              <w:rPr>
                <w:rFonts w:hint="eastAsia"/>
              </w:rPr>
              <w:t>(</w:t>
            </w:r>
            <w:r w:rsidR="003807A5" w:rsidRPr="00AC77DF">
              <w:t>2</w:t>
            </w:r>
            <w:r>
              <w:rPr>
                <w:rFonts w:hint="eastAsia"/>
              </w:rPr>
              <w:t>)</w:t>
            </w:r>
            <w:r w:rsidR="003807A5" w:rsidRPr="00AC77DF">
              <w:t>維持本人及家屬符合本公約規定之合理生活水平；</w:t>
            </w:r>
          </w:p>
          <w:p w:rsidR="003807A5" w:rsidRPr="00AC77DF" w:rsidRDefault="008D7C4B" w:rsidP="008D7C4B">
            <w:pPr>
              <w:pStyle w:val="a2"/>
              <w:spacing w:line="360" w:lineRule="exact"/>
              <w:ind w:hangingChars="200" w:hanging="480"/>
              <w:jc w:val="both"/>
            </w:pPr>
            <w:r w:rsidRPr="008D7C4B">
              <w:rPr>
                <w:rFonts w:ascii="標楷體" w:hAnsi="標楷體" w:hint="eastAsia"/>
              </w:rPr>
              <w:t>(</w:t>
            </w:r>
            <w:r w:rsidR="003807A5" w:rsidRPr="008D7C4B">
              <w:rPr>
                <w:rFonts w:ascii="標楷體" w:hAnsi="標楷體"/>
              </w:rPr>
              <w:t>二</w:t>
            </w:r>
            <w:r w:rsidRPr="008D7C4B">
              <w:rPr>
                <w:rFonts w:ascii="標楷體" w:hAnsi="標楷體" w:hint="eastAsia"/>
              </w:rPr>
              <w:t>)</w:t>
            </w:r>
            <w:r w:rsidR="003807A5" w:rsidRPr="00AC77DF">
              <w:t>安全衛生之工作環境；</w:t>
            </w:r>
          </w:p>
          <w:p w:rsidR="003807A5" w:rsidRPr="00AC77DF" w:rsidRDefault="008D7C4B" w:rsidP="008D7C4B">
            <w:pPr>
              <w:pStyle w:val="a2"/>
              <w:spacing w:line="360" w:lineRule="exact"/>
              <w:ind w:hangingChars="200" w:hanging="480"/>
              <w:jc w:val="both"/>
            </w:pPr>
            <w:r w:rsidRPr="008D7C4B">
              <w:rPr>
                <w:rFonts w:ascii="標楷體" w:hAnsi="標楷體" w:hint="eastAsia"/>
              </w:rPr>
              <w:t>(</w:t>
            </w:r>
            <w:r w:rsidR="003807A5" w:rsidRPr="008D7C4B">
              <w:rPr>
                <w:rFonts w:ascii="標楷體" w:hAnsi="標楷體"/>
              </w:rPr>
              <w:t>三</w:t>
            </w:r>
            <w:r w:rsidRPr="008D7C4B">
              <w:rPr>
                <w:rFonts w:ascii="標楷體" w:hAnsi="標楷體" w:hint="eastAsia"/>
              </w:rPr>
              <w:t>)</w:t>
            </w:r>
            <w:r w:rsidR="003807A5" w:rsidRPr="00AC77DF">
              <w:t>人人有平等機會於所就職業升至適當之較高等級，不受年資才能以外其他考慮之限制；</w:t>
            </w:r>
          </w:p>
          <w:p w:rsidR="003807A5" w:rsidRPr="00AC77DF" w:rsidRDefault="008D7C4B" w:rsidP="008D7C4B">
            <w:pPr>
              <w:pStyle w:val="a2"/>
              <w:spacing w:line="360" w:lineRule="exact"/>
              <w:ind w:hangingChars="200" w:hanging="480"/>
              <w:jc w:val="both"/>
            </w:pPr>
            <w:r w:rsidRPr="008D7C4B">
              <w:rPr>
                <w:rFonts w:ascii="標楷體" w:hAnsi="標楷體" w:hint="eastAsia"/>
              </w:rPr>
              <w:t>(</w:t>
            </w:r>
            <w:r w:rsidR="003807A5" w:rsidRPr="008D7C4B">
              <w:rPr>
                <w:rFonts w:ascii="標楷體" w:hAnsi="標楷體"/>
              </w:rPr>
              <w:t>四</w:t>
            </w:r>
            <w:r w:rsidRPr="008D7C4B">
              <w:rPr>
                <w:rFonts w:ascii="標楷體" w:hAnsi="標楷體" w:hint="eastAsia"/>
              </w:rPr>
              <w:t>)</w:t>
            </w:r>
            <w:r w:rsidR="003807A5" w:rsidRPr="00AC77DF">
              <w:t>休息、閒暇、工作時間之合理限制與照給薪資之定期休假，公共假日亦須給酬。</w:t>
            </w:r>
          </w:p>
        </w:tc>
      </w:tr>
    </w:tbl>
    <w:p w:rsidR="003807A5" w:rsidRPr="00AC77DF" w:rsidRDefault="00D64185" w:rsidP="00D64185">
      <w:pPr>
        <w:pStyle w:val="afff1"/>
        <w:spacing w:before="360" w:after="360"/>
      </w:pPr>
      <w:bookmarkStart w:id="41" w:name="_Toc525913952"/>
      <w:r>
        <w:rPr>
          <w:rFonts w:hint="eastAsia"/>
        </w:rPr>
        <w:lastRenderedPageBreak/>
        <w:t>(一)</w:t>
      </w:r>
      <w:r w:rsidRPr="00AC77DF">
        <w:t>案情簡述</w:t>
      </w:r>
      <w:bookmarkEnd w:id="41"/>
    </w:p>
    <w:p w:rsidR="003807A5" w:rsidRPr="00AC77DF" w:rsidRDefault="003807A5" w:rsidP="00274413">
      <w:pPr>
        <w:pStyle w:val="1---"/>
        <w:spacing w:after="180"/>
        <w:ind w:firstLine="480"/>
      </w:pPr>
      <w:r w:rsidRPr="00AC77DF">
        <w:t>據悉，臺資阿曼籍的</w:t>
      </w:r>
      <w:r w:rsidRPr="00AC77DF">
        <w:t>Naham 3</w:t>
      </w:r>
      <w:r w:rsidRPr="00AC77DF">
        <w:t>漁船，於</w:t>
      </w:r>
      <w:r w:rsidRPr="00274413">
        <w:t>1</w:t>
      </w:r>
      <w:r w:rsidRPr="00AC77DF">
        <w:t>01</w:t>
      </w:r>
      <w:r w:rsidRPr="00AC77DF">
        <w:t>年</w:t>
      </w:r>
      <w:r w:rsidRPr="00AC77DF">
        <w:t>3</w:t>
      </w:r>
      <w:r w:rsidRPr="00AC77DF">
        <w:t>月在塞席爾（</w:t>
      </w:r>
      <w:r w:rsidRPr="00AC77DF">
        <w:t>Seychelles</w:t>
      </w:r>
      <w:r w:rsidRPr="00AC77DF">
        <w:t>）南方遭索馬利亞海盜劫持，詎相關機關未積極提供協助，致我國籍輪機長遭挾持近</w:t>
      </w:r>
      <w:r w:rsidRPr="00AC77DF">
        <w:t>5</w:t>
      </w:r>
      <w:r w:rsidRPr="00AC77DF">
        <w:t>年方獲釋等情。究我國外交部、行政院農業委員會（簡稱農委會）等相關權責機關何時獲知？後續對人員之保護、營救及處置過程為何？主管機關對權宜船之監督管理機制？對權宜船之船公司與船員間之勞動契約有無管轄權？對於身處海外國人生命財產安全之保障措施為何？均有深入瞭解之必要，</w:t>
      </w:r>
      <w:r w:rsidR="0039098F" w:rsidRPr="00AC77DF">
        <w:t>監察委員</w:t>
      </w:r>
      <w:r w:rsidRPr="00AC77DF">
        <w:t>爰立案調查。</w:t>
      </w:r>
    </w:p>
    <w:p w:rsidR="003807A5" w:rsidRPr="00AC77DF" w:rsidRDefault="00D64185" w:rsidP="00D64185">
      <w:pPr>
        <w:pStyle w:val="afff1"/>
        <w:spacing w:before="360" w:after="360"/>
      </w:pPr>
      <w:bookmarkStart w:id="42" w:name="_Toc525913953"/>
      <w:r>
        <w:rPr>
          <w:rFonts w:hint="eastAsia"/>
        </w:rPr>
        <w:t>(二)</w:t>
      </w:r>
      <w:r w:rsidR="003807A5" w:rsidRPr="00AC77DF">
        <w:t>監察院調查發現與建議</w:t>
      </w:r>
      <w:bookmarkEnd w:id="42"/>
    </w:p>
    <w:p w:rsidR="005328B5" w:rsidRPr="005328B5" w:rsidRDefault="00682251" w:rsidP="00682251">
      <w:pPr>
        <w:pStyle w:val="1--13"/>
        <w:spacing w:before="180" w:after="180"/>
      </w:pPr>
      <w:r w:rsidRPr="008E1832">
        <w:rPr>
          <w:rFonts w:hint="eastAsia"/>
        </w:rPr>
        <w:t>˙</w:t>
      </w:r>
      <w:r w:rsidR="005328B5" w:rsidRPr="005328B5">
        <w:rPr>
          <w:rFonts w:hint="eastAsia"/>
        </w:rPr>
        <w:t>國家不</w:t>
      </w:r>
      <w:r w:rsidR="005328B5">
        <w:rPr>
          <w:rFonts w:hint="eastAsia"/>
        </w:rPr>
        <w:t>得</w:t>
      </w:r>
      <w:r w:rsidR="005328B5" w:rsidRPr="005328B5">
        <w:rPr>
          <w:rFonts w:hint="eastAsia"/>
        </w:rPr>
        <w:t>妥協</w:t>
      </w:r>
    </w:p>
    <w:p w:rsidR="003807A5" w:rsidRDefault="003807A5" w:rsidP="00274413">
      <w:pPr>
        <w:pStyle w:val="1---"/>
        <w:ind w:firstLine="480"/>
        <w:rPr>
          <w:lang w:eastAsia="zh-TW"/>
        </w:rPr>
      </w:pPr>
      <w:r w:rsidRPr="00AC77DF">
        <w:t>索馬利亞海盜嚴重威脅國際航運安全，已為國際共同打擊犯罪之對象，國人遇海盜劫持，行政院暨有關部會經研議後認不宜由政府出面與海盜談判或提供贖金，此攸關國家打擊海盜與恐怖主義之基本立場，核無不當。</w:t>
      </w:r>
    </w:p>
    <w:p w:rsidR="005328B5" w:rsidRPr="005328B5" w:rsidRDefault="00682251" w:rsidP="00145E05">
      <w:pPr>
        <w:pStyle w:val="1--13"/>
        <w:spacing w:before="180" w:after="180"/>
      </w:pPr>
      <w:r w:rsidRPr="008E1832">
        <w:rPr>
          <w:rFonts w:hint="eastAsia"/>
        </w:rPr>
        <w:t>˙</w:t>
      </w:r>
      <w:r w:rsidR="005328B5" w:rsidRPr="005328B5">
        <w:rPr>
          <w:rFonts w:hint="eastAsia"/>
        </w:rPr>
        <w:t>執行人道救援</w:t>
      </w:r>
    </w:p>
    <w:p w:rsidR="003807A5" w:rsidRPr="00AC77DF" w:rsidRDefault="003807A5" w:rsidP="00274413">
      <w:pPr>
        <w:pStyle w:val="1---"/>
        <w:ind w:firstLine="480"/>
        <w:rPr>
          <w:b/>
          <w:i/>
        </w:rPr>
      </w:pPr>
      <w:r w:rsidRPr="00AC77DF">
        <w:t>對於海外遇險的國人實施人道救援，為國家基本職能，政府縱未便直接與海盜團體交涉，亦應本於人道主義精神，協助各方建立溝通平台，督促船東妥採營救因應作為，並結合民間非政府組織力量，竭盡所能努力營救，本案行政院暨有關部會</w:t>
      </w:r>
      <w:r w:rsidRPr="00AC77DF">
        <w:lastRenderedPageBreak/>
        <w:t>雖已採取必要作為，然仍顯消極被動，容有檢討改善之必要。</w:t>
      </w:r>
    </w:p>
    <w:p w:rsidR="003807A5" w:rsidRDefault="003807A5" w:rsidP="00274413">
      <w:pPr>
        <w:pStyle w:val="1---"/>
        <w:ind w:firstLine="480"/>
        <w:rPr>
          <w:lang w:eastAsia="zh-TW"/>
        </w:rPr>
      </w:pPr>
      <w:r w:rsidRPr="00AC77DF">
        <w:t>國際局勢瞬息萬變，外交工作極富機動性與變動性，國人於急難發生之情狀各殊，外交部之處理方式拘泥於僵化法令適用，造成民怨，損及國家顏面，容有檢討改進</w:t>
      </w:r>
      <w:r w:rsidR="005328B5">
        <w:t>之餘地。</w:t>
      </w:r>
    </w:p>
    <w:p w:rsidR="005328B5" w:rsidRPr="005328B5" w:rsidRDefault="00682251" w:rsidP="00145E05">
      <w:pPr>
        <w:pStyle w:val="1--13"/>
        <w:spacing w:before="180" w:after="180"/>
      </w:pPr>
      <w:r w:rsidRPr="008E1832">
        <w:rPr>
          <w:rFonts w:hint="eastAsia"/>
        </w:rPr>
        <w:t>˙</w:t>
      </w:r>
      <w:r w:rsidR="005328B5">
        <w:rPr>
          <w:rFonts w:hint="eastAsia"/>
        </w:rPr>
        <w:t>保護漁工權益</w:t>
      </w:r>
    </w:p>
    <w:p w:rsidR="003807A5" w:rsidRPr="00AC77DF" w:rsidRDefault="003807A5" w:rsidP="00274413">
      <w:pPr>
        <w:pStyle w:val="1---"/>
        <w:ind w:firstLine="480"/>
        <w:rPr>
          <w:b/>
          <w:i/>
        </w:rPr>
      </w:pPr>
      <w:r w:rsidRPr="00AC77DF">
        <w:t>農委會漁業署應加強查察有關國人投資非我國籍漁船從事非法捕撈、規避我國相關法令之情事，並強化國際合作，以維我國國際聲譽。</w:t>
      </w:r>
    </w:p>
    <w:p w:rsidR="003807A5" w:rsidRPr="00AC77DF" w:rsidRDefault="005328B5" w:rsidP="00274413">
      <w:pPr>
        <w:pStyle w:val="1---"/>
        <w:ind w:firstLine="480"/>
        <w:rPr>
          <w:b/>
          <w:i/>
        </w:rPr>
      </w:pPr>
      <w:r>
        <w:rPr>
          <w:rFonts w:hint="eastAsia"/>
        </w:rPr>
        <w:t>另</w:t>
      </w:r>
      <w:r>
        <w:t>農委會漁業署除</w:t>
      </w:r>
      <w:r w:rsidR="003807A5" w:rsidRPr="00AC77DF">
        <w:t>依法追究船東違法責任外，應督促船東善盡照顧遭劫船員之責任，以保護弱勢漁工權益。</w:t>
      </w:r>
    </w:p>
    <w:p w:rsidR="003807A5" w:rsidRPr="00AC77DF" w:rsidRDefault="003807A5" w:rsidP="00BF4D75">
      <w:pPr>
        <w:pStyle w:val="1---"/>
        <w:ind w:firstLine="480"/>
        <w:jc w:val="distribute"/>
        <w:rPr>
          <w:i/>
        </w:rPr>
      </w:pPr>
      <w:r w:rsidRPr="00AC77DF">
        <w:t>依據本案調查意見</w:t>
      </w:r>
      <w:r w:rsidRPr="00AC77DF">
        <w:rPr>
          <w:rStyle w:val="aff2"/>
        </w:rPr>
        <w:footnoteReference w:id="21"/>
      </w:r>
      <w:r w:rsidRPr="00AC77DF">
        <w:t>，監察院函請行政院轉飭外交部及農</w:t>
      </w:r>
      <w:r w:rsidRPr="00BF4D75">
        <w:rPr>
          <w:spacing w:val="-2"/>
        </w:rPr>
        <w:t>委會檢討改進見復；另函請行政院轉飭農委會漁業署妥處見復。</w:t>
      </w:r>
    </w:p>
    <w:p w:rsidR="003807A5" w:rsidRPr="00AC77DF" w:rsidRDefault="00D64185" w:rsidP="00D64185">
      <w:pPr>
        <w:pStyle w:val="afff1"/>
        <w:spacing w:before="360" w:after="360"/>
      </w:pPr>
      <w:bookmarkStart w:id="43" w:name="_Toc525913954"/>
      <w:r>
        <w:rPr>
          <w:rFonts w:hint="eastAsia"/>
        </w:rPr>
        <w:t>(三)</w:t>
      </w:r>
      <w:r w:rsidR="003807A5" w:rsidRPr="00AC77DF">
        <w:t>政府機關改善情形</w:t>
      </w:r>
      <w:bookmarkEnd w:id="43"/>
    </w:p>
    <w:p w:rsidR="003807A5" w:rsidRPr="00AC77DF" w:rsidRDefault="003807A5" w:rsidP="00BF4D75">
      <w:pPr>
        <w:pStyle w:val="1----"/>
        <w:ind w:left="600" w:hanging="360"/>
      </w:pPr>
      <w:r w:rsidRPr="00AC77DF">
        <w:t>1</w:t>
      </w:r>
      <w:r w:rsidRPr="00AC77DF">
        <w:t>、因本案調查促使外交部於</w:t>
      </w:r>
      <w:r w:rsidRPr="00AC77DF">
        <w:t>106</w:t>
      </w:r>
      <w:r w:rsidRPr="00AC77DF">
        <w:t>年</w:t>
      </w:r>
      <w:r w:rsidRPr="00AC77DF">
        <w:t>5</w:t>
      </w:r>
      <w:r w:rsidRPr="00AC77DF">
        <w:t>月</w:t>
      </w:r>
      <w:r w:rsidRPr="00AC77DF">
        <w:t>18</w:t>
      </w:r>
      <w:r w:rsidRPr="00AC77DF">
        <w:t>日修正「旅外國人急難救助實施要點」，增列「無償補助」規定。</w:t>
      </w:r>
    </w:p>
    <w:p w:rsidR="003807A5" w:rsidRPr="00AC77DF" w:rsidRDefault="003807A5" w:rsidP="007373B4">
      <w:pPr>
        <w:pStyle w:val="1---"/>
        <w:ind w:leftChars="100" w:left="600" w:hangingChars="150" w:hanging="360"/>
        <w:rPr>
          <w:b/>
        </w:rPr>
      </w:pPr>
      <w:r w:rsidRPr="00AC77DF">
        <w:t>2</w:t>
      </w:r>
      <w:r w:rsidRPr="00AC77DF">
        <w:t>、促使外交部領事事務局電子郵件容量提升至原設定</w:t>
      </w:r>
      <w:r w:rsidRPr="00BF4D75">
        <w:rPr>
          <w:spacing w:val="-20"/>
        </w:rPr>
        <w:t>之</w:t>
      </w:r>
      <w:r w:rsidRPr="00AC77DF">
        <w:t>100</w:t>
      </w:r>
      <w:r w:rsidRPr="00AC77DF">
        <w:t>倍，以利接受大檔案資訊。</w:t>
      </w:r>
    </w:p>
    <w:p w:rsidR="003807A5" w:rsidRPr="00AC77DF" w:rsidRDefault="003807A5" w:rsidP="007373B4">
      <w:pPr>
        <w:pStyle w:val="1---"/>
        <w:ind w:leftChars="100" w:left="600" w:hangingChars="150" w:hanging="360"/>
        <w:rPr>
          <w:b/>
        </w:rPr>
      </w:pPr>
      <w:r w:rsidRPr="00AC77DF">
        <w:t>3</w:t>
      </w:r>
      <w:r w:rsidRPr="00AC77DF">
        <w:t>、</w:t>
      </w:r>
      <w:r w:rsidRPr="00AC77DF">
        <w:t>106</w:t>
      </w:r>
      <w:r w:rsidRPr="00AC77DF">
        <w:t>年</w:t>
      </w:r>
      <w:r w:rsidRPr="00AC77DF">
        <w:t>1</w:t>
      </w:r>
      <w:r w:rsidRPr="00AC77DF">
        <w:t>月</w:t>
      </w:r>
      <w:r w:rsidRPr="00AC77DF">
        <w:t>20</w:t>
      </w:r>
      <w:r w:rsidRPr="00AC77DF">
        <w:t>日施行「非我國籍漁船進入我國港口許可及管理辦法」，農委會查核比例</w:t>
      </w:r>
      <w:r w:rsidRPr="00BF4D75">
        <w:rPr>
          <w:spacing w:val="-20"/>
        </w:rPr>
        <w:t>從</w:t>
      </w:r>
      <w:r w:rsidRPr="00AC77DF">
        <w:t>14</w:t>
      </w:r>
      <w:r w:rsidR="00230A76">
        <w:t>%</w:t>
      </w:r>
      <w:r w:rsidRPr="00AC77DF">
        <w:t>提升</w:t>
      </w:r>
      <w:r w:rsidRPr="00BF4D75">
        <w:rPr>
          <w:spacing w:val="-20"/>
        </w:rPr>
        <w:t>至</w:t>
      </w:r>
      <w:r w:rsidRPr="00AC77DF">
        <w:t>20.5</w:t>
      </w:r>
      <w:r w:rsidR="00230A76">
        <w:t>%</w:t>
      </w:r>
      <w:r w:rsidRPr="00AC77DF">
        <w:t>，並已超過國際組織要求之水準。</w:t>
      </w:r>
    </w:p>
    <w:p w:rsidR="003807A5" w:rsidRPr="00AC77DF" w:rsidRDefault="003807A5" w:rsidP="007373B4">
      <w:pPr>
        <w:pStyle w:val="1---"/>
        <w:ind w:leftChars="100" w:left="600" w:hangingChars="150" w:hanging="360"/>
      </w:pPr>
      <w:r w:rsidRPr="00AC77DF">
        <w:lastRenderedPageBreak/>
        <w:t>4</w:t>
      </w:r>
      <w:r w:rsidRPr="00AC77DF">
        <w:t>、船東積欠陳訴人及船員工資之民事訴訟部分，雖該案第一審判決結果沈輪機長勝訴，惟船東代表已提交書面資料進行上訴，第二審尚未有判決，請農委會依據該</w:t>
      </w:r>
      <w:r w:rsidRPr="00BF4D75">
        <w:rPr>
          <w:spacing w:val="-20"/>
        </w:rPr>
        <w:t>會</w:t>
      </w:r>
      <w:r w:rsidRPr="00AC77DF">
        <w:t>10</w:t>
      </w:r>
      <w:r w:rsidRPr="00BF4D75">
        <w:rPr>
          <w:spacing w:val="-20"/>
        </w:rPr>
        <w:t>5</w:t>
      </w:r>
      <w:r w:rsidRPr="00BF4D75">
        <w:rPr>
          <w:spacing w:val="-20"/>
        </w:rPr>
        <w:t>年</w:t>
      </w:r>
      <w:r w:rsidRPr="00AC77DF">
        <w:t>12</w:t>
      </w:r>
      <w:r w:rsidRPr="00AC77DF">
        <w:t>月</w:t>
      </w:r>
      <w:r w:rsidRPr="00AC77DF">
        <w:t>5</w:t>
      </w:r>
      <w:r w:rsidRPr="00AC77DF">
        <w:t>日農授漁字第</w:t>
      </w:r>
      <w:r w:rsidRPr="00AC77DF">
        <w:t>1050244068</w:t>
      </w:r>
      <w:r w:rsidRPr="00AC77DF">
        <w:t>號函對沈君之承諾確實辦理。</w:t>
      </w:r>
    </w:p>
    <w:p w:rsidR="003807A5" w:rsidRPr="00AC77DF" w:rsidRDefault="00D64185" w:rsidP="00D64185">
      <w:pPr>
        <w:pStyle w:val="afff1"/>
        <w:spacing w:before="360" w:after="360"/>
      </w:pPr>
      <w:bookmarkStart w:id="44" w:name="_Toc525913955"/>
      <w:r>
        <w:rPr>
          <w:rFonts w:hint="eastAsia"/>
        </w:rPr>
        <w:t>(四)</w:t>
      </w:r>
      <w:r w:rsidR="003807A5" w:rsidRPr="00AC77DF">
        <w:t>案件進展</w:t>
      </w:r>
      <w:bookmarkEnd w:id="44"/>
    </w:p>
    <w:p w:rsidR="003807A5" w:rsidRDefault="003807A5" w:rsidP="00274413">
      <w:pPr>
        <w:pStyle w:val="1---"/>
        <w:ind w:firstLine="480"/>
        <w:rPr>
          <w:lang w:eastAsia="zh-TW"/>
        </w:rPr>
      </w:pPr>
      <w:r w:rsidRPr="00AC77DF">
        <w:t>本案仍定期列管追蹤，以保障船公司與船員間之合法權益，並維海外漁民作業及其生命財產之安全。</w:t>
      </w:r>
    </w:p>
    <w:p w:rsidR="00A24A51" w:rsidRDefault="00A24A51" w:rsidP="00274413">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4219"/>
      </w:tblGrid>
      <w:tr w:rsidR="00A24A51" w:rsidTr="00A24A51">
        <w:tc>
          <w:tcPr>
            <w:tcW w:w="4219" w:type="dxa"/>
            <w:shd w:val="clear" w:color="auto" w:fill="D9D9D9" w:themeFill="background1" w:themeFillShade="D9"/>
          </w:tcPr>
          <w:p w:rsidR="00A24A51" w:rsidRDefault="00A24A51" w:rsidP="00A24A51">
            <w:pPr>
              <w:pStyle w:val="11-"/>
              <w:spacing w:before="72" w:after="108"/>
              <w:rPr>
                <w:lang w:eastAsia="zh-TW"/>
              </w:rPr>
            </w:pPr>
            <w:bookmarkStart w:id="45" w:name="_Toc528942478"/>
            <w:bookmarkStart w:id="46" w:name="_Toc535228311"/>
            <w:bookmarkStart w:id="47" w:name="_Toc4058721"/>
            <w:r w:rsidRPr="00AC77DF">
              <w:t>薪資系統未妥善保護</w:t>
            </w:r>
            <w:bookmarkEnd w:id="45"/>
            <w:r w:rsidRPr="00666BC4">
              <w:rPr>
                <w:rFonts w:hint="eastAsia"/>
              </w:rPr>
              <w:t>個人資料</w:t>
            </w:r>
            <w:bookmarkEnd w:id="46"/>
            <w:bookmarkEnd w:id="47"/>
          </w:p>
        </w:tc>
      </w:tr>
    </w:tbl>
    <w:p w:rsidR="003807A5" w:rsidRPr="00AC77DF" w:rsidRDefault="00A24A51" w:rsidP="00A24A51">
      <w:pPr>
        <w:pStyle w:val="afff1"/>
        <w:spacing w:before="360" w:after="360"/>
      </w:pPr>
      <w:bookmarkStart w:id="48" w:name="_Toc528942479"/>
      <w:r>
        <w:rPr>
          <w:rFonts w:hint="eastAsia"/>
        </w:rPr>
        <w:t>(一)</w:t>
      </w:r>
      <w:r w:rsidR="003807A5" w:rsidRPr="00AC77DF">
        <w:t>案情簡述</w:t>
      </w:r>
      <w:bookmarkEnd w:id="48"/>
    </w:p>
    <w:p w:rsidR="003807A5" w:rsidRPr="00AC77DF" w:rsidRDefault="003807A5" w:rsidP="003D7D47">
      <w:pPr>
        <w:pStyle w:val="1---"/>
        <w:ind w:firstLine="480"/>
        <w:rPr>
          <w:b/>
        </w:rPr>
      </w:pPr>
      <w:r w:rsidRPr="00AC77DF">
        <w:t>臺北市政府於</w:t>
      </w:r>
      <w:r w:rsidRPr="00AC77DF">
        <w:t>105</w:t>
      </w:r>
      <w:r w:rsidRPr="00AC77DF">
        <w:t>年斥資開發設計「薪資發放管理系統」，處理轄下機關、學校、臺北市議會等人員之薪資發放、考績等業務，詎未妥善保護個人資料（簡稱個資</w:t>
      </w:r>
      <w:r w:rsidRPr="003D7D47">
        <w:rPr>
          <w:spacing w:val="-30"/>
        </w:rPr>
        <w:t>）</w:t>
      </w:r>
      <w:r w:rsidRPr="00AC77DF">
        <w:t>，致部分公務員之姓名、薪資、考績等資料曝光於網路，究本案影響人數為何？是否有不當取得或利用情事？事件發生原因及經過為何？臺北市政府於系統設計、管理、事後處理上有無違失？中央及地方政府對公務員個資保護之規範、標準作業流程之設置及因應個資外洩之策進方法為何？另臺北市政府「智慧支付平台</w:t>
      </w:r>
      <w:r w:rsidRPr="00AC77DF">
        <w:t>pay.</w:t>
      </w:r>
      <w:r w:rsidR="003D7D47">
        <w:rPr>
          <w:rFonts w:hint="eastAsia"/>
          <w:lang w:eastAsia="zh-TW"/>
        </w:rPr>
        <w:t xml:space="preserve"> </w:t>
      </w:r>
      <w:r w:rsidRPr="00AC77DF">
        <w:t>taipei</w:t>
      </w:r>
      <w:r w:rsidRPr="00AC77DF">
        <w:t>」及「單一陳情系統</w:t>
      </w:r>
      <w:r w:rsidRPr="00AC77DF">
        <w:t>Hello Taipei Android</w:t>
      </w:r>
      <w:r w:rsidRPr="00AC77DF">
        <w:t>版</w:t>
      </w:r>
      <w:r w:rsidR="00C81520">
        <w:t>APP</w:t>
      </w:r>
      <w:r w:rsidRPr="00AC77DF">
        <w:t>」涉及使</w:t>
      </w:r>
      <w:r w:rsidRPr="00AC77DF">
        <w:lastRenderedPageBreak/>
        <w:t>用者帳號、密碼等資料外洩，其網站為何未使用加密通訊協定，</w:t>
      </w:r>
      <w:r w:rsidR="005A303E">
        <w:t>均有深入了解之必要</w:t>
      </w:r>
      <w:r w:rsidRPr="00AC77DF">
        <w:t>，監察委員爰立案調查。</w:t>
      </w:r>
    </w:p>
    <w:p w:rsidR="003807A5" w:rsidRPr="00AC77DF" w:rsidRDefault="00A24A51" w:rsidP="00A24A51">
      <w:pPr>
        <w:pStyle w:val="afff1"/>
        <w:spacing w:before="360" w:after="360"/>
      </w:pPr>
      <w:bookmarkStart w:id="49" w:name="_Toc528942480"/>
      <w:r>
        <w:rPr>
          <w:rFonts w:hint="eastAsia"/>
        </w:rPr>
        <w:t>(二)</w:t>
      </w:r>
      <w:r w:rsidR="003807A5" w:rsidRPr="00AC77DF">
        <w:t>調查發現與建議</w:t>
      </w:r>
      <w:bookmarkEnd w:id="49"/>
    </w:p>
    <w:p w:rsidR="003807A5" w:rsidRPr="00AC77DF" w:rsidRDefault="00682251" w:rsidP="00145E05">
      <w:pPr>
        <w:pStyle w:val="1--13"/>
        <w:spacing w:before="180" w:after="180"/>
      </w:pPr>
      <w:r w:rsidRPr="008E1832">
        <w:rPr>
          <w:rFonts w:hint="eastAsia"/>
        </w:rPr>
        <w:t>˙</w:t>
      </w:r>
      <w:r w:rsidR="003807A5" w:rsidRPr="00AC77DF">
        <w:t>未妥善維護個資安全</w:t>
      </w:r>
    </w:p>
    <w:p w:rsidR="003807A5" w:rsidRPr="00AC77DF" w:rsidRDefault="003807A5" w:rsidP="00274413">
      <w:pPr>
        <w:pStyle w:val="1---"/>
        <w:ind w:firstLine="480"/>
      </w:pPr>
      <w:r w:rsidRPr="00AC77DF">
        <w:t>臺北市政府於</w:t>
      </w:r>
      <w:r w:rsidRPr="00AC77DF">
        <w:t>100</w:t>
      </w:r>
      <w:r w:rsidRPr="00AC77DF">
        <w:t>年間，將薪資系統主機由內網移至</w:t>
      </w:r>
      <w:r w:rsidRPr="00AC77DF">
        <w:t>DMZ</w:t>
      </w:r>
      <w:r w:rsidRPr="00AC77DF">
        <w:t>區，卻未採取「依業界標準作法標記不予攀爬或索引</w:t>
      </w:r>
      <w:r w:rsidRPr="003D7D47">
        <w:rPr>
          <w:spacing w:val="-30"/>
        </w:rPr>
        <w:t>」、</w:t>
      </w:r>
      <w:r w:rsidRPr="00AC77DF">
        <w:t>「設置防火牆及存取控制白名單」及「建立登入驗證機制」等資安防護措施，致任何人在</w:t>
      </w:r>
      <w:r w:rsidRPr="00AC77DF">
        <w:t>Yahoo</w:t>
      </w:r>
      <w:r w:rsidRPr="00AC77DF">
        <w:t>可搜尋該清冊之員工職稱、姓名、帳戶號碼、薪資明細等資料，遲至</w:t>
      </w:r>
      <w:r w:rsidRPr="00AC77DF">
        <w:t>106</w:t>
      </w:r>
      <w:r w:rsidRPr="00AC77DF">
        <w:t>年</w:t>
      </w:r>
      <w:r w:rsidRPr="00AC77DF">
        <w:t>1</w:t>
      </w:r>
      <w:r w:rsidRPr="00AC77DF">
        <w:t>月</w:t>
      </w:r>
      <w:r w:rsidRPr="00AC77DF">
        <w:t>9</w:t>
      </w:r>
      <w:r w:rsidRPr="00AC77DF">
        <w:t>日接獲通報始知資料外洩而以防火牆設定阻擋並加入認證機制。該府實際清查結果，有</w:t>
      </w:r>
      <w:r w:rsidRPr="00AC77DF">
        <w:t>190</w:t>
      </w:r>
      <w:r w:rsidRPr="00AC77DF">
        <w:t>筆薪資報表檔案連結外露，其中</w:t>
      </w:r>
      <w:r w:rsidRPr="00AC77DF">
        <w:t>18</w:t>
      </w:r>
      <w:r w:rsidRPr="00AC77DF">
        <w:t>張報表連結疑遭</w:t>
      </w:r>
      <w:r w:rsidRPr="00AC77DF">
        <w:t>23</w:t>
      </w:r>
      <w:r w:rsidRPr="00AC77DF">
        <w:t>個外部</w:t>
      </w:r>
      <w:r w:rsidRPr="00AC77DF">
        <w:t>IP</w:t>
      </w:r>
      <w:r w:rsidRPr="00AC77DF">
        <w:t>連結或下載，受影響員工</w:t>
      </w:r>
      <w:r w:rsidRPr="00AC77DF">
        <w:t>2,313</w:t>
      </w:r>
      <w:r w:rsidRPr="00AC77DF">
        <w:t>名。台灣微軟公司發現至少有一個網頁連結到一個目前已不存在的第三人網站，該網站涉嫌惡意個資蒐整或其他不法運用等犯罪。該府未依個資</w:t>
      </w:r>
      <w:r w:rsidRPr="0025002C">
        <w:rPr>
          <w:rFonts w:hint="eastAsia"/>
        </w:rPr>
        <w:t>保護法（簡稱個資法）</w:t>
      </w:r>
      <w:r w:rsidRPr="00AC77DF">
        <w:t>第</w:t>
      </w:r>
      <w:r w:rsidRPr="00AC77DF">
        <w:t>18</w:t>
      </w:r>
      <w:r w:rsidRPr="00AC77DF">
        <w:t>條妥善維護所屬員工個資之安全，讓</w:t>
      </w:r>
      <w:r w:rsidRPr="00AC77DF">
        <w:t>4</w:t>
      </w:r>
      <w:r w:rsidRPr="00AC77DF">
        <w:t>萬餘名員工遭受個資外洩風險長達</w:t>
      </w:r>
      <w:r w:rsidRPr="00AC77DF">
        <w:t>6</w:t>
      </w:r>
      <w:r w:rsidRPr="00AC77DF">
        <w:t>年，使</w:t>
      </w:r>
      <w:r w:rsidRPr="00AC77DF">
        <w:t>2,313</w:t>
      </w:r>
      <w:r w:rsidRPr="00AC77DF">
        <w:t>名員工之薪資報表疑遭外部</w:t>
      </w:r>
      <w:r w:rsidRPr="00AC77DF">
        <w:t>IP</w:t>
      </w:r>
      <w:r w:rsidRPr="00AC77DF">
        <w:t>連結或下載。</w:t>
      </w:r>
    </w:p>
    <w:p w:rsidR="003807A5" w:rsidRPr="00AC77DF" w:rsidRDefault="00682251" w:rsidP="00145E05">
      <w:pPr>
        <w:pStyle w:val="1--13"/>
        <w:spacing w:before="180" w:after="180"/>
      </w:pPr>
      <w:r w:rsidRPr="008E1832">
        <w:rPr>
          <w:rFonts w:hint="eastAsia"/>
        </w:rPr>
        <w:t>˙</w:t>
      </w:r>
      <w:r w:rsidR="003807A5" w:rsidRPr="00AC77DF">
        <w:t>未對個資外洩採取相應措施</w:t>
      </w:r>
    </w:p>
    <w:p w:rsidR="003807A5" w:rsidRPr="00AC77DF" w:rsidRDefault="003807A5" w:rsidP="00274413">
      <w:pPr>
        <w:pStyle w:val="1---"/>
        <w:ind w:firstLine="480"/>
        <w:rPr>
          <w:b/>
        </w:rPr>
      </w:pPr>
      <w:r w:rsidRPr="00AC77DF">
        <w:t>臺北市政府於</w:t>
      </w:r>
      <w:r w:rsidRPr="00AC77DF">
        <w:t>106</w:t>
      </w:r>
      <w:r w:rsidRPr="00AC77DF">
        <w:t>年</w:t>
      </w:r>
      <w:r w:rsidRPr="00AC77DF">
        <w:t>1</w:t>
      </w:r>
      <w:r w:rsidRPr="00AC77DF">
        <w:t>月</w:t>
      </w:r>
      <w:r w:rsidRPr="00AC77DF">
        <w:t>23</w:t>
      </w:r>
      <w:r w:rsidRPr="00AC77DF">
        <w:t>日確認</w:t>
      </w:r>
      <w:r w:rsidRPr="00AC77DF">
        <w:t>2,313</w:t>
      </w:r>
      <w:r w:rsidRPr="00AC77DF">
        <w:t>名員工個資疑遭外洩後，僅先對全府員工發送通知，後函請報表遭外洩之機關單位轉知所屬，告知及建議同仁加強網路銀行密碼強度，未依</w:t>
      </w:r>
      <w:r w:rsidRPr="00AC77DF">
        <w:lastRenderedPageBreak/>
        <w:t>個資法施行細則第</w:t>
      </w:r>
      <w:r w:rsidRPr="00AC77DF">
        <w:t>22</w:t>
      </w:r>
      <w:r w:rsidRPr="00AC77DF">
        <w:t>條第</w:t>
      </w:r>
      <w:r w:rsidRPr="00AC77DF">
        <w:t>2</w:t>
      </w:r>
      <w:r w:rsidRPr="00AC77DF">
        <w:t>項規定，對疑遭個資外洩員工個別通知其個資疑遭外洩之事實及已採取的因應措施，不僅未能保護疑遭個資外洩員工之權益，且易生賠償請求權時效何時起算之爭議。遲至監察院約詢後，始於</w:t>
      </w:r>
      <w:r w:rsidRPr="00AC77DF">
        <w:t>106</w:t>
      </w:r>
      <w:r w:rsidRPr="00AC77DF">
        <w:t>年</w:t>
      </w:r>
      <w:r w:rsidRPr="00AC77DF">
        <w:t>6</w:t>
      </w:r>
      <w:r w:rsidRPr="00AC77DF">
        <w:t>月</w:t>
      </w:r>
      <w:r w:rsidRPr="00AC77DF">
        <w:t>6</w:t>
      </w:r>
      <w:r w:rsidRPr="00AC77DF">
        <w:t>日起，針對</w:t>
      </w:r>
      <w:r w:rsidRPr="00AC77DF">
        <w:t>2,313</w:t>
      </w:r>
      <w:r w:rsidRPr="00AC77DF">
        <w:t>名員工再次發送通知函。</w:t>
      </w:r>
    </w:p>
    <w:p w:rsidR="003807A5" w:rsidRPr="00AC77DF" w:rsidRDefault="003807A5" w:rsidP="00274413">
      <w:pPr>
        <w:pStyle w:val="1---"/>
        <w:ind w:firstLine="480"/>
        <w:rPr>
          <w:b/>
        </w:rPr>
      </w:pPr>
      <w:r w:rsidRPr="00AC77DF">
        <w:t>臺北市政府「智慧支付平台</w:t>
      </w:r>
      <w:r w:rsidRPr="00AC77DF">
        <w:t>pay.taipei</w:t>
      </w:r>
      <w:r w:rsidRPr="00AC77DF">
        <w:t>」及「單一陳情系統</w:t>
      </w:r>
      <w:r w:rsidRPr="00AC77DF">
        <w:t>Hello Taipei</w:t>
      </w:r>
      <w:r w:rsidRPr="00AC77DF">
        <w:t>」資安事件，係因採用國家發展委員會</w:t>
      </w:r>
      <w:r w:rsidRPr="00AC77DF">
        <w:t>GCA SSL</w:t>
      </w:r>
      <w:r w:rsidRPr="00AC77DF">
        <w:t>憑證進行加密，惟該憑證當時與</w:t>
      </w:r>
      <w:r w:rsidRPr="00AC77DF">
        <w:t>Google Play</w:t>
      </w:r>
      <w:r w:rsidRPr="00AC77DF">
        <w:t>尚不相容，該府不察，未能及時督促得標廠商改採其他商業電子憑證，以致短期間連續爆發</w:t>
      </w:r>
      <w:r w:rsidRPr="00AC77DF">
        <w:t>2</w:t>
      </w:r>
      <w:r w:rsidRPr="00AC77DF">
        <w:t>件因未採用</w:t>
      </w:r>
      <w:r w:rsidRPr="00AC77DF">
        <w:t>Https</w:t>
      </w:r>
      <w:r w:rsidRPr="00AC77DF">
        <w:t>加密技術而致個資外洩爭議。又「臺北市政府志工管理整合平台」發生世界大學運動會志工個資外洩事件，行政作業違失情節明確。</w:t>
      </w:r>
    </w:p>
    <w:p w:rsidR="003807A5" w:rsidRPr="00AC77DF" w:rsidRDefault="003807A5" w:rsidP="00274413">
      <w:pPr>
        <w:pStyle w:val="1---"/>
        <w:ind w:firstLine="480"/>
        <w:rPr>
          <w:b/>
        </w:rPr>
      </w:pPr>
      <w:r w:rsidRPr="00AC77DF">
        <w:t>臺北市政府近</w:t>
      </w:r>
      <w:r w:rsidRPr="00AC77DF">
        <w:t>3</w:t>
      </w:r>
      <w:r w:rsidRPr="00AC77DF">
        <w:t>年來（</w:t>
      </w:r>
      <w:r w:rsidRPr="00AC77DF">
        <w:t>104</w:t>
      </w:r>
      <w:r w:rsidRPr="00AC77DF">
        <w:t>年至</w:t>
      </w:r>
      <w:r w:rsidRPr="00AC77DF">
        <w:t>106</w:t>
      </w:r>
      <w:r w:rsidRPr="00AC77DF">
        <w:t>年</w:t>
      </w:r>
      <w:r w:rsidRPr="003D7D47">
        <w:rPr>
          <w:spacing w:val="-30"/>
        </w:rPr>
        <w:t>）</w:t>
      </w:r>
      <w:r w:rsidRPr="00AC77DF">
        <w:t>，共編列約新臺幣</w:t>
      </w:r>
      <w:r>
        <w:t>（</w:t>
      </w:r>
      <w:r>
        <w:rPr>
          <w:rFonts w:hint="eastAsia"/>
        </w:rPr>
        <w:t>下同</w:t>
      </w:r>
      <w:r>
        <w:t>）</w:t>
      </w:r>
      <w:r w:rsidRPr="00AC77DF">
        <w:t>2</w:t>
      </w:r>
      <w:r w:rsidRPr="00AC77DF">
        <w:t>億</w:t>
      </w:r>
      <w:r w:rsidRPr="00AC77DF">
        <w:t>1,258</w:t>
      </w:r>
      <w:r w:rsidRPr="00AC77DF">
        <w:t>萬元之資安防護預算，卻發生資安事件至少</w:t>
      </w:r>
      <w:r w:rsidRPr="00AC77DF">
        <w:t>19</w:t>
      </w:r>
      <w:r w:rsidRPr="00AC77DF">
        <w:t>起，其中</w:t>
      </w:r>
      <w:r w:rsidRPr="00AC77DF">
        <w:t>17</w:t>
      </w:r>
      <w:r w:rsidRPr="00AC77DF">
        <w:t>起有系統漏洞且有明確事證可證實已發生資料遭洩漏、系統或資料遭竄改、業務運作遭影響或系統停頓等情事，依法須通報行政院。高達</w:t>
      </w:r>
      <w:r w:rsidRPr="00AC77DF">
        <w:t>12</w:t>
      </w:r>
      <w:r w:rsidRPr="00AC77DF">
        <w:t>起係肇因於「應用程式漏洞」或「軟硬體漏洞</w:t>
      </w:r>
      <w:r w:rsidRPr="003D7D47">
        <w:rPr>
          <w:spacing w:val="-30"/>
        </w:rPr>
        <w:t>」</w:t>
      </w:r>
      <w:r w:rsidRPr="00AC77DF">
        <w:t>；並有</w:t>
      </w:r>
      <w:r w:rsidRPr="00AC77DF">
        <w:t>2</w:t>
      </w:r>
      <w:r w:rsidRPr="00AC77DF">
        <w:t>起個資外洩、</w:t>
      </w:r>
      <w:r w:rsidRPr="00AC77DF">
        <w:t>6</w:t>
      </w:r>
      <w:r w:rsidRPr="00AC77DF">
        <w:t>起遭外部有心人士實際入侵等嚴重情事。臺北市政府應儘速研謀改善，避免類此情事再度發生，以維護資訊安全。</w:t>
      </w:r>
    </w:p>
    <w:p w:rsidR="003807A5" w:rsidRPr="00AC77DF" w:rsidRDefault="003807A5" w:rsidP="00274413">
      <w:pPr>
        <w:pStyle w:val="1---"/>
        <w:ind w:firstLine="480"/>
      </w:pPr>
      <w:r w:rsidRPr="00AC77DF">
        <w:t>依據本案調查意見</w:t>
      </w:r>
      <w:r w:rsidRPr="00F85A65">
        <w:rPr>
          <w:rStyle w:val="aff2"/>
        </w:rPr>
        <w:footnoteReference w:id="22"/>
      </w:r>
      <w:r w:rsidRPr="00AC77DF">
        <w:t>，監察院糾正臺北市政府，請該府確實檢討改善見復。</w:t>
      </w:r>
    </w:p>
    <w:p w:rsidR="003807A5" w:rsidRPr="00AC77DF" w:rsidRDefault="00A24A51" w:rsidP="00A24A51">
      <w:pPr>
        <w:pStyle w:val="afff1"/>
        <w:spacing w:before="360" w:after="360"/>
      </w:pPr>
      <w:bookmarkStart w:id="50" w:name="_Toc528942481"/>
      <w:r>
        <w:rPr>
          <w:rFonts w:hint="eastAsia"/>
        </w:rPr>
        <w:lastRenderedPageBreak/>
        <w:t>(三)</w:t>
      </w:r>
      <w:r w:rsidR="003807A5" w:rsidRPr="00AC77DF">
        <w:t>政府機關改善情形</w:t>
      </w:r>
      <w:bookmarkEnd w:id="50"/>
    </w:p>
    <w:p w:rsidR="003807A5" w:rsidRPr="00AC77DF" w:rsidRDefault="003807A5" w:rsidP="007373B4">
      <w:pPr>
        <w:pStyle w:val="1---"/>
        <w:ind w:leftChars="100" w:left="600" w:hangingChars="150" w:hanging="360"/>
      </w:pPr>
      <w:r w:rsidRPr="00AC77DF">
        <w:t>1</w:t>
      </w:r>
      <w:r w:rsidRPr="00AC77DF">
        <w:t>、臺北市政府業通盤檢討違失，並進行系統檢測及編列預算進行老舊系統汰換。</w:t>
      </w:r>
    </w:p>
    <w:p w:rsidR="003807A5" w:rsidRPr="00AC77DF" w:rsidRDefault="003807A5" w:rsidP="007373B4">
      <w:pPr>
        <w:pStyle w:val="1---"/>
        <w:ind w:leftChars="100" w:left="600" w:hangingChars="150" w:hanging="360"/>
      </w:pPr>
      <w:r w:rsidRPr="00AC77DF">
        <w:t>2</w:t>
      </w:r>
      <w:r w:rsidRPr="00AC77DF">
        <w:t>、研擬修訂「臺北市政府行動應用軟體（</w:t>
      </w:r>
      <w:r w:rsidR="00C81520">
        <w:t>APP</w:t>
      </w:r>
      <w:r w:rsidRPr="00AC77DF">
        <w:t>）服務發展作業原則</w:t>
      </w:r>
      <w:r w:rsidRPr="003D7D47">
        <w:rPr>
          <w:spacing w:val="-30"/>
        </w:rPr>
        <w:t>」、</w:t>
      </w:r>
      <w:r w:rsidRPr="00AC77DF">
        <w:t>「臺北市政府資訊安全管理規範</w:t>
      </w:r>
      <w:r w:rsidRPr="003D7D47">
        <w:rPr>
          <w:spacing w:val="-30"/>
        </w:rPr>
        <w:t>」、</w:t>
      </w:r>
      <w:r w:rsidRPr="00AC77DF">
        <w:t>「資訊局資訊安全事件管理程序書</w:t>
      </w:r>
      <w:r w:rsidRPr="003D7D47">
        <w:rPr>
          <w:spacing w:val="-30"/>
        </w:rPr>
        <w:t>」、</w:t>
      </w:r>
      <w:r w:rsidRPr="00AC77DF">
        <w:t>「資訊局系統開發與維護程序書」等多項資訊安全作業規範。</w:t>
      </w:r>
    </w:p>
    <w:p w:rsidR="003807A5" w:rsidRPr="00AC77DF" w:rsidRDefault="003807A5" w:rsidP="007373B4">
      <w:pPr>
        <w:pStyle w:val="1---"/>
        <w:ind w:leftChars="100" w:left="600" w:hangingChars="150" w:hanging="360"/>
      </w:pPr>
      <w:r w:rsidRPr="00AC77DF">
        <w:t>3</w:t>
      </w:r>
      <w:r w:rsidRPr="00AC77DF">
        <w:t>、行政院資通安全處亦協助該府進行安全稽核及網路攻防演練，針對所測得之弱點，督促該府進行改善。</w:t>
      </w:r>
    </w:p>
    <w:p w:rsidR="003807A5" w:rsidRPr="00AC77DF" w:rsidRDefault="00A24A51" w:rsidP="00A24A51">
      <w:pPr>
        <w:pStyle w:val="afff1"/>
        <w:spacing w:before="360" w:after="360"/>
      </w:pPr>
      <w:bookmarkStart w:id="51" w:name="_Toc528942482"/>
      <w:r>
        <w:rPr>
          <w:rFonts w:hint="eastAsia"/>
        </w:rPr>
        <w:t>(四)</w:t>
      </w:r>
      <w:r w:rsidR="003807A5" w:rsidRPr="00AC77DF">
        <w:t>案件進展</w:t>
      </w:r>
      <w:bookmarkEnd w:id="51"/>
    </w:p>
    <w:p w:rsidR="00613D6A" w:rsidRDefault="003807A5" w:rsidP="00274413">
      <w:pPr>
        <w:pStyle w:val="1---"/>
        <w:ind w:firstLine="480"/>
        <w:rPr>
          <w:lang w:eastAsia="zh-TW"/>
        </w:rPr>
      </w:pPr>
      <w:r w:rsidRPr="00AC77DF">
        <w:t>本案在監察院監督下，已產生具體成果，後續由臺北市政府督促所屬自行追蹤列管。</w:t>
      </w:r>
    </w:p>
    <w:p w:rsidR="000130AA" w:rsidRPr="00CD2B44" w:rsidRDefault="000130AA" w:rsidP="00CD2B44">
      <w:pPr>
        <w:pStyle w:val="1--16"/>
        <w:spacing w:before="180" w:after="180"/>
      </w:pPr>
      <w:r>
        <w:rPr>
          <w:rFonts w:hint="eastAsia"/>
        </w:rPr>
        <w:t>◆</w:t>
      </w:r>
      <w:r w:rsidRPr="00C44463">
        <w:t>評析</w:t>
      </w:r>
    </w:p>
    <w:p w:rsidR="003807A5" w:rsidRPr="00AC77DF" w:rsidRDefault="003807A5" w:rsidP="00274413">
      <w:pPr>
        <w:pStyle w:val="1---"/>
        <w:ind w:firstLine="480"/>
      </w:pPr>
      <w:r w:rsidRPr="00AC77DF">
        <w:t>依</w:t>
      </w:r>
      <w:r w:rsidRPr="00AC77DF">
        <w:t>2017</w:t>
      </w:r>
      <w:r w:rsidRPr="00AC77DF">
        <w:t>年度「各國人權報告」臺灣部分提及我國憲法規定不得對遭控訴者使用暴力、威脅、利誘、欺騙、或其他不正當手段。就監獄和拘留中心的狀況引起人權關注的部</w:t>
      </w:r>
      <w:r w:rsidR="00245654">
        <w:rPr>
          <w:rFonts w:hint="eastAsia"/>
        </w:rPr>
        <w:t>分</w:t>
      </w:r>
      <w:r w:rsidRPr="00AC77DF">
        <w:t>，並無重要報告。另臺灣尊重公民自由，包括表達自由、網路自由</w:t>
      </w:r>
      <w:r w:rsidR="00877747">
        <w:t>、</w:t>
      </w:r>
      <w:r w:rsidRPr="00AC77DF">
        <w:t>學術與文化活動等自由</w:t>
      </w:r>
      <w:r w:rsidRPr="00AC77DF">
        <w:rPr>
          <w:rStyle w:val="aff2"/>
        </w:rPr>
        <w:footnoteReference w:id="23"/>
      </w:r>
      <w:r w:rsidRPr="00AC77DF">
        <w:t>。</w:t>
      </w:r>
    </w:p>
    <w:p w:rsidR="003807A5" w:rsidRPr="00AC77DF" w:rsidRDefault="003807A5" w:rsidP="00274413">
      <w:pPr>
        <w:pStyle w:val="1---"/>
        <w:ind w:firstLine="480"/>
      </w:pPr>
      <w:r w:rsidRPr="00AC77DF">
        <w:lastRenderedPageBreak/>
        <w:t>兒童權利公約第</w:t>
      </w:r>
      <w:r w:rsidRPr="00AC77DF">
        <w:t>40</w:t>
      </w:r>
      <w:r w:rsidRPr="00AC77DF">
        <w:t>條指</w:t>
      </w:r>
      <w:r w:rsidRPr="00274413">
        <w:t>明</w:t>
      </w:r>
      <w:r w:rsidRPr="00AC77DF">
        <w:t>國家對被指稱、指控或認為涉嫌觸犯刑事法律之兒童，應促進該等兒童重返社會，並促進兒童之尊嚴及價值感，以增強其對他人之人權及基本自由之尊重。監察院調查觸法少年於移送少年法院前之程序案，發現仍有保障不周情事，且未完全符合少事法去刑事化之精神。案經監察院調查後，相關機關已推動修法，並採取改善措施。另為促進出獄人或有再犯之虞者重返社會並能自立更生，監察院對更生人就業輔導機制進行瞭解，並提出相關建議，期能讓更生人出獄後</w:t>
      </w:r>
      <w:r w:rsidR="00FC4121">
        <w:rPr>
          <w:rFonts w:hint="eastAsia"/>
        </w:rPr>
        <w:t>得以</w:t>
      </w:r>
      <w:r w:rsidRPr="00AC77DF">
        <w:t>自立，並</w:t>
      </w:r>
      <w:r w:rsidR="00FC4121">
        <w:t>獲</w:t>
      </w:r>
      <w:r w:rsidR="00FC4121">
        <w:rPr>
          <w:rFonts w:hint="eastAsia"/>
        </w:rPr>
        <w:t>得及時與必要之</w:t>
      </w:r>
      <w:r w:rsidRPr="00AC77DF">
        <w:t>協助。人民在服兵役期間，其自由亦遭受部分限制，監察院亦關注軍中人權議題。除</w:t>
      </w:r>
      <w:r w:rsidR="008B3B86">
        <w:rPr>
          <w:rFonts w:hint="eastAsia"/>
        </w:rPr>
        <w:t>瞭解</w:t>
      </w:r>
      <w:r w:rsidRPr="00AC77DF">
        <w:t>近年軍紀事件與國防部所提專案措施外，亦對</w:t>
      </w:r>
      <w:r w:rsidRPr="00AC77DF">
        <w:t>1952</w:t>
      </w:r>
      <w:r w:rsidRPr="00AC77DF">
        <w:t>年著名的「鹿窟事件」進行調查，並提出多項改進建議，期能強化官兵法紀觀</w:t>
      </w:r>
      <w:r w:rsidR="008B3B86">
        <w:rPr>
          <w:rFonts w:hint="eastAsia"/>
        </w:rPr>
        <w:t>念</w:t>
      </w:r>
      <w:r w:rsidRPr="00AC77DF">
        <w:t>，兼顧軍紀與人權之維護。</w:t>
      </w:r>
    </w:p>
    <w:p w:rsidR="003807A5" w:rsidRPr="00AC77DF" w:rsidRDefault="003807A5" w:rsidP="00274413">
      <w:pPr>
        <w:pStyle w:val="1---"/>
        <w:ind w:firstLine="480"/>
      </w:pPr>
      <w:r w:rsidRPr="00AC77DF">
        <w:t>國家依法應保障人民權益，對於身處海外國人生命財產安全，監察院相當關注。監察院調查臺資阿曼籍漁船遭海盜劫持案，雖認同行政院暨有關部會主張不宜由政府出面與海盜談判或提供贖金，以維護國家打擊海盜與恐怖主義之基本立場，惟政府仍得協助建立溝通平台，並結合民間非政府組織力量營救</w:t>
      </w:r>
      <w:r w:rsidR="008B3B86">
        <w:rPr>
          <w:rFonts w:hint="eastAsia"/>
        </w:rPr>
        <w:t>國人</w:t>
      </w:r>
      <w:r w:rsidRPr="00AC77DF">
        <w:t>。另主管機關應督促船東善盡照顧遭劫船員之責任，保護弱勢漁工權益。</w:t>
      </w:r>
    </w:p>
    <w:p w:rsidR="004E2250" w:rsidRDefault="003807A5" w:rsidP="00274413">
      <w:pPr>
        <w:pStyle w:val="1---"/>
        <w:ind w:firstLine="480"/>
        <w:rPr>
          <w:lang w:eastAsia="zh-TW"/>
        </w:rPr>
      </w:pPr>
      <w:r w:rsidRPr="00AC77DF">
        <w:t>自由權隨著社會文化的變遷，其規範內涵亦不斷調整，我國亦透過司法院釋憲的方式，充實人民權利之界定。例如隱私權並非我國憲法明文列舉之權利，然透過司法院釋字第</w:t>
      </w:r>
      <w:r w:rsidRPr="00AC77DF">
        <w:t>603</w:t>
      </w:r>
      <w:r w:rsidRPr="00AC77DF">
        <w:t>號解釋，已承認隱私權受憲法所保障。基於人性尊嚴與個人主體性之維護及人格發展之完整，隱私權乃為不可或缺之基本權利</w:t>
      </w:r>
      <w:r w:rsidRPr="00AC77DF">
        <w:lastRenderedPageBreak/>
        <w:t>，而受憲法第</w:t>
      </w:r>
      <w:r w:rsidR="00215AD3">
        <w:t>22</w:t>
      </w:r>
      <w:r w:rsidRPr="00AC77DF">
        <w:t>條所保障。至於隱私權的保護範圍為何？依釋字</w:t>
      </w:r>
      <w:r w:rsidR="00051514">
        <w:rPr>
          <w:rFonts w:hint="eastAsia"/>
          <w:lang w:eastAsia="zh-TW"/>
        </w:rPr>
        <w:t>第</w:t>
      </w:r>
      <w:r w:rsidRPr="00AC77DF">
        <w:t>603</w:t>
      </w:r>
      <w:r w:rsidRPr="00AC77DF">
        <w:t>號解釋，可分為「空間隱私」與「私密隱私」兩部分。所謂空間隱私，係指「保障個人生活私密領域免於他人侵擾及個資之自主控制」；所謂私密隱私，係指「保障人民決定是否揭露其個資、及在何種範圍內、於何時、以何種方式、向何人揭露之決定權，並保障人民對其個資之使用有知悉與控制權及資料記載錯誤之更正權。」臺北市政府「薪資發放管理系統」未妥善保護個資，致相關公務員之個資曝光於網路，已侵害人民權益。案經監察院調查後，主管機關已檢討違失，並進行系統改善。期許各機關在執行各項業務時，注意個資之保護，</w:t>
      </w:r>
      <w:r w:rsidR="00BC70C2">
        <w:rPr>
          <w:rFonts w:hint="eastAsia"/>
        </w:rPr>
        <w:t>增</w:t>
      </w:r>
      <w:r w:rsidRPr="00AC77DF">
        <w:t>進個資意識，讓人民隱私權不受侵犯。</w:t>
      </w:r>
    </w:p>
    <w:p w:rsidR="00ED388E" w:rsidRDefault="00ED388E" w:rsidP="00274413">
      <w:pPr>
        <w:pStyle w:val="1---"/>
        <w:ind w:firstLine="480"/>
        <w:rPr>
          <w:lang w:eastAsia="zh-TW"/>
        </w:rPr>
      </w:pPr>
    </w:p>
    <w:p w:rsidR="00973856" w:rsidRDefault="00973856" w:rsidP="00274413">
      <w:pPr>
        <w:pStyle w:val="1---"/>
        <w:ind w:firstLine="480"/>
        <w:rPr>
          <w:lang w:eastAsia="zh-TW"/>
        </w:rPr>
        <w:sectPr w:rsidR="00973856" w:rsidSect="00037CD1">
          <w:headerReference w:type="even" r:id="rId17"/>
          <w:headerReference w:type="default" r:id="rId18"/>
          <w:pgSz w:w="8392" w:h="11907" w:code="11"/>
          <w:pgMar w:top="1701" w:right="794" w:bottom="1134" w:left="964" w:header="624" w:footer="397" w:gutter="0"/>
          <w:cols w:space="425"/>
          <w:docGrid w:type="lines" w:linePitch="360"/>
        </w:sectPr>
      </w:pPr>
    </w:p>
    <w:p w:rsidR="003807A5" w:rsidRPr="00973856" w:rsidRDefault="003807A5" w:rsidP="00973856">
      <w:pPr>
        <w:pStyle w:val="1--"/>
        <w:spacing w:after="180"/>
      </w:pPr>
      <w:bookmarkStart w:id="52" w:name="_Toc535228313"/>
      <w:bookmarkStart w:id="53" w:name="_Toc4058723"/>
      <w:r w:rsidRPr="00AC77DF">
        <w:lastRenderedPageBreak/>
        <w:t>第二章</w:t>
      </w:r>
      <w:r w:rsidRPr="00AC77DF">
        <w:rPr>
          <w:rFonts w:ascii="細明體" w:eastAsia="細明體" w:hAnsi="細明體" w:cs="細明體" w:hint="eastAsia"/>
        </w:rPr>
        <w:t xml:space="preserve">　</w:t>
      </w:r>
      <w:r w:rsidRPr="00AC77DF">
        <w:rPr>
          <w:noProof/>
        </w:rPr>
        <mc:AlternateContent>
          <mc:Choice Requires="wps">
            <w:drawing>
              <wp:anchor distT="0" distB="0" distL="114300" distR="114300" simplePos="0" relativeHeight="251944960" behindDoc="0" locked="1" layoutInCell="1" allowOverlap="1" wp14:anchorId="434B780B" wp14:editId="4149154A">
                <wp:simplePos x="0" y="0"/>
                <wp:positionH relativeFrom="column">
                  <wp:posOffset>7989570</wp:posOffset>
                </wp:positionH>
                <wp:positionV relativeFrom="paragraph">
                  <wp:posOffset>-773430</wp:posOffset>
                </wp:positionV>
                <wp:extent cx="635000" cy="317500"/>
                <wp:effectExtent l="0" t="0" r="0" b="0"/>
                <wp:wrapNone/>
                <wp:docPr id="132" name="記錄"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832" w:rsidRDefault="00970832" w:rsidP="00912880">
                            <w:pPr>
                              <w:jc w:val="center"/>
                              <w:rPr>
                                <w:sz w:val="18"/>
                              </w:rPr>
                            </w:pPr>
                            <w:r>
                              <w:rPr>
                                <w:sz w:val="18"/>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記錄" o:spid="_x0000_s1036" type="#_x0000_t202" style="position:absolute;left:0;text-align:left;margin-left:629.1pt;margin-top:-60.9pt;width:50pt;height:25pt;z-index:2519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" stroked="f">
                <v:textbox>
                  <w:txbxContent>
                    <w:p w:rsidR="00895792" w:rsidRDefault="00895792" w:rsidP="00912880">
                      <w:pPr>
                        <w:jc w:val="center"/>
                        <w:rPr>
                          <w:sz w:val="18"/>
                        </w:rPr>
                      </w:pPr>
                      <w:r>
                        <w:rPr>
                          <w:sz w:val="18"/>
                        </w:rPr>
                        <w:t>00</w:t>
                      </w:r>
                    </w:p>
                  </w:txbxContent>
                </v:textbox>
                <w10:anchorlock/>
              </v:shape>
            </w:pict>
          </mc:Fallback>
        </mc:AlternateContent>
      </w:r>
      <w:r w:rsidRPr="00AC77DF">
        <w:rPr>
          <w:noProof/>
        </w:rPr>
        <mc:AlternateContent>
          <mc:Choice Requires="wpg">
            <w:drawing>
              <wp:anchor distT="0" distB="0" distL="114300" distR="114300" simplePos="0" relativeHeight="251943936" behindDoc="0" locked="1" layoutInCell="0" allowOverlap="1" wp14:anchorId="2BC282D0" wp14:editId="6021319D">
                <wp:simplePos x="0" y="0"/>
                <wp:positionH relativeFrom="column">
                  <wp:posOffset>-2272030</wp:posOffset>
                </wp:positionH>
                <wp:positionV relativeFrom="paragraph">
                  <wp:posOffset>116205</wp:posOffset>
                </wp:positionV>
                <wp:extent cx="149225" cy="8839200"/>
                <wp:effectExtent l="0" t="0" r="3175" b="19050"/>
                <wp:wrapNone/>
                <wp:docPr id="133" name="裝訂線"/>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39200"/>
                          <a:chOff x="745" y="1414"/>
                          <a:chExt cx="235" cy="13920"/>
                        </a:xfrm>
                      </wpg:grpSpPr>
                      <wps:wsp>
                        <wps:cNvPr id="134" name="Line 13"/>
                        <wps:cNvCnPr/>
                        <wps:spPr bwMode="auto">
                          <a:xfrm>
                            <a:off x="851" y="1414"/>
                            <a:ext cx="0" cy="139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5" name="Text Box 14"/>
                        <wps:cNvSpPr txBox="1">
                          <a:spLocks noChangeArrowheads="1"/>
                        </wps:cNvSpPr>
                        <wps:spPr bwMode="auto">
                          <a:xfrm>
                            <a:off x="745" y="5523"/>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912880">
                              <w:pPr>
                                <w:kinsoku w:val="0"/>
                                <w:wordWrap w:val="0"/>
                                <w:overflowPunct w:val="0"/>
                                <w:rPr>
                                  <w:sz w:val="20"/>
                                </w:rPr>
                              </w:pPr>
                              <w:r>
                                <w:rPr>
                                  <w:rFonts w:hint="eastAsia"/>
                                  <w:sz w:val="20"/>
                                </w:rPr>
                                <w:t>裝</w:t>
                              </w:r>
                            </w:p>
                          </w:txbxContent>
                        </wps:txbx>
                        <wps:bodyPr rot="0" vert="horz" wrap="square" lIns="0" tIns="0" rIns="0" bIns="0" anchor="t" anchorCtr="0" upright="1">
                          <a:noAutofit/>
                        </wps:bodyPr>
                      </wps:wsp>
                      <wps:wsp>
                        <wps:cNvPr id="136" name="Text Box 15"/>
                        <wps:cNvSpPr txBox="1">
                          <a:spLocks noChangeArrowheads="1"/>
                        </wps:cNvSpPr>
                        <wps:spPr bwMode="auto">
                          <a:xfrm>
                            <a:off x="745" y="8312"/>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912880">
                              <w:pPr>
                                <w:kinsoku w:val="0"/>
                                <w:wordWrap w:val="0"/>
                                <w:overflowPunct w:val="0"/>
                                <w:rPr>
                                  <w:sz w:val="20"/>
                                </w:rPr>
                              </w:pPr>
                              <w:r>
                                <w:rPr>
                                  <w:rFonts w:hint="eastAsia"/>
                                  <w:sz w:val="20"/>
                                </w:rPr>
                                <w:t>訂</w:t>
                              </w:r>
                            </w:p>
                          </w:txbxContent>
                        </wps:txbx>
                        <wps:bodyPr rot="0" vert="horz" wrap="square" lIns="0" tIns="0" rIns="0" bIns="0" anchor="t" anchorCtr="0" upright="1">
                          <a:noAutofit/>
                        </wps:bodyPr>
                      </wps:wsp>
                      <wps:wsp>
                        <wps:cNvPr id="137" name="Text Box 16"/>
                        <wps:cNvSpPr txBox="1">
                          <a:spLocks noChangeArrowheads="1"/>
                        </wps:cNvSpPr>
                        <wps:spPr bwMode="auto">
                          <a:xfrm>
                            <a:off x="745" y="11127"/>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912880">
                              <w:pPr>
                                <w:kinsoku w:val="0"/>
                                <w:wordWrap w:val="0"/>
                                <w:overflowPunct w:val="0"/>
                                <w:rPr>
                                  <w:sz w:val="20"/>
                                </w:rPr>
                              </w:pPr>
                              <w:r>
                                <w:rPr>
                                  <w:rFonts w:hint="eastAsia"/>
                                  <w:sz w:val="20"/>
                                </w:rPr>
                                <w:t>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裝訂線" o:spid="_x0000_s1037" style="position:absolute;left:0;text-align:left;margin-left:-178.9pt;margin-top:9.15pt;width:11.75pt;height:696pt;z-index:251943936" coordorigin="745,1414" coordsize="235,1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" o:allowincell="f">
                <v:line id="Line 13" o:spid="_x0000_s1038" style="position:absolute;visibility:visible;mso-wrap-style:square" from="851,1414" to="851,1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uSTcQAAADcAAAADwAAAGRycy9kb3ducmV2LnhtbERPS0vDQBC+C/0PyxS82Y0PfMRsSxWE&#10;WvWQaKHHITvdDc3OhuyaxH/fFQRv8/E9p1hNrhUD9aHxrOBykYEgrr1u2Cj4+ny5uAcRIrLG1jMp&#10;+KEAq+XsrMBc+5FLGqpoRArhkKMCG2OXSxlqSw7DwnfEiTv43mFMsDdS9zimcNfKqyy7lQ4bTg0W&#10;O3q2VB+rb6fg7W7T7gzvq/fXQ3jyD9tSfhir1Pl8Wj+CiDTFf/Gfe6PT/Osb+H0mXSCX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C5JNxAAAANwAAAAPAAAAAAAAAAAA&#10;AAAAAKECAABkcnMvZG93bnJldi54bWxQSwUGAAAAAAQABAD5AAAAkgMAAAAA&#10;">
                  <v:stroke dashstyle="1 1"/>
                </v:line>
                <v:shape id="Text Box 14" o:spid="_x0000_s1039" type="#_x0000_t202" style="position:absolute;left:745;top:5523;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E0JMMA&#10;AADcAAAADwAAAGRycy9kb3ducmV2LnhtbERPS2vCQBC+F/wPywi96aYpKRJdQ1sqfeAlMYjHITsm&#10;wexsyG41/nu3IPQ2H99zVtloOnGmwbWWFTzNIxDEldUt1wrK3Wa2AOE8ssbOMim4koNsPXlYYart&#10;hXM6F74WIYRdigoa7/tUSlc1ZNDNbU8cuKMdDPoAh1rqAS8h3HQyjqIXabDl0NBgT+8NVafi1yj4&#10;1nv5lpRRXh0O+vNjs03K+CdR6nE6vi5BeBr9v/ju/tJh/nMCf8+EC+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E0JMMAAADcAAAADwAAAAAAAAAAAAAAAACYAgAAZHJzL2Rv&#10;d25yZXYueG1sUEsFBgAAAAAEAAQA9QAAAIgDAAAAAA==&#10;" filled="f" stroked="f">
                  <v:stroke dashstyle="1 1"/>
                  <v:textbox inset="0,0,0,0">
                    <w:txbxContent>
                      <w:p w:rsidR="00895792" w:rsidRDefault="00895792" w:rsidP="00912880">
                        <w:pPr>
                          <w:kinsoku w:val="0"/>
                          <w:wordWrap w:val="0"/>
                          <w:overflowPunct w:val="0"/>
                          <w:rPr>
                            <w:sz w:val="20"/>
                          </w:rPr>
                        </w:pPr>
                        <w:r>
                          <w:rPr>
                            <w:rFonts w:hint="eastAsia"/>
                            <w:sz w:val="20"/>
                          </w:rPr>
                          <w:t>裝</w:t>
                        </w:r>
                      </w:p>
                    </w:txbxContent>
                  </v:textbox>
                </v:shape>
                <v:shape id="Text Box 15" o:spid="_x0000_s1040" type="#_x0000_t202" style="position:absolute;left:745;top:8312;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OqU8IA&#10;AADcAAAADwAAAGRycy9kb3ducmV2LnhtbERPS4vCMBC+L/gfwix403SVylKNoqL4YC+6ZfE4NGNb&#10;bCaliVr/vRGEvc3H95zJrDWVuFHjSssKvvoRCOLM6pJzBenvuvcNwnlkjZVlUvAgB7Np52OCibZ3&#10;PtDt6HMRQtglqKDwvk6kdFlBBl3f1sSBO9vGoA+wyaVu8B7CTSUHUTSSBksODQXWtCwouxyvRsFO&#10;/8lFnEaH7HTSm9X6J04H+1ip7mc7H4Pw1Pp/8du91WH+cASvZ8IF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E6pTwgAAANwAAAAPAAAAAAAAAAAAAAAAAJgCAABkcnMvZG93&#10;bnJldi54bWxQSwUGAAAAAAQABAD1AAAAhwMAAAAA&#10;" filled="f" stroked="f">
                  <v:stroke dashstyle="1 1"/>
                  <v:textbox inset="0,0,0,0">
                    <w:txbxContent>
                      <w:p w:rsidR="00895792" w:rsidRDefault="00895792" w:rsidP="00912880">
                        <w:pPr>
                          <w:kinsoku w:val="0"/>
                          <w:wordWrap w:val="0"/>
                          <w:overflowPunct w:val="0"/>
                          <w:rPr>
                            <w:sz w:val="20"/>
                          </w:rPr>
                        </w:pPr>
                        <w:r>
                          <w:rPr>
                            <w:rFonts w:hint="eastAsia"/>
                            <w:sz w:val="20"/>
                          </w:rPr>
                          <w:t>訂</w:t>
                        </w:r>
                      </w:p>
                    </w:txbxContent>
                  </v:textbox>
                </v:shape>
                <v:shape id="Text Box 16" o:spid="_x0000_s1041" type="#_x0000_t202" style="position:absolute;left:745;top:11127;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8PyMQA&#10;AADcAAAADwAAAGRycy9kb3ducmV2LnhtbERPTWvCQBC9C/6HZQq91U0tsSVmlbZUWsVLNEiOQ3ZM&#10;gtnZkN1q+u9doeBtHu9z0uVgWnGm3jWWFTxPIhDEpdUNVwry/erpDYTzyBpby6TgjxwsF+NRiom2&#10;F87ovPOVCCHsElRQe98lUrqyJoNuYjviwB1tb9AH2FdS93gJ4aaV0yiaSYMNh4YaO/qsqTztfo2C&#10;tT7IjziPsrIo9PfXahvn002s1OPD8D4H4Wnwd/G/+0eH+S+vcHsmX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fD8jEAAAA3AAAAA8AAAAAAAAAAAAAAAAAmAIAAGRycy9k&#10;b3ducmV2LnhtbFBLBQYAAAAABAAEAPUAAACJAwAAAAA=&#10;" filled="f" stroked="f">
                  <v:stroke dashstyle="1 1"/>
                  <v:textbox inset="0,0,0,0">
                    <w:txbxContent>
                      <w:p w:rsidR="00895792" w:rsidRDefault="00895792" w:rsidP="00912880">
                        <w:pPr>
                          <w:kinsoku w:val="0"/>
                          <w:wordWrap w:val="0"/>
                          <w:overflowPunct w:val="0"/>
                          <w:rPr>
                            <w:sz w:val="20"/>
                          </w:rPr>
                        </w:pPr>
                        <w:r>
                          <w:rPr>
                            <w:rFonts w:hint="eastAsia"/>
                            <w:sz w:val="20"/>
                          </w:rPr>
                          <w:t>線</w:t>
                        </w:r>
                      </w:p>
                    </w:txbxContent>
                  </v:textbox>
                </v:shape>
                <w10:anchorlock/>
              </v:group>
            </w:pict>
          </mc:Fallback>
        </mc:AlternateContent>
      </w:r>
      <w:r w:rsidRPr="00AC77DF">
        <w:rPr>
          <w:noProof/>
        </w:rPr>
        <mc:AlternateContent>
          <mc:Choice Requires="wps">
            <w:drawing>
              <wp:anchor distT="0" distB="0" distL="114300" distR="114300" simplePos="0" relativeHeight="251942912" behindDoc="0" locked="1" layoutInCell="0" allowOverlap="1" wp14:anchorId="74793BE2" wp14:editId="69FB43DC">
                <wp:simplePos x="0" y="0"/>
                <wp:positionH relativeFrom="column">
                  <wp:posOffset>-609600</wp:posOffset>
                </wp:positionH>
                <wp:positionV relativeFrom="page">
                  <wp:posOffset>443230</wp:posOffset>
                </wp:positionV>
                <wp:extent cx="636905" cy="396240"/>
                <wp:effectExtent l="9525" t="5080" r="10795" b="8255"/>
                <wp:wrapNone/>
                <wp:docPr id="138" name="函正本"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832" w:rsidRDefault="00970832" w:rsidP="00912880">
                            <w:pPr>
                              <w:jc w:val="center"/>
                              <w:rPr>
                                <w:color w:val="000000"/>
                                <w:sz w:val="36"/>
                              </w:rPr>
                            </w:pPr>
                            <w:r>
                              <w:rPr>
                                <w:rFonts w:hint="eastAsia"/>
                                <w:color w:val="000000"/>
                                <w:sz w:val="36"/>
                              </w:rPr>
                              <w:t>正本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函正本" o:spid="_x0000_s1042" type="#_x0000_t202" style="position:absolute;left:0;text-align:left;margin-left:-48pt;margin-top:34.9pt;width:50.15pt;height:31.2pt;z-index:251942912;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" o:allowincell="f" filled="f">
                <v:textbox inset=".5mm,,.5mm">
                  <w:txbxContent>
                    <w:p w:rsidR="00895792" w:rsidRDefault="00895792" w:rsidP="00912880">
                      <w:pPr>
                        <w:jc w:val="center"/>
                        <w:rPr>
                          <w:color w:val="000000"/>
                          <w:sz w:val="36"/>
                        </w:rPr>
                      </w:pPr>
                      <w:r>
                        <w:rPr>
                          <w:rFonts w:hint="eastAsia"/>
                          <w:color w:val="000000"/>
                          <w:sz w:val="36"/>
                        </w:rPr>
                        <w:t>正本</w:t>
                      </w:r>
                    </w:p>
                  </w:txbxContent>
                </v:textbox>
                <w10:wrap anchory="page"/>
                <w10:anchorlock/>
              </v:shape>
            </w:pict>
          </mc:Fallback>
        </mc:AlternateContent>
      </w:r>
      <w:r w:rsidRPr="00AC77DF">
        <w:rPr>
          <w:noProof/>
        </w:rPr>
        <mc:AlternateContent>
          <mc:Choice Requires="wps">
            <w:drawing>
              <wp:anchor distT="0" distB="0" distL="114300" distR="114300" simplePos="0" relativeHeight="251941888" behindDoc="0" locked="1" layoutInCell="0" allowOverlap="1" wp14:anchorId="67674B60" wp14:editId="00C396C4">
                <wp:simplePos x="0" y="0"/>
                <wp:positionH relativeFrom="column">
                  <wp:posOffset>-609600</wp:posOffset>
                </wp:positionH>
                <wp:positionV relativeFrom="page">
                  <wp:posOffset>442595</wp:posOffset>
                </wp:positionV>
                <wp:extent cx="636905" cy="396240"/>
                <wp:effectExtent l="9525" t="13970" r="10795" b="8890"/>
                <wp:wrapNone/>
                <wp:docPr id="139" name="函副本"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832" w:rsidRDefault="00970832" w:rsidP="00912880">
                            <w:pPr>
                              <w:jc w:val="center"/>
                              <w:rPr>
                                <w:color w:val="000000"/>
                                <w:sz w:val="36"/>
                              </w:rPr>
                            </w:pPr>
                            <w:r>
                              <w:rPr>
                                <w:rFonts w:hint="eastAsia"/>
                                <w:color w:val="000000"/>
                                <w:sz w:val="36"/>
                              </w:rPr>
                              <w:t>副本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函副本" o:spid="_x0000_s1043" type="#_x0000_t202" style="position:absolute;left:0;text-align:left;margin-left:-48pt;margin-top:34.85pt;width:50.15pt;height:31.2pt;z-index:251941888;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" o:allowincell="f" filled="f">
                <v:textbox inset=".5mm,,.5mm">
                  <w:txbxContent>
                    <w:p w:rsidR="00895792" w:rsidRDefault="00895792" w:rsidP="00912880">
                      <w:pPr>
                        <w:jc w:val="center"/>
                        <w:rPr>
                          <w:color w:val="000000"/>
                          <w:sz w:val="36"/>
                        </w:rPr>
                      </w:pPr>
                      <w:r>
                        <w:rPr>
                          <w:rFonts w:hint="eastAsia"/>
                          <w:color w:val="000000"/>
                          <w:sz w:val="36"/>
                        </w:rPr>
                        <w:t>副本</w:t>
                      </w:r>
                    </w:p>
                  </w:txbxContent>
                </v:textbox>
                <w10:wrap anchory="page"/>
                <w10:anchorlock/>
              </v:shape>
            </w:pict>
          </mc:Fallback>
        </mc:AlternateContent>
      </w:r>
      <w:r w:rsidRPr="00AC77DF">
        <w:rPr>
          <w:noProof/>
        </w:rPr>
        <mc:AlternateContent>
          <mc:Choice Requires="wps">
            <w:drawing>
              <wp:anchor distT="0" distB="0" distL="114300" distR="114300" simplePos="0" relativeHeight="251940864" behindDoc="0" locked="1" layoutInCell="0" allowOverlap="1" wp14:anchorId="6A7B9E77" wp14:editId="237B1D17">
                <wp:simplePos x="0" y="0"/>
                <wp:positionH relativeFrom="column">
                  <wp:posOffset>2819400</wp:posOffset>
                </wp:positionH>
                <wp:positionV relativeFrom="page">
                  <wp:posOffset>443230</wp:posOffset>
                </wp:positionV>
                <wp:extent cx="1440180" cy="360045"/>
                <wp:effectExtent l="9525" t="5080" r="7620" b="6350"/>
                <wp:wrapNone/>
                <wp:docPr id="140" name="首長大名"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970832" w:rsidRDefault="00970832" w:rsidP="00912880">
                            <w:r>
                              <w:rPr>
                                <w:rFonts w:hint="eastAsia"/>
                              </w:rPr>
                              <w:t>院長王○○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首長大名" o:spid="_x0000_s1044" type="#_x0000_t202" style="position:absolute;left:0;text-align:left;margin-left:222pt;margin-top:34.9pt;width:113.4pt;height:28.35pt;z-index:251940864;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" o:allowincell="f">
                <v:textbox>
                  <w:txbxContent>
                    <w:p w:rsidR="00895792" w:rsidRDefault="00895792" w:rsidP="00912880">
                      <w:r>
                        <w:rPr>
                          <w:rFonts w:hint="eastAsia"/>
                        </w:rPr>
                        <w:t>院長王○○</w:t>
                      </w:r>
                    </w:p>
                  </w:txbxContent>
                </v:textbox>
                <w10:wrap anchory="page"/>
                <w10:anchorlock/>
              </v:shape>
            </w:pict>
          </mc:Fallback>
        </mc:AlternateContent>
      </w:r>
      <w:r w:rsidRPr="00AC77DF">
        <w:rPr>
          <w:noProof/>
        </w:rPr>
        <mc:AlternateContent>
          <mc:Choice Requires="wps">
            <w:drawing>
              <wp:anchor distT="0" distB="0" distL="114300" distR="114300" simplePos="0" relativeHeight="251939840" behindDoc="0" locked="1" layoutInCell="0" allowOverlap="1" wp14:anchorId="4517C2D6" wp14:editId="3B9A7085">
                <wp:simplePos x="0" y="0"/>
                <wp:positionH relativeFrom="column">
                  <wp:posOffset>1381125</wp:posOffset>
                </wp:positionH>
                <wp:positionV relativeFrom="page">
                  <wp:posOffset>443230</wp:posOffset>
                </wp:positionV>
                <wp:extent cx="1440180" cy="360045"/>
                <wp:effectExtent l="9525" t="5080" r="7620" b="6350"/>
                <wp:wrapNone/>
                <wp:docPr id="141" name="文別"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970832" w:rsidRDefault="00970832" w:rsidP="00912880">
                            <w:pPr>
                              <w:rPr>
                                <w:rFonts w:ascii="標楷體"/>
                              </w:rPr>
                            </w:pPr>
                            <w:r>
                              <w:rPr>
                                <w:rFonts w:ascii="標楷體" w:hint="eastAsia"/>
                              </w:rPr>
                              <w:t>函;函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別" o:spid="_x0000_s1045" type="#_x0000_t202" style="position:absolute;left:0;text-align:left;margin-left:108.75pt;margin-top:34.9pt;width:113.4pt;height:28.35pt;z-index:251939840;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" o:allowincell="f">
                <v:textbox>
                  <w:txbxContent>
                    <w:p w:rsidR="00895792" w:rsidRDefault="00895792" w:rsidP="00912880">
                      <w:pPr>
                        <w:rPr>
                          <w:rFonts w:ascii="標楷體"/>
                        </w:rPr>
                      </w:pPr>
                      <w:r>
                        <w:rPr>
                          <w:rFonts w:ascii="標楷體" w:hint="eastAsia"/>
                        </w:rPr>
                        <w:t>函;函</w:t>
                      </w:r>
                    </w:p>
                  </w:txbxContent>
                </v:textbox>
                <w10:wrap anchory="page"/>
                <w10:anchorlock/>
              </v:shape>
            </w:pict>
          </mc:Fallback>
        </mc:AlternateContent>
      </w:r>
      <w:r w:rsidRPr="00AC77DF">
        <w:t>平等權</w:t>
      </w:r>
      <w:bookmarkEnd w:id="52"/>
      <w:bookmarkEnd w:id="53"/>
    </w:p>
    <w:p w:rsidR="003807A5" w:rsidRPr="00AC77DF" w:rsidRDefault="003807A5" w:rsidP="001B4E79">
      <w:pPr>
        <w:pStyle w:val="1---"/>
        <w:ind w:firstLine="480"/>
        <w:jc w:val="distribute"/>
      </w:pPr>
      <w:r w:rsidRPr="00AC77DF">
        <w:t>平等和自由一樣，是近代人類追求的價值，且隨時代演進及各國文化不同，所著重內涵亦隨之相異。早期西方強調性別平等、種族平等，後來逐漸衍生出政治、法律地位平等、經濟</w:t>
      </w:r>
      <w:r w:rsidRPr="001B4E79">
        <w:rPr>
          <w:spacing w:val="-2"/>
        </w:rPr>
        <w:t>平等，甚至出現各種共產主義、社會主義、資本主義等觀點</w:t>
      </w:r>
      <w:r w:rsidRPr="001B4E79">
        <w:rPr>
          <w:rStyle w:val="aff2"/>
          <w:spacing w:val="-2"/>
        </w:rPr>
        <w:footnoteReference w:id="24"/>
      </w:r>
      <w:r w:rsidRPr="001B4E79">
        <w:rPr>
          <w:spacing w:val="-2"/>
        </w:rPr>
        <w:t>。</w:t>
      </w:r>
    </w:p>
    <w:p w:rsidR="003807A5" w:rsidRPr="00AC77DF" w:rsidRDefault="003807A5" w:rsidP="00274413">
      <w:pPr>
        <w:pStyle w:val="1---"/>
        <w:ind w:firstLine="480"/>
      </w:pPr>
      <w:r w:rsidRPr="00AC77DF">
        <w:t>一般而言，平等應符合正義，此乃普遍被接受的價值，否則難以禁得起挑戰。由於人類生而不同，故如何界定與落實平等，乃人權核心課題之一。平等的概念可分為絕對的平等與相對的平等，前者指每個人民都享有同等的對待機會；後者指以個人才能或條件為依據，而受到合理比例之對待</w:t>
      </w:r>
      <w:r w:rsidRPr="00AC77DF">
        <w:rPr>
          <w:rStyle w:val="aff2"/>
        </w:rPr>
        <w:footnoteReference w:id="25"/>
      </w:r>
      <w:r w:rsidRPr="00AC77DF">
        <w:t>。平等可以從四大面向加以落實：一是保障人民法律地位的平等，包括保障國民在法律「適用」上的平等，以及國家訂定法律時，要求法律「內容」之平等。此處指的平等並非絕對的平等，而是必須考慮實際狀況的「相對平等</w:t>
      </w:r>
      <w:r w:rsidRPr="001B4E79">
        <w:rPr>
          <w:spacing w:val="-30"/>
        </w:rPr>
        <w:t>」</w:t>
      </w:r>
      <w:r w:rsidRPr="00AC77DF">
        <w:t>。例如未成年人犯罪，其量刑自不應與成年人的犯罪採相同基準；初犯也不應與累犯同樣量刑。二是指政治地位的平等，或參政權的平等。即任何國民在政治方面無階級之分，地位一律平等，尤其在選舉制度之設計上，更不可因性別、人種或教育等因素而有所差異。第三是經濟地位的平等，國家一方面應從稅制著手，對居於經濟優勢者課以較高的累進稅率；另一方面得由社會福利之實施，協助居</w:t>
      </w:r>
      <w:r w:rsidRPr="00AC77DF">
        <w:lastRenderedPageBreak/>
        <w:t>經濟劣勢者能尊嚴的取得生存所需，並能藉此自立、參與社會。第四是受教育地位的平等，即國家有義務保障全體國民享有依其能力接受教育的權利，不因人種、信仰、性別、社會身分、經濟地位與身體障礙，而</w:t>
      </w:r>
      <w:r w:rsidR="00554A75">
        <w:rPr>
          <w:rFonts w:hint="eastAsia"/>
        </w:rPr>
        <w:t>受到</w:t>
      </w:r>
      <w:r w:rsidRPr="00AC77DF">
        <w:t>差別對待。此外，先進國家除負有整備教育設施、環境及平等保障國民接受教育機會的義務外，還須設置各種獎勵制度或特殊教育設備，以保障低收入戶或身心障礙的學齡國民，都能有實質受教育之機會</w:t>
      </w:r>
      <w:r w:rsidRPr="00AC77DF">
        <w:rPr>
          <w:rStyle w:val="aff2"/>
        </w:rPr>
        <w:footnoteReference w:id="26"/>
      </w:r>
      <w:r w:rsidRPr="00AC77DF">
        <w:t>。</w:t>
      </w:r>
    </w:p>
    <w:p w:rsidR="003807A5" w:rsidRPr="00AC77DF" w:rsidRDefault="003807A5" w:rsidP="00274413">
      <w:pPr>
        <w:pStyle w:val="1---"/>
        <w:ind w:firstLine="480"/>
      </w:pPr>
      <w:r w:rsidRPr="00AC77DF">
        <w:t>世界人權宣言前言揭示：「對人類家庭所有成員的固有尊嚴及其平等的和不移的權利的承認，乃是世界自由、正義與和平的基礎。」第</w:t>
      </w:r>
      <w:r w:rsidRPr="00AC77DF">
        <w:t>1</w:t>
      </w:r>
      <w:r w:rsidRPr="00AC77DF">
        <w:t>條更明確指出「人人生而自由，在尊嚴和權利上一律平等。他們賦有理性和良心，並應以兄弟關係的精神相對待</w:t>
      </w:r>
      <w:r w:rsidRPr="001B4E79">
        <w:rPr>
          <w:spacing w:val="-30"/>
        </w:rPr>
        <w:t>。</w:t>
      </w:r>
      <w:r w:rsidRPr="00AC77DF">
        <w:t>」第</w:t>
      </w:r>
      <w:r w:rsidRPr="00AC77DF">
        <w:t>2</w:t>
      </w:r>
      <w:r w:rsidRPr="00AC77DF">
        <w:t>條</w:t>
      </w:r>
      <w:r w:rsidRPr="001B4E79">
        <w:rPr>
          <w:spacing w:val="-30"/>
        </w:rPr>
        <w:t>：</w:t>
      </w:r>
      <w:r w:rsidRPr="00AC77DF">
        <w:t>「人人有資格享受本宣言所載的一切權利和自由，不分種族、膚色、性別、語言、宗教、政治或其他見解、國籍或社會出身、財產、出生或其他身分等任何區別。並且不得因一人所屬的國家或領土的政治的、行政的或者國際的地位之不同而有所區別，無論該領土是獨立領土、托管領土、非自治領土或者處於其他任何主權受限制的情況之下</w:t>
      </w:r>
      <w:r w:rsidRPr="001B4E79">
        <w:rPr>
          <w:spacing w:val="-30"/>
        </w:rPr>
        <w:t>。</w:t>
      </w:r>
      <w:r w:rsidRPr="00AC77DF">
        <w:t>」從人權理論的發展歷程來看，平等權是歷史發展較早且具基礎地位的權利，沒有人可以被任意剝奪平等的權利，其標準是普遍性的，不分種族、膚色、性別、語言、宗教、政治或其他見解、國籍或社會出身、財產、出生或其他身分等任何區別。</w:t>
      </w:r>
    </w:p>
    <w:p w:rsidR="003807A5" w:rsidRPr="00AC77DF" w:rsidRDefault="003807A5" w:rsidP="00274413">
      <w:pPr>
        <w:pStyle w:val="1---"/>
        <w:ind w:firstLine="480"/>
      </w:pPr>
      <w:r w:rsidRPr="00AC77DF">
        <w:t>公民與政治權利國際公約延續世界人權宣言的精神，於前言揭示</w:t>
      </w:r>
      <w:r w:rsidRPr="001B4E79">
        <w:rPr>
          <w:spacing w:val="-30"/>
        </w:rPr>
        <w:t>：</w:t>
      </w:r>
      <w:r w:rsidRPr="00AC77DF">
        <w:t>「依據聯合國憲章揭示之原則，人類一家，對於人人</w:t>
      </w:r>
      <w:r w:rsidRPr="00AC77DF">
        <w:lastRenderedPageBreak/>
        <w:t>天賦尊嚴及其平等而且不可割讓權利之確認，實係世界自由、正義與和平之基礎</w:t>
      </w:r>
      <w:r w:rsidRPr="001B4E79">
        <w:rPr>
          <w:spacing w:val="-30"/>
        </w:rPr>
        <w:t>。</w:t>
      </w:r>
      <w:r w:rsidRPr="00AC77DF">
        <w:t>」第</w:t>
      </w:r>
      <w:r w:rsidRPr="00AC77DF">
        <w:t>2</w:t>
      </w:r>
      <w:r w:rsidRPr="00AC77DF">
        <w:t>條規定：「本公約締約國承允尊重並確保所有境內受其管轄之人，無分種族、膚色、性別、語言、宗教、政見或其他主張民族本源或社會階級、財產、出生或其他身分等等，一律享受本公約所確認之權利</w:t>
      </w:r>
      <w:r w:rsidRPr="001B4E79">
        <w:rPr>
          <w:spacing w:val="-30"/>
        </w:rPr>
        <w:t>。</w:t>
      </w:r>
      <w:r w:rsidRPr="00AC77DF">
        <w:t>」第</w:t>
      </w:r>
      <w:r w:rsidRPr="00AC77DF">
        <w:t>3</w:t>
      </w:r>
      <w:r w:rsidRPr="00AC77DF">
        <w:t>條規定</w:t>
      </w:r>
      <w:r w:rsidRPr="001B4E79">
        <w:rPr>
          <w:spacing w:val="-30"/>
        </w:rPr>
        <w:t>：</w:t>
      </w:r>
      <w:r w:rsidRPr="00AC77DF">
        <w:t>「本公約締約國承允確保本公約所載一切公民及政治權利之享受，男女權利，一律平等</w:t>
      </w:r>
      <w:r w:rsidRPr="001B4E79">
        <w:rPr>
          <w:spacing w:val="-30"/>
        </w:rPr>
        <w:t>。</w:t>
      </w:r>
      <w:r w:rsidRPr="00AC77DF">
        <w:t>」第</w:t>
      </w:r>
      <w:r w:rsidRPr="00AC77DF">
        <w:t>26</w:t>
      </w:r>
      <w:r w:rsidRPr="00AC77DF">
        <w:t>條規定</w:t>
      </w:r>
      <w:r w:rsidRPr="001B4E79">
        <w:rPr>
          <w:spacing w:val="-30"/>
        </w:rPr>
        <w:t>：</w:t>
      </w:r>
      <w:r w:rsidRPr="00AC77DF">
        <w:t>「人人在法律上一律平等，且應受法律平等保護，無所歧視。在此方面，法律應禁止任何歧視，並保證人人享受平等而有效之保護，以防因種族、膚色、性別、語言、宗教、政見或其他主張、民族本源或社會階級、財產、出生或其他身分而生之歧視</w:t>
      </w:r>
      <w:r w:rsidRPr="001B4E79">
        <w:rPr>
          <w:spacing w:val="-30"/>
        </w:rPr>
        <w:t>。</w:t>
      </w:r>
      <w:r w:rsidRPr="00AC77DF">
        <w:t>」第</w:t>
      </w:r>
      <w:r w:rsidRPr="00AC77DF">
        <w:t>25</w:t>
      </w:r>
      <w:r w:rsidRPr="00AC77DF">
        <w:t>條第</w:t>
      </w:r>
      <w:r w:rsidRPr="00AC77DF">
        <w:t>1</w:t>
      </w:r>
      <w:r w:rsidRPr="00AC77DF">
        <w:t>項亦明示，凡屬公民，無分種族、膚色、性別、語言、宗教、政見或其他主張民族本源或社會階級、財產、出生或其他身分等之任何區別，不受無理限制，且應有權利及機會，以直接或經由自由選擇之代表參與政事；在真正、定期之選舉中投票及被選；並以一般平等之條件，服本國公職。</w:t>
      </w:r>
    </w:p>
    <w:p w:rsidR="003807A5" w:rsidRPr="00AC77DF" w:rsidRDefault="003807A5" w:rsidP="00274413">
      <w:pPr>
        <w:pStyle w:val="1---"/>
        <w:ind w:firstLine="480"/>
      </w:pPr>
      <w:r w:rsidRPr="00AC77DF">
        <w:t>聯合國人權事務委員會針對公民與政治權利發布第</w:t>
      </w:r>
      <w:r w:rsidRPr="00AC77DF">
        <w:t>18</w:t>
      </w:r>
      <w:r w:rsidRPr="00AC77DF">
        <w:t>號一般性意見，主張不歧視、法律面前平等以及法律的無差別的平等保障，是保障人權的基本而普遍的原則。因此，締約國應尊重並確保所有境內受其管轄之人，無分種族、膚色、性別、語言、宗教、政見或其他主張、民族本源或社會階級、財產、出生或其他身分等，一律享受</w:t>
      </w:r>
      <w:r w:rsidR="00DB79AD" w:rsidRPr="00DB79AD">
        <w:t>公民與政治權利國際公約</w:t>
      </w:r>
      <w:r w:rsidRPr="00AC77DF">
        <w:t>所確認之權利。第</w:t>
      </w:r>
      <w:r w:rsidRPr="00AC77DF">
        <w:t>26</w:t>
      </w:r>
      <w:r w:rsidRPr="00AC77DF">
        <w:t>條不僅規定所有人在法律面前平等，並有權受法律的平等保障，而且也禁止法律的任何歧視並保證所有的人得到平等的和有效的保障，以免受基於種族、膚色、性別、語言、</w:t>
      </w:r>
      <w:r w:rsidRPr="00AC77DF">
        <w:lastRenderedPageBreak/>
        <w:t>宗教、政見或其他主張、民族本源或社會階級、財產、出生或其他身分等任何理由的歧視。</w:t>
      </w:r>
    </w:p>
    <w:p w:rsidR="003807A5" w:rsidRPr="00AC77DF" w:rsidRDefault="003807A5" w:rsidP="00274413">
      <w:pPr>
        <w:pStyle w:val="1---"/>
        <w:ind w:firstLine="480"/>
      </w:pPr>
      <w:r w:rsidRPr="00AC77DF">
        <w:t>除公民與政治權利國際公約，不歧視和平等的原則亦貫穿經濟社會文化權利國際公約，其「前言」強調「人人平等而且不可割讓之權利</w:t>
      </w:r>
      <w:r w:rsidRPr="001B4E79">
        <w:rPr>
          <w:spacing w:val="-30"/>
        </w:rPr>
        <w:t>」</w:t>
      </w:r>
      <w:r w:rsidRPr="00AC77DF">
        <w:t>，且該公約明確承認「人人」有權享有經濟社會文化權利國際公約規定的權利，特別是工作權、公平和有利的工作條件、工會自由、社會保障、適當生活程度、健康和教育，以及參與文化生活。此外，該公約第</w:t>
      </w:r>
      <w:r w:rsidRPr="00AC77DF">
        <w:t>3</w:t>
      </w:r>
      <w:r w:rsidRPr="00AC77DF">
        <w:t>條要求締約國承允確保男女在享有經濟社會文化權利國際公約權利方面的平等權利；第</w:t>
      </w:r>
      <w:r w:rsidRPr="00AC77DF">
        <w:t>7</w:t>
      </w:r>
      <w:r w:rsidRPr="00AC77DF">
        <w:t>條包括「工作價值相等者享受同等報酬的權利」和「人人有平等升遷機會</w:t>
      </w:r>
      <w:r w:rsidRPr="001B4E79">
        <w:rPr>
          <w:spacing w:val="-30"/>
        </w:rPr>
        <w:t>」</w:t>
      </w:r>
      <w:r w:rsidRPr="00AC77DF">
        <w:t>。</w:t>
      </w:r>
    </w:p>
    <w:p w:rsidR="003807A5" w:rsidRPr="00AC77DF" w:rsidRDefault="003807A5" w:rsidP="00274413">
      <w:pPr>
        <w:pStyle w:val="1---"/>
        <w:ind w:firstLine="480"/>
      </w:pPr>
      <w:r w:rsidRPr="00AC77DF">
        <w:t>聯合國人權事務委員會另就經濟、社會及文化權利，通過第</w:t>
      </w:r>
      <w:r w:rsidRPr="00AC77DF">
        <w:t>20</w:t>
      </w:r>
      <w:r w:rsidRPr="00AC77DF">
        <w:t>號一般性意見，認為歧視影響了經濟、社會及文化權利對世界相當部分人口的落實。不歧視和平等是國際人權法的基本組成部分，對行使和享有經濟、社會、文化權利至關重要。經濟社會文化權利國際公約第</w:t>
      </w:r>
      <w:r w:rsidRPr="00AC77DF">
        <w:t>2</w:t>
      </w:r>
      <w:r w:rsidRPr="00AC77DF">
        <w:t>條第</w:t>
      </w:r>
      <w:r w:rsidRPr="00AC77DF">
        <w:t>2</w:t>
      </w:r>
      <w:r w:rsidRPr="00AC77DF">
        <w:t>項要求締約國在行使規定的每一項經濟、社會及文化權利方面保證沒有歧視，並且只能在推行這些權利時適用不歧視原則。</w:t>
      </w:r>
    </w:p>
    <w:p w:rsidR="003807A5" w:rsidRDefault="003807A5" w:rsidP="00B564FC">
      <w:pPr>
        <w:pStyle w:val="1---"/>
        <w:widowControl/>
        <w:ind w:firstLine="480"/>
        <w:rPr>
          <w:lang w:eastAsia="zh-TW"/>
        </w:rPr>
      </w:pPr>
      <w:r w:rsidRPr="00AC77DF">
        <w:t>我國憲法第</w:t>
      </w:r>
      <w:r w:rsidRPr="00AC77DF">
        <w:t>7</w:t>
      </w:r>
      <w:r w:rsidRPr="00AC77DF">
        <w:t>條規定</w:t>
      </w:r>
      <w:r w:rsidRPr="001B4E79">
        <w:rPr>
          <w:spacing w:val="-30"/>
        </w:rPr>
        <w:t>：</w:t>
      </w:r>
      <w:r w:rsidRPr="00AC77DF">
        <w:t>「中華民國人民，無分男女、宗教、種族、階級、黨派，在法律上一律平等</w:t>
      </w:r>
      <w:r w:rsidRPr="001B4E79">
        <w:rPr>
          <w:spacing w:val="-30"/>
        </w:rPr>
        <w:t>。</w:t>
      </w:r>
      <w:r w:rsidRPr="00AC77DF">
        <w:t>」在受教育機會上，憲法第</w:t>
      </w:r>
      <w:r w:rsidRPr="00AC77DF">
        <w:t>159</w:t>
      </w:r>
      <w:r w:rsidRPr="00AC77DF">
        <w:t>條規定</w:t>
      </w:r>
      <w:r w:rsidRPr="001B4E79">
        <w:rPr>
          <w:spacing w:val="-30"/>
        </w:rPr>
        <w:t>：</w:t>
      </w:r>
      <w:r w:rsidRPr="00AC77DF">
        <w:t>「國民受教育之機會，一律平等</w:t>
      </w:r>
      <w:r w:rsidRPr="001B4E79">
        <w:rPr>
          <w:spacing w:val="-30"/>
        </w:rPr>
        <w:t>。</w:t>
      </w:r>
      <w:r w:rsidRPr="00AC77DF">
        <w:t>」憲法增修條文第</w:t>
      </w:r>
      <w:r w:rsidRPr="00AC77DF">
        <w:t>10</w:t>
      </w:r>
      <w:r w:rsidRPr="00AC77DF">
        <w:t>條第</w:t>
      </w:r>
      <w:r w:rsidRPr="00AC77DF">
        <w:t>6</w:t>
      </w:r>
      <w:r w:rsidRPr="00AC77DF">
        <w:t>項針對性別平等訂有「國家應維護婦女之人格尊嚴，保障婦女之人身安全，消除性別歧視，促進兩性地</w:t>
      </w:r>
      <w:r w:rsidRPr="00AC77DF">
        <w:lastRenderedPageBreak/>
        <w:t>位之實質平等</w:t>
      </w:r>
      <w:r w:rsidRPr="001B4E79">
        <w:rPr>
          <w:spacing w:val="-30"/>
        </w:rPr>
        <w:t>。</w:t>
      </w:r>
      <w:r w:rsidRPr="00AC77DF">
        <w:t>」司法院對平等權之保障亦有多號解釋</w:t>
      </w:r>
      <w:r w:rsidRPr="00AC77DF">
        <w:rPr>
          <w:rStyle w:val="aff2"/>
        </w:rPr>
        <w:footnoteReference w:id="27"/>
      </w:r>
      <w:r w:rsidRPr="00AC77DF">
        <w:t>。例如司法院釋字第</w:t>
      </w:r>
      <w:r w:rsidRPr="00AC77DF">
        <w:t>485</w:t>
      </w:r>
      <w:r w:rsidRPr="00AC77DF">
        <w:t>號解釋，憲法第</w:t>
      </w:r>
      <w:r w:rsidRPr="00AC77DF">
        <w:t>7</w:t>
      </w:r>
      <w:r w:rsidRPr="00AC77DF">
        <w:t>條平等原則係保障人民在法律上地位之實質平等，立法機關基於憲法之價值體系及立法目的，自得斟酌規範事物性質之差異而為合理之區別對待。換言之，憲法上所謂的平等，主要在去除「人為」產生之不平等，使每個人得立於同一水準向上發展</w:t>
      </w:r>
      <w:r w:rsidRPr="00AC77DF">
        <w:rPr>
          <w:rStyle w:val="aff2"/>
        </w:rPr>
        <w:footnoteReference w:id="28"/>
      </w:r>
      <w:r w:rsidRPr="00AC77DF">
        <w:t>。平等權乃我國行憲以來之重要課題，而保障平等權之理念已成為我國司法實務上統一解釋憲法及法令違憲審查之重要準則，亦是維護人權之基本原則。</w:t>
      </w:r>
    </w:p>
    <w:p w:rsidR="001B4E79" w:rsidRDefault="001B4E79" w:rsidP="00274413">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4248"/>
      </w:tblGrid>
      <w:tr w:rsidR="00B564FC" w:rsidTr="00B564FC">
        <w:tc>
          <w:tcPr>
            <w:tcW w:w="4248" w:type="dxa"/>
            <w:shd w:val="clear" w:color="auto" w:fill="D9D9D9" w:themeFill="background1" w:themeFillShade="D9"/>
          </w:tcPr>
          <w:p w:rsidR="00B564FC" w:rsidRDefault="00B564FC" w:rsidP="00B564FC">
            <w:pPr>
              <w:pStyle w:val="11-"/>
              <w:spacing w:before="72" w:after="108"/>
              <w:rPr>
                <w:lang w:eastAsia="zh-TW"/>
              </w:rPr>
            </w:pPr>
            <w:bookmarkStart w:id="54" w:name="_Toc535228314"/>
            <w:bookmarkStart w:id="55" w:name="_Toc4058724"/>
            <w:r w:rsidRPr="00AC77DF">
              <w:t>外籍專業人士子女在臺</w:t>
            </w:r>
            <w:r w:rsidRPr="00AC77DF">
              <w:rPr>
                <w:lang w:eastAsia="zh-HK"/>
              </w:rPr>
              <w:t>之</w:t>
            </w:r>
            <w:r w:rsidRPr="00AC77DF">
              <w:t>權益</w:t>
            </w:r>
            <w:bookmarkEnd w:id="54"/>
            <w:bookmarkEnd w:id="55"/>
          </w:p>
        </w:tc>
      </w:tr>
    </w:tbl>
    <w:p w:rsidR="00560998" w:rsidRPr="00AC77DF" w:rsidRDefault="00560998" w:rsidP="00274413">
      <w:pPr>
        <w:pStyle w:val="1---"/>
        <w:ind w:firstLine="480"/>
        <w:rPr>
          <w:lang w:eastAsia="zh-TW"/>
        </w:rPr>
      </w:pPr>
    </w:p>
    <w:tbl>
      <w:tblPr>
        <w:tblW w:w="0" w:type="auto"/>
        <w:tblLook w:val="04A0" w:firstRow="1" w:lastRow="0" w:firstColumn="1" w:lastColumn="0" w:noHBand="0" w:noVBand="1"/>
      </w:tblPr>
      <w:tblGrid>
        <w:gridCol w:w="6850"/>
      </w:tblGrid>
      <w:tr w:rsidR="003807A5" w:rsidRPr="00AC77DF" w:rsidTr="00B564FC">
        <w:tc>
          <w:tcPr>
            <w:tcW w:w="6850" w:type="dxa"/>
          </w:tcPr>
          <w:tbl>
            <w:tblPr>
              <w:tblStyle w:val="aff5"/>
              <w:tblW w:w="4918" w:type="pct"/>
              <w:tblLook w:val="04A0" w:firstRow="1" w:lastRow="0" w:firstColumn="1" w:lastColumn="0" w:noHBand="0" w:noVBand="1"/>
            </w:tblPr>
            <w:tblGrid>
              <w:gridCol w:w="6515"/>
            </w:tblGrid>
            <w:tr w:rsidR="00934208" w:rsidTr="00B564FC">
              <w:tc>
                <w:tcPr>
                  <w:tcW w:w="5000" w:type="pct"/>
                </w:tcPr>
                <w:p w:rsidR="00934208" w:rsidRPr="00AC77DF" w:rsidRDefault="00934208" w:rsidP="00B564FC">
                  <w:pPr>
                    <w:spacing w:line="360" w:lineRule="exact"/>
                    <w:jc w:val="both"/>
                    <w:rPr>
                      <w:lang w:val="x-none"/>
                    </w:rPr>
                  </w:pPr>
                  <w:r w:rsidRPr="00AC77DF">
                    <w:rPr>
                      <w:b/>
                      <w:lang w:val="x-none"/>
                    </w:rPr>
                    <w:t>相關國際人權公約：</w:t>
                  </w:r>
                  <w:r w:rsidRPr="00AC77DF">
                    <w:t>經濟</w:t>
                  </w:r>
                  <w:r w:rsidRPr="00AC77DF">
                    <w:rPr>
                      <w:lang w:val="x-none"/>
                    </w:rPr>
                    <w:t>社會文化權利國際公約第</w:t>
                  </w:r>
                  <w:r w:rsidRPr="00AC77DF">
                    <w:rPr>
                      <w:lang w:val="x-none"/>
                    </w:rPr>
                    <w:t>2</w:t>
                  </w:r>
                  <w:r w:rsidRPr="00AC77DF">
                    <w:rPr>
                      <w:lang w:val="x-none"/>
                    </w:rPr>
                    <w:t>條、</w:t>
                  </w:r>
                  <w:r w:rsidRPr="00AC77DF">
                    <w:rPr>
                      <w:lang w:val="x-none" w:eastAsia="zh-HK"/>
                    </w:rPr>
                    <w:t>第</w:t>
                  </w:r>
                  <w:r w:rsidRPr="00AC77DF">
                    <w:rPr>
                      <w:lang w:val="x-none" w:eastAsia="zh-HK"/>
                    </w:rPr>
                    <w:t>6</w:t>
                  </w:r>
                  <w:r w:rsidRPr="00AC77DF">
                    <w:rPr>
                      <w:lang w:val="x-none" w:eastAsia="zh-HK"/>
                    </w:rPr>
                    <w:t>條</w:t>
                  </w:r>
                </w:p>
                <w:p w:rsidR="00934208" w:rsidRPr="00AC77DF" w:rsidRDefault="00934208" w:rsidP="00B564FC">
                  <w:pPr>
                    <w:spacing w:line="360" w:lineRule="exact"/>
                    <w:jc w:val="both"/>
                    <w:rPr>
                      <w:b/>
                      <w:lang w:val="x-none"/>
                    </w:rPr>
                  </w:pPr>
                  <w:r w:rsidRPr="00AC77DF">
                    <w:rPr>
                      <w:b/>
                    </w:rPr>
                    <w:t>經濟</w:t>
                  </w:r>
                  <w:r w:rsidRPr="00AC77DF">
                    <w:rPr>
                      <w:b/>
                      <w:lang w:val="x-none"/>
                    </w:rPr>
                    <w:t>社會文化權利國際公約第</w:t>
                  </w:r>
                  <w:r w:rsidRPr="00AC77DF">
                    <w:rPr>
                      <w:b/>
                      <w:lang w:val="x-none"/>
                    </w:rPr>
                    <w:t>2</w:t>
                  </w:r>
                  <w:r w:rsidRPr="00AC77DF">
                    <w:rPr>
                      <w:b/>
                      <w:lang w:val="x-none"/>
                    </w:rPr>
                    <w:t>條</w:t>
                  </w:r>
                </w:p>
                <w:p w:rsidR="00934208" w:rsidRPr="00AC77DF" w:rsidRDefault="00934208" w:rsidP="002D1175">
                  <w:pPr>
                    <w:spacing w:line="360" w:lineRule="exact"/>
                    <w:ind w:left="480" w:hangingChars="200" w:hanging="480"/>
                    <w:jc w:val="both"/>
                    <w:rPr>
                      <w:lang w:val="x-none"/>
                    </w:rPr>
                  </w:pPr>
                  <w:r w:rsidRPr="00AC77DF">
                    <w:rPr>
                      <w:lang w:val="x-none"/>
                    </w:rPr>
                    <w:t>一、本公約締約國承允盡其資源能力所及，各自並藉國際協助與合作，特別在經濟與技術方面之協助與合作採取種</w:t>
                  </w:r>
                  <w:r w:rsidRPr="00AC77DF">
                    <w:rPr>
                      <w:lang w:val="x-none"/>
                    </w:rPr>
                    <w:lastRenderedPageBreak/>
                    <w:t>種步驟，務期以所有適當方法，尤其包括通過立法措施，逐漸使本公約所確認之各種權利完全實現。</w:t>
                  </w:r>
                </w:p>
                <w:p w:rsidR="00934208" w:rsidRPr="00AC77DF" w:rsidRDefault="00934208" w:rsidP="002D1175">
                  <w:pPr>
                    <w:kinsoku w:val="0"/>
                    <w:spacing w:line="360" w:lineRule="exact"/>
                    <w:ind w:left="480" w:hangingChars="200" w:hanging="480"/>
                    <w:jc w:val="both"/>
                    <w:rPr>
                      <w:lang w:val="x-none"/>
                    </w:rPr>
                  </w:pPr>
                  <w:r w:rsidRPr="00AC77DF">
                    <w:rPr>
                      <w:lang w:val="x-none"/>
                    </w:rPr>
                    <w:t>二、本公約締約國承允保證人人行使本公約所載之各種權利，不因種族、膚色、性別、語言、宗教、政見或其他主張、民族本源或社會階級、財產、出生或其他身分等等而受歧視。</w:t>
                  </w:r>
                </w:p>
                <w:p w:rsidR="00934208" w:rsidRPr="00AC77DF" w:rsidRDefault="00934208" w:rsidP="00B564FC">
                  <w:pPr>
                    <w:spacing w:line="360" w:lineRule="exact"/>
                    <w:jc w:val="both"/>
                    <w:rPr>
                      <w:b/>
                      <w:lang w:val="x-none"/>
                    </w:rPr>
                  </w:pPr>
                  <w:r w:rsidRPr="00AC77DF">
                    <w:rPr>
                      <w:b/>
                      <w:lang w:val="x-none"/>
                    </w:rPr>
                    <w:t>經濟社會文化權利國際公約第</w:t>
                  </w:r>
                  <w:r w:rsidRPr="00AC77DF">
                    <w:rPr>
                      <w:b/>
                      <w:lang w:val="x-none"/>
                    </w:rPr>
                    <w:t>6</w:t>
                  </w:r>
                  <w:r w:rsidRPr="00AC77DF">
                    <w:rPr>
                      <w:b/>
                      <w:lang w:val="x-none"/>
                    </w:rPr>
                    <w:t>條</w:t>
                  </w:r>
                </w:p>
                <w:p w:rsidR="00934208" w:rsidRPr="00AC77DF" w:rsidRDefault="00934208" w:rsidP="00DB27F4">
                  <w:pPr>
                    <w:spacing w:line="360" w:lineRule="exact"/>
                    <w:ind w:left="480" w:hangingChars="200" w:hanging="480"/>
                    <w:jc w:val="both"/>
                    <w:rPr>
                      <w:lang w:val="x-none"/>
                    </w:rPr>
                  </w:pPr>
                  <w:r w:rsidRPr="00AC77DF">
                    <w:rPr>
                      <w:lang w:val="x-none"/>
                    </w:rPr>
                    <w:t>一、本公約締約國確認人人有工作之權利，包括人人應有機會憑本人自由選擇或接受之工作謀生之權利，並將採取適當步驟保障之。</w:t>
                  </w:r>
                </w:p>
                <w:p w:rsidR="00934208" w:rsidRDefault="00934208" w:rsidP="00DB27F4">
                  <w:pPr>
                    <w:spacing w:line="360" w:lineRule="exact"/>
                    <w:ind w:left="480" w:hangingChars="200" w:hanging="480"/>
                    <w:jc w:val="both"/>
                  </w:pPr>
                  <w:r w:rsidRPr="00AC77DF">
                    <w:rPr>
                      <w:lang w:val="x-none"/>
                    </w:rPr>
                    <w:t>二、本公約締約國為求完全實現此種權利而須採取之步驟，應包括技術與職業指導及訓練方案、政策與方法，以便在保障個人基本政治與經濟自由之條件下，造成經濟、社會及文化之穩步發展以及充分之生產性就業。</w:t>
                  </w:r>
                </w:p>
              </w:tc>
            </w:tr>
          </w:tbl>
          <w:p w:rsidR="003807A5" w:rsidRPr="00AC77DF" w:rsidRDefault="003807A5" w:rsidP="00B81B4B">
            <w:pPr>
              <w:spacing w:line="440" w:lineRule="exact"/>
              <w:ind w:left="566" w:hangingChars="236" w:hanging="566"/>
            </w:pPr>
          </w:p>
        </w:tc>
      </w:tr>
    </w:tbl>
    <w:p w:rsidR="008C3111" w:rsidRPr="000F67BA" w:rsidRDefault="008C3111" w:rsidP="000F67BA">
      <w:pPr>
        <w:pStyle w:val="1---"/>
        <w:ind w:firstLine="480"/>
      </w:pPr>
    </w:p>
    <w:p w:rsidR="003807A5" w:rsidRPr="00AC77DF" w:rsidRDefault="008C3111" w:rsidP="0024228D">
      <w:pPr>
        <w:pStyle w:val="afff1"/>
        <w:spacing w:before="360" w:after="360"/>
      </w:pPr>
      <w:r>
        <w:rPr>
          <w:rFonts w:hint="eastAsia"/>
        </w:rPr>
        <w:t>(一)</w:t>
      </w:r>
      <w:r w:rsidR="003807A5" w:rsidRPr="00AC77DF">
        <w:t>案情簡述</w:t>
      </w:r>
    </w:p>
    <w:p w:rsidR="003807A5" w:rsidRPr="00AC77DF" w:rsidRDefault="003807A5" w:rsidP="00274413">
      <w:pPr>
        <w:pStyle w:val="1---"/>
        <w:ind w:firstLine="480"/>
      </w:pPr>
      <w:r w:rsidRPr="00AC77DF">
        <w:t>現行入出國及移民法（簡稱移民法</w:t>
      </w:r>
      <w:r w:rsidRPr="000F67BA">
        <w:rPr>
          <w:spacing w:val="-30"/>
        </w:rPr>
        <w:t>）</w:t>
      </w:r>
      <w:r w:rsidRPr="00AC77DF">
        <w:t>、就業服務法及相關子法，未考量外籍專業人士子女之居留權、工作權，致其等雖在我國成長、受教育，卻僅能依親居留，且成年後如欲留臺工作，仍須循僑外生評點制，於符合一定之學歷、工作經驗及薪資等要件下，始能透過雇主申請工作許可。不符合兩公約保障家庭團聚之意旨，亦不利於營造友善之攬才及留才環境。監察委員認有深入瞭解之必要，而立案調查。</w:t>
      </w:r>
    </w:p>
    <w:p w:rsidR="003807A5" w:rsidRPr="00AC77DF" w:rsidRDefault="008C3111" w:rsidP="0024228D">
      <w:pPr>
        <w:pStyle w:val="afff1"/>
        <w:spacing w:before="360" w:after="360"/>
      </w:pPr>
      <w:r>
        <w:rPr>
          <w:rFonts w:hint="eastAsia"/>
        </w:rPr>
        <w:lastRenderedPageBreak/>
        <w:t>(二)</w:t>
      </w:r>
      <w:r w:rsidR="003807A5" w:rsidRPr="00AC77DF">
        <w:t>監察院調查發現與建議</w:t>
      </w:r>
    </w:p>
    <w:p w:rsidR="003807A5" w:rsidRPr="00AC77DF" w:rsidRDefault="00682251" w:rsidP="00145E05">
      <w:pPr>
        <w:pStyle w:val="1--13"/>
        <w:spacing w:before="180" w:after="180"/>
      </w:pPr>
      <w:r w:rsidRPr="008E1832">
        <w:rPr>
          <w:rFonts w:hint="eastAsia"/>
        </w:rPr>
        <w:t>˙</w:t>
      </w:r>
      <w:r w:rsidR="003807A5" w:rsidRPr="00AC77DF">
        <w:t>未考量</w:t>
      </w:r>
      <w:r w:rsidR="00EE4F62" w:rsidRPr="00EE4F62">
        <w:rPr>
          <w:rFonts w:hint="eastAsia"/>
        </w:rPr>
        <w:t>家庭團聚權</w:t>
      </w:r>
    </w:p>
    <w:p w:rsidR="003807A5" w:rsidRPr="00AC77DF" w:rsidRDefault="003807A5" w:rsidP="00274413">
      <w:pPr>
        <w:pStyle w:val="1---"/>
        <w:ind w:firstLine="480"/>
      </w:pPr>
      <w:r w:rsidRPr="00AC77DF">
        <w:t>家庭團聚權係國際公約揭櫫之普世基本人權，移民法為吸引優秀國際人才來臺，及獎勵對我國有特殊貢獻之外籍人士，雖放寬外國人取得永久居留權之門檻，然除投資移民外，未開放專業外籍人士之未成年子女申請永久居留，影響其家庭團聚權之保障。為貫徹我國「人權立國」之基本國策，營造友善之攬才及留才環境，宜儘速推動</w:t>
      </w:r>
      <w:r w:rsidR="00EE4F62">
        <w:rPr>
          <w:rFonts w:hint="eastAsia"/>
        </w:rPr>
        <w:t>相關</w:t>
      </w:r>
      <w:r w:rsidRPr="00AC77DF">
        <w:t>法</w:t>
      </w:r>
      <w:r w:rsidR="00EE4F62">
        <w:rPr>
          <w:rFonts w:hint="eastAsia"/>
        </w:rPr>
        <w:t>制作業</w:t>
      </w:r>
      <w:r w:rsidRPr="00AC77DF">
        <w:t>。</w:t>
      </w:r>
    </w:p>
    <w:p w:rsidR="003807A5" w:rsidRPr="00AC77DF" w:rsidRDefault="00682251" w:rsidP="00145E05">
      <w:pPr>
        <w:pStyle w:val="1--13"/>
        <w:spacing w:before="180" w:after="180"/>
      </w:pPr>
      <w:r w:rsidRPr="008E1832">
        <w:rPr>
          <w:rFonts w:hint="eastAsia"/>
        </w:rPr>
        <w:t>˙</w:t>
      </w:r>
      <w:r w:rsidR="00A06E4C" w:rsidRPr="00AC77DF">
        <w:t>放寬</w:t>
      </w:r>
      <w:r w:rsidR="003807A5" w:rsidRPr="00AC77DF">
        <w:t>外籍專業人士子女在臺工作權</w:t>
      </w:r>
    </w:p>
    <w:p w:rsidR="003807A5" w:rsidRPr="00AC77DF" w:rsidRDefault="003807A5" w:rsidP="00274413">
      <w:pPr>
        <w:pStyle w:val="1---"/>
        <w:ind w:firstLine="480"/>
      </w:pPr>
      <w:r w:rsidRPr="00AC77DF">
        <w:t>就業服務法對外國人工作之限制，尚符合平等原則之要求，惟</w:t>
      </w:r>
      <w:r w:rsidR="00E9352A" w:rsidRPr="00AC77DF">
        <w:t>依現行就業服務法及相關子法，永久居留之外籍專業人士子女如欲在臺工作，仍須循僑外生評點制，於符合一定之學歷、工作經驗及薪資等要件下，始得透過雇主申請工作許可。</w:t>
      </w:r>
      <w:r w:rsidR="00E9352A">
        <w:rPr>
          <w:rFonts w:hint="eastAsia"/>
        </w:rPr>
        <w:t>經查</w:t>
      </w:r>
      <w:r w:rsidRPr="00AC77DF">
        <w:t>各國移民法制多依外國人之居留內容，對其子女之工作權為不同之設計，例如英國持有「依親簽證」者享有與英國公民相同的工作權；法國對具依親居留權的外國人給予工作權保障；香港則規定專業人才配偶及子女獲批簽證來港後，可以在香港受僱工作。</w:t>
      </w:r>
      <w:r w:rsidR="00E9352A">
        <w:rPr>
          <w:rFonts w:hint="eastAsia"/>
        </w:rPr>
        <w:t>建議</w:t>
      </w:r>
      <w:r w:rsidRPr="00AC77DF">
        <w:t>勞動部參酌外國立法例，在不影響國人就業及有助於我國經濟發展之前提下，</w:t>
      </w:r>
      <w:r w:rsidR="00CB347A" w:rsidRPr="00AC77DF">
        <w:t>適度放寬</w:t>
      </w:r>
      <w:r w:rsidR="00E9352A" w:rsidRPr="00AC77DF">
        <w:t>永久居留權之外國人子女</w:t>
      </w:r>
      <w:r w:rsidR="00CB347A" w:rsidRPr="00AC77DF">
        <w:t>在臺就業限制</w:t>
      </w:r>
      <w:r w:rsidR="00CB347A">
        <w:t>，</w:t>
      </w:r>
      <w:r w:rsidR="00CB347A">
        <w:rPr>
          <w:rFonts w:hint="eastAsia"/>
        </w:rPr>
        <w:t>給予其</w:t>
      </w:r>
      <w:r w:rsidR="00E9352A">
        <w:rPr>
          <w:rFonts w:hint="eastAsia"/>
        </w:rPr>
        <w:t>在</w:t>
      </w:r>
      <w:r w:rsidR="00E9352A" w:rsidRPr="00AC77DF">
        <w:t>工作權利與職業選擇自由</w:t>
      </w:r>
      <w:r w:rsidR="00E9352A">
        <w:rPr>
          <w:rFonts w:hint="eastAsia"/>
        </w:rPr>
        <w:t>上</w:t>
      </w:r>
      <w:r w:rsidR="00E9352A" w:rsidRPr="00AC77DF">
        <w:t>較優惠</w:t>
      </w:r>
      <w:r w:rsidR="00CB347A">
        <w:rPr>
          <w:rFonts w:hint="eastAsia"/>
        </w:rPr>
        <w:t>之</w:t>
      </w:r>
      <w:r w:rsidR="00E9352A" w:rsidRPr="00AC77DF">
        <w:t>待遇。</w:t>
      </w:r>
    </w:p>
    <w:p w:rsidR="003807A5" w:rsidRPr="00AC77DF" w:rsidRDefault="003807A5" w:rsidP="00274413">
      <w:pPr>
        <w:pStyle w:val="1---"/>
        <w:ind w:firstLine="480"/>
      </w:pPr>
      <w:r w:rsidRPr="00AC77DF">
        <w:lastRenderedPageBreak/>
        <w:t>依據本案調查意見</w:t>
      </w:r>
      <w:r w:rsidRPr="00F85A65">
        <w:rPr>
          <w:rStyle w:val="aff2"/>
        </w:rPr>
        <w:footnoteReference w:id="29"/>
      </w:r>
      <w:r w:rsidRPr="00AC77DF">
        <w:t>，監察院函請內政部、勞動部共同協商，研擬有效解決方案。</w:t>
      </w:r>
    </w:p>
    <w:p w:rsidR="003807A5" w:rsidRPr="00AC77DF" w:rsidRDefault="008C3111" w:rsidP="0024228D">
      <w:pPr>
        <w:pStyle w:val="afff1"/>
        <w:spacing w:before="360" w:after="360"/>
      </w:pPr>
      <w:r>
        <w:rPr>
          <w:rFonts w:hint="eastAsia"/>
        </w:rPr>
        <w:t>(三)</w:t>
      </w:r>
      <w:r w:rsidR="003807A5" w:rsidRPr="00AC77DF">
        <w:t>政府機關改善情形</w:t>
      </w:r>
    </w:p>
    <w:p w:rsidR="003807A5" w:rsidRPr="00AC77DF" w:rsidRDefault="003807A5" w:rsidP="007373B4">
      <w:pPr>
        <w:pStyle w:val="1---"/>
        <w:ind w:leftChars="100" w:left="600" w:hangingChars="150" w:hanging="360"/>
        <w:rPr>
          <w:b/>
          <w:i/>
        </w:rPr>
      </w:pPr>
      <w:r w:rsidRPr="00AC77DF">
        <w:t>1</w:t>
      </w:r>
      <w:r w:rsidRPr="00AC77DF">
        <w:t>、「外國專業人才延攬及僱用法</w:t>
      </w:r>
      <w:r w:rsidRPr="000F67BA">
        <w:rPr>
          <w:spacing w:val="-30"/>
        </w:rPr>
        <w:t>」</w:t>
      </w:r>
      <w:r w:rsidRPr="00AC77DF">
        <w:t>（</w:t>
      </w:r>
      <w:r w:rsidRPr="00AC77DF">
        <w:t>107</w:t>
      </w:r>
      <w:r w:rsidRPr="00AC77DF">
        <w:t>年</w:t>
      </w:r>
      <w:r w:rsidRPr="00AC77DF">
        <w:t>2</w:t>
      </w:r>
      <w:r w:rsidRPr="00AC77DF">
        <w:t>月</w:t>
      </w:r>
      <w:r w:rsidRPr="00AC77DF">
        <w:t>8</w:t>
      </w:r>
      <w:r w:rsidRPr="00AC77DF">
        <w:t>日施行），業經立法院於</w:t>
      </w:r>
      <w:r w:rsidRPr="00AC77DF">
        <w:t>106</w:t>
      </w:r>
      <w:r w:rsidRPr="00AC77DF">
        <w:t>年</w:t>
      </w:r>
      <w:r w:rsidRPr="00AC77DF">
        <w:t>10</w:t>
      </w:r>
      <w:r w:rsidRPr="00AC77DF">
        <w:t>月</w:t>
      </w:r>
      <w:r w:rsidRPr="00AC77DF">
        <w:t>31</w:t>
      </w:r>
      <w:r w:rsidRPr="00AC77DF">
        <w:t>日三讀通過，同年</w:t>
      </w:r>
      <w:r w:rsidRPr="00AC77DF">
        <w:t>11</w:t>
      </w:r>
      <w:r w:rsidRPr="00AC77DF">
        <w:t>月</w:t>
      </w:r>
      <w:r w:rsidRPr="00AC77DF">
        <w:t>22</w:t>
      </w:r>
      <w:r w:rsidRPr="00AC77DF">
        <w:t>日經總統公布，行政院並於</w:t>
      </w:r>
      <w:r w:rsidRPr="00AC77DF">
        <w:t>107</w:t>
      </w:r>
      <w:r w:rsidRPr="00AC77DF">
        <w:t>年</w:t>
      </w:r>
      <w:r w:rsidRPr="00AC77DF">
        <w:t>1</w:t>
      </w:r>
      <w:r w:rsidRPr="00AC77DF">
        <w:t>月</w:t>
      </w:r>
      <w:r w:rsidRPr="00AC77DF">
        <w:t>29</w:t>
      </w:r>
      <w:r w:rsidRPr="00AC77DF">
        <w:t>日核定自</w:t>
      </w:r>
      <w:r w:rsidRPr="00AC77DF">
        <w:t>107</w:t>
      </w:r>
      <w:r w:rsidRPr="00AC77DF">
        <w:t>年</w:t>
      </w:r>
      <w:r w:rsidRPr="00AC77DF">
        <w:t>2</w:t>
      </w:r>
      <w:r w:rsidRPr="00AC77DF">
        <w:t>月</w:t>
      </w:r>
      <w:r w:rsidRPr="00AC77DF">
        <w:t>8</w:t>
      </w:r>
      <w:r w:rsidRPr="00AC77DF">
        <w:t>日施行。該法針對在臺永久居留之外籍專業人士，其成年子女之居留權、工作權保障，增訂相關配套</w:t>
      </w:r>
      <w:r w:rsidR="0016722D">
        <w:rPr>
          <w:rFonts w:hint="eastAsia"/>
        </w:rPr>
        <w:t>措施，包括</w:t>
      </w:r>
      <w:r w:rsidRPr="00AC77DF">
        <w:t>：</w:t>
      </w:r>
    </w:p>
    <w:p w:rsidR="003807A5" w:rsidRPr="00AC77DF" w:rsidRDefault="003807A5" w:rsidP="00DB32BE">
      <w:pPr>
        <w:pStyle w:val="1---"/>
        <w:ind w:leftChars="200" w:left="1080" w:hangingChars="250" w:hanging="600"/>
      </w:pPr>
      <w:r w:rsidRPr="00AC77DF">
        <w:t>（</w:t>
      </w:r>
      <w:r w:rsidRPr="00AC77DF">
        <w:t>1</w:t>
      </w:r>
      <w:r w:rsidRPr="00AC77DF">
        <w:t>）鬆綁子女停居留規定：該法第</w:t>
      </w:r>
      <w:r w:rsidRPr="00AC77DF">
        <w:t>13</w:t>
      </w:r>
      <w:r w:rsidRPr="00AC77DF">
        <w:t>條及第</w:t>
      </w:r>
      <w:r w:rsidRPr="00AC77DF">
        <w:t>15</w:t>
      </w:r>
      <w:r w:rsidRPr="00AC77DF">
        <w:t>條放寬子女申請永久居留</w:t>
      </w:r>
      <w:r w:rsidR="00C813A9">
        <w:t>，</w:t>
      </w:r>
      <w:r w:rsidRPr="00AC77DF">
        <w:t>放寬高級專業人才之子女得隨同申請</w:t>
      </w:r>
      <w:r w:rsidR="00C813A9">
        <w:t>，</w:t>
      </w:r>
      <w:r w:rsidR="00C813A9">
        <w:rPr>
          <w:rFonts w:hint="eastAsia"/>
        </w:rPr>
        <w:t>並</w:t>
      </w:r>
      <w:r w:rsidRPr="00AC77DF">
        <w:t>延長直系尊親屬探親停留期限。</w:t>
      </w:r>
    </w:p>
    <w:p w:rsidR="003807A5" w:rsidRPr="00AC77DF" w:rsidRDefault="003807A5" w:rsidP="00B31A7D">
      <w:pPr>
        <w:pStyle w:val="1---"/>
        <w:ind w:leftChars="200" w:left="1080" w:hangingChars="250" w:hanging="600"/>
      </w:pPr>
      <w:r w:rsidRPr="00AC77DF">
        <w:t>（</w:t>
      </w:r>
      <w:r w:rsidRPr="00AC77DF">
        <w:t>2</w:t>
      </w:r>
      <w:r w:rsidRPr="00AC77DF">
        <w:t>）該法第</w:t>
      </w:r>
      <w:r w:rsidRPr="00AC77DF">
        <w:t>17</w:t>
      </w:r>
      <w:r w:rsidRPr="00AC77DF">
        <w:t>條針對取得永久居留之外國專業人才，其成年子女符合延長居留條件者，</w:t>
      </w:r>
      <w:r w:rsidR="004C2222">
        <w:rPr>
          <w:rFonts w:hint="eastAsia"/>
          <w:lang w:eastAsia="zh-TW"/>
        </w:rPr>
        <w:t>可以</w:t>
      </w:r>
      <w:r w:rsidRPr="00AC77DF">
        <w:t>比照「就業服務法」第</w:t>
      </w:r>
      <w:r w:rsidRPr="00AC77DF">
        <w:t>51</w:t>
      </w:r>
      <w:r w:rsidRPr="00AC77DF">
        <w:t>條，得不經雇主申請，逕向勞動部申請許可，在我國從事工作，不受就業服務法第</w:t>
      </w:r>
      <w:r w:rsidRPr="00AC77DF">
        <w:t>43</w:t>
      </w:r>
      <w:r w:rsidRPr="00AC77DF">
        <w:t>條規定之限制。</w:t>
      </w:r>
    </w:p>
    <w:p w:rsidR="003807A5" w:rsidRPr="00AC77DF" w:rsidRDefault="003807A5" w:rsidP="00B31A7D">
      <w:pPr>
        <w:pStyle w:val="1---"/>
        <w:ind w:leftChars="200" w:left="1080" w:hangingChars="250" w:hanging="600"/>
      </w:pPr>
      <w:r w:rsidRPr="00AC77DF">
        <w:t>（</w:t>
      </w:r>
      <w:r w:rsidRPr="00AC77DF">
        <w:t>3</w:t>
      </w:r>
      <w:r w:rsidRPr="00AC77DF">
        <w:t>）強化各類留臺誘因，包括：</w:t>
      </w:r>
      <w:r w:rsidRPr="00AC77DF">
        <w:t>a.</w:t>
      </w:r>
      <w:r w:rsidRPr="00AC77DF">
        <w:t>核發外國特定專業人才「就業金卡」，提供自由尋職及轉換工作之便利性；</w:t>
      </w:r>
      <w:r w:rsidRPr="00AC77DF">
        <w:t>b.</w:t>
      </w:r>
      <w:r w:rsidRPr="00AC77DF">
        <w:t>核發外國自由藝術工作者得不經雇主申請個人工作許可；</w:t>
      </w:r>
      <w:r w:rsidRPr="00AC77DF">
        <w:t>c.</w:t>
      </w:r>
      <w:r w:rsidRPr="00AC77DF">
        <w:t>核發外國專業人才來臺尋職簽證；</w:t>
      </w:r>
      <w:r w:rsidRPr="00AC77DF">
        <w:t>d.</w:t>
      </w:r>
      <w:r w:rsidRPr="00AC77DF">
        <w:t>放寬取</w:t>
      </w:r>
      <w:r w:rsidRPr="00AC77DF">
        <w:lastRenderedPageBreak/>
        <w:t>得永久居留者須每年在臺居留</w:t>
      </w:r>
      <w:r w:rsidRPr="00AC77DF">
        <w:t>183</w:t>
      </w:r>
      <w:r w:rsidRPr="00AC77DF">
        <w:t>天以上等規定。</w:t>
      </w:r>
    </w:p>
    <w:p w:rsidR="003807A5" w:rsidRPr="00AC77DF" w:rsidRDefault="003807A5" w:rsidP="007373B4">
      <w:pPr>
        <w:pStyle w:val="1---"/>
        <w:ind w:leftChars="100" w:left="600" w:hangingChars="150" w:hanging="360"/>
        <w:rPr>
          <w:b/>
          <w:i/>
        </w:rPr>
      </w:pPr>
      <w:r w:rsidRPr="00AC77DF">
        <w:t>2</w:t>
      </w:r>
      <w:r w:rsidRPr="00AC77DF">
        <w:t>、我國人才供給赤字嚴重，外國人才專法之施行，有助於營造友善外籍人士之環境，吸引多元優秀人才留臺服務，提升我國生產力及國家競爭力，為我國留才攬才政策立下重要里程碑。</w:t>
      </w:r>
    </w:p>
    <w:p w:rsidR="003807A5" w:rsidRPr="00AC77DF" w:rsidRDefault="008C3111" w:rsidP="0024228D">
      <w:pPr>
        <w:pStyle w:val="afff1"/>
        <w:spacing w:before="360" w:after="360"/>
      </w:pPr>
      <w:r>
        <w:rPr>
          <w:rFonts w:hint="eastAsia"/>
        </w:rPr>
        <w:t>(四)</w:t>
      </w:r>
      <w:r w:rsidR="003807A5" w:rsidRPr="00AC77DF">
        <w:t>案件進展</w:t>
      </w:r>
    </w:p>
    <w:p w:rsidR="003807A5" w:rsidRDefault="003807A5" w:rsidP="00274413">
      <w:pPr>
        <w:pStyle w:val="1---"/>
        <w:ind w:firstLine="480"/>
        <w:rPr>
          <w:lang w:eastAsia="zh-TW"/>
        </w:rPr>
      </w:pPr>
      <w:r w:rsidRPr="00AC77DF">
        <w:t>本案在監察院持續監督追蹤下，已產生具體成果，爰已結案。</w:t>
      </w:r>
    </w:p>
    <w:p w:rsidR="0024228D" w:rsidRDefault="0024228D" w:rsidP="00274413">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4503"/>
      </w:tblGrid>
      <w:tr w:rsidR="00FA49E0" w:rsidTr="00FA49E0">
        <w:tc>
          <w:tcPr>
            <w:tcW w:w="4503" w:type="dxa"/>
            <w:shd w:val="clear" w:color="auto" w:fill="D9D9D9" w:themeFill="background1" w:themeFillShade="D9"/>
          </w:tcPr>
          <w:p w:rsidR="00FA49E0" w:rsidRDefault="00FA49E0" w:rsidP="00FA49E0">
            <w:pPr>
              <w:pStyle w:val="11-"/>
              <w:spacing w:before="72" w:after="108"/>
              <w:rPr>
                <w:lang w:eastAsia="zh-TW"/>
              </w:rPr>
            </w:pPr>
            <w:bookmarkStart w:id="56" w:name="_Toc535228315"/>
            <w:bookmarkStart w:id="57" w:name="_Toc4058725"/>
            <w:r w:rsidRPr="00AC77DF">
              <w:t>婚姻移民及新住民總體政策檢討</w:t>
            </w:r>
            <w:bookmarkEnd w:id="56"/>
            <w:bookmarkEnd w:id="57"/>
          </w:p>
        </w:tc>
      </w:tr>
    </w:tbl>
    <w:p w:rsidR="0024228D" w:rsidRPr="00AC77DF" w:rsidRDefault="0024228D" w:rsidP="00274413">
      <w:pPr>
        <w:pStyle w:val="1---"/>
        <w:ind w:firstLine="480"/>
        <w:rPr>
          <w:lang w:eastAsia="zh-TW"/>
        </w:rPr>
      </w:pPr>
    </w:p>
    <w:tbl>
      <w:tblPr>
        <w:tblStyle w:val="aff5"/>
        <w:tblW w:w="4756" w:type="pct"/>
        <w:tblInd w:w="113" w:type="dxa"/>
        <w:tblLook w:val="04A0" w:firstRow="1" w:lastRow="0" w:firstColumn="1" w:lastColumn="0" w:noHBand="0" w:noVBand="1"/>
      </w:tblPr>
      <w:tblGrid>
        <w:gridCol w:w="6516"/>
      </w:tblGrid>
      <w:tr w:rsidR="006E48B3" w:rsidTr="00FA49E0">
        <w:tc>
          <w:tcPr>
            <w:tcW w:w="5000" w:type="pct"/>
          </w:tcPr>
          <w:p w:rsidR="006E48B3" w:rsidRPr="00AC77DF" w:rsidRDefault="006E48B3" w:rsidP="00FA49E0">
            <w:pPr>
              <w:spacing w:line="360" w:lineRule="exact"/>
              <w:jc w:val="both"/>
              <w:rPr>
                <w:lang w:val="x-none"/>
              </w:rPr>
            </w:pPr>
            <w:r w:rsidRPr="00AC77DF">
              <w:rPr>
                <w:b/>
                <w:lang w:val="x-none"/>
              </w:rPr>
              <w:t>相關國際人權公約：</w:t>
            </w:r>
            <w:r w:rsidRPr="00AC77DF">
              <w:rPr>
                <w:lang w:val="x-none"/>
              </w:rPr>
              <w:t>公民與政治權利國際公約第</w:t>
            </w:r>
            <w:r w:rsidRPr="00AC77DF">
              <w:rPr>
                <w:lang w:val="x-none"/>
              </w:rPr>
              <w:t>23</w:t>
            </w:r>
            <w:r w:rsidRPr="00AC77DF">
              <w:rPr>
                <w:lang w:val="x-none"/>
              </w:rPr>
              <w:t>條第</w:t>
            </w:r>
            <w:r w:rsidRPr="00AC77DF">
              <w:rPr>
                <w:lang w:val="x-none"/>
              </w:rPr>
              <w:t>1</w:t>
            </w:r>
            <w:r w:rsidRPr="00AC77DF">
              <w:rPr>
                <w:lang w:val="x-none"/>
              </w:rPr>
              <w:t>項、經濟社會文化權利國際公約第</w:t>
            </w:r>
            <w:r w:rsidRPr="00AC77DF">
              <w:rPr>
                <w:lang w:val="x-none"/>
              </w:rPr>
              <w:t>10</w:t>
            </w:r>
            <w:r w:rsidRPr="00AC77DF">
              <w:rPr>
                <w:lang w:val="x-none"/>
              </w:rPr>
              <w:t>條第</w:t>
            </w:r>
            <w:r w:rsidRPr="00AC77DF">
              <w:rPr>
                <w:lang w:val="x-none"/>
              </w:rPr>
              <w:t>1</w:t>
            </w:r>
            <w:r w:rsidRPr="00AC77DF">
              <w:rPr>
                <w:lang w:val="x-none"/>
              </w:rPr>
              <w:t>款前段</w:t>
            </w:r>
          </w:p>
          <w:p w:rsidR="006E48B3" w:rsidRPr="00AC77DF" w:rsidRDefault="006E48B3" w:rsidP="00FA49E0">
            <w:pPr>
              <w:spacing w:line="360" w:lineRule="exact"/>
              <w:jc w:val="both"/>
              <w:rPr>
                <w:b/>
                <w:lang w:val="x-none"/>
              </w:rPr>
            </w:pPr>
            <w:r w:rsidRPr="00AC77DF">
              <w:rPr>
                <w:b/>
                <w:lang w:val="x-none"/>
              </w:rPr>
              <w:t>公民與政治權利國際公約第</w:t>
            </w:r>
            <w:r w:rsidRPr="00AC77DF">
              <w:rPr>
                <w:b/>
                <w:lang w:val="x-none"/>
              </w:rPr>
              <w:t>23</w:t>
            </w:r>
            <w:r w:rsidRPr="00AC77DF">
              <w:rPr>
                <w:b/>
                <w:lang w:val="x-none"/>
              </w:rPr>
              <w:t>條</w:t>
            </w:r>
          </w:p>
          <w:p w:rsidR="006E48B3" w:rsidRPr="00AC77DF" w:rsidRDefault="006E48B3" w:rsidP="00301BDD">
            <w:pPr>
              <w:spacing w:line="360" w:lineRule="exact"/>
              <w:ind w:left="480" w:hangingChars="200" w:hanging="480"/>
              <w:jc w:val="both"/>
              <w:rPr>
                <w:lang w:val="x-none"/>
              </w:rPr>
            </w:pPr>
            <w:r w:rsidRPr="00AC77DF">
              <w:rPr>
                <w:lang w:val="x-none"/>
              </w:rPr>
              <w:t>一、家庭為社會之自然基本團體單位，應受社會及國家之保護。</w:t>
            </w:r>
          </w:p>
          <w:p w:rsidR="006E48B3" w:rsidRPr="00AC77DF" w:rsidRDefault="006E48B3" w:rsidP="00301BDD">
            <w:pPr>
              <w:spacing w:line="360" w:lineRule="exact"/>
              <w:ind w:left="480" w:hangingChars="200" w:hanging="480"/>
              <w:jc w:val="both"/>
              <w:rPr>
                <w:lang w:val="x-none"/>
              </w:rPr>
            </w:pPr>
            <w:r w:rsidRPr="00AC77DF">
              <w:rPr>
                <w:lang w:val="x-none"/>
              </w:rPr>
              <w:t>二、男女已達結婚年齡者，其結婚及成立家庭之權利應予確認。</w:t>
            </w:r>
          </w:p>
          <w:p w:rsidR="006E48B3" w:rsidRPr="00AC77DF" w:rsidRDefault="006E48B3" w:rsidP="00301BDD">
            <w:pPr>
              <w:spacing w:line="360" w:lineRule="exact"/>
              <w:ind w:left="480" w:hangingChars="200" w:hanging="480"/>
              <w:jc w:val="both"/>
              <w:rPr>
                <w:lang w:val="x-none"/>
              </w:rPr>
            </w:pPr>
            <w:r w:rsidRPr="00AC77DF">
              <w:rPr>
                <w:lang w:val="x-none"/>
              </w:rPr>
              <w:t>三、婚姻非經婚嫁雙方自由完全同意，不得締結。</w:t>
            </w:r>
          </w:p>
          <w:p w:rsidR="006E48B3" w:rsidRPr="00AC77DF" w:rsidRDefault="006E48B3" w:rsidP="00301BDD">
            <w:pPr>
              <w:spacing w:line="360" w:lineRule="exact"/>
              <w:ind w:left="480" w:hangingChars="200" w:hanging="480"/>
              <w:jc w:val="both"/>
              <w:rPr>
                <w:lang w:val="x-none"/>
              </w:rPr>
            </w:pPr>
            <w:r w:rsidRPr="00AC77DF">
              <w:rPr>
                <w:lang w:val="x-none"/>
              </w:rPr>
              <w:t>四、本公約締約國應採取適當步驟，確保夫妻在婚姻方面，在婚姻關係存續期間，以及在婚姻關係消滅時，雙方權利責任平等。婚姻關係消滅時，應訂定辦法，對子女予</w:t>
            </w:r>
            <w:r w:rsidRPr="00AC77DF">
              <w:rPr>
                <w:lang w:val="x-none"/>
              </w:rPr>
              <w:lastRenderedPageBreak/>
              <w:t>以必要之保護。</w:t>
            </w:r>
          </w:p>
          <w:p w:rsidR="006E48B3" w:rsidRPr="00AC77DF" w:rsidRDefault="006E48B3" w:rsidP="00FA49E0">
            <w:pPr>
              <w:spacing w:line="360" w:lineRule="exact"/>
              <w:jc w:val="both"/>
              <w:rPr>
                <w:b/>
                <w:lang w:val="x-none"/>
              </w:rPr>
            </w:pPr>
            <w:r w:rsidRPr="00AC77DF">
              <w:rPr>
                <w:b/>
                <w:lang w:val="x-none"/>
              </w:rPr>
              <w:t>經濟社會文化權利國際公約第</w:t>
            </w:r>
            <w:r w:rsidRPr="00AC77DF">
              <w:rPr>
                <w:b/>
                <w:lang w:val="x-none"/>
              </w:rPr>
              <w:t>10</w:t>
            </w:r>
            <w:r w:rsidRPr="00AC77DF">
              <w:rPr>
                <w:b/>
                <w:lang w:val="x-none"/>
              </w:rPr>
              <w:t>條</w:t>
            </w:r>
          </w:p>
          <w:p w:rsidR="006E48B3" w:rsidRPr="00AC77DF" w:rsidRDefault="006E48B3" w:rsidP="00FA49E0">
            <w:pPr>
              <w:spacing w:line="360" w:lineRule="exact"/>
              <w:jc w:val="both"/>
              <w:rPr>
                <w:lang w:val="x-none"/>
              </w:rPr>
            </w:pPr>
            <w:r w:rsidRPr="00AC77DF">
              <w:rPr>
                <w:lang w:val="x-none"/>
              </w:rPr>
              <w:t>本公約締約國確認：</w:t>
            </w:r>
          </w:p>
          <w:p w:rsidR="006E48B3" w:rsidRPr="00AC77DF" w:rsidRDefault="006E48B3" w:rsidP="00301BDD">
            <w:pPr>
              <w:spacing w:line="360" w:lineRule="exact"/>
              <w:ind w:left="480" w:hangingChars="200" w:hanging="480"/>
              <w:jc w:val="both"/>
              <w:rPr>
                <w:lang w:val="x-none"/>
              </w:rPr>
            </w:pPr>
            <w:r w:rsidRPr="00AC77DF">
              <w:rPr>
                <w:lang w:val="x-none"/>
              </w:rPr>
              <w:t>一、家庭為社會之自然基本團體單位，應儘力廣予保護與協助，其成立及當其負責養護教育受扶養之兒童時，尤應予以保護與協助。婚姻必須婚嫁雙方自由同意方得締結。</w:t>
            </w:r>
          </w:p>
          <w:p w:rsidR="006E48B3" w:rsidRPr="00AC77DF" w:rsidRDefault="006E48B3" w:rsidP="00301BDD">
            <w:pPr>
              <w:spacing w:line="360" w:lineRule="exact"/>
              <w:ind w:left="480" w:hangingChars="200" w:hanging="480"/>
              <w:jc w:val="both"/>
              <w:rPr>
                <w:lang w:val="x-none"/>
              </w:rPr>
            </w:pPr>
            <w:r w:rsidRPr="00AC77DF">
              <w:rPr>
                <w:lang w:val="x-none"/>
              </w:rPr>
              <w:t>二、母親於分娩前後相當期間內應受特別保護。工作之母親在此期間應享受照給薪資或有適當社會保障福利之休假。</w:t>
            </w:r>
          </w:p>
          <w:p w:rsidR="006E48B3" w:rsidRPr="00AC77DF" w:rsidRDefault="006E48B3" w:rsidP="00301BDD">
            <w:pPr>
              <w:spacing w:line="360" w:lineRule="exact"/>
              <w:ind w:left="480" w:hangingChars="200" w:hanging="480"/>
              <w:jc w:val="both"/>
              <w:rPr>
                <w:b/>
                <w:lang w:val="x-none"/>
              </w:rPr>
            </w:pPr>
            <w:r w:rsidRPr="00AC77DF">
              <w:rPr>
                <w:lang w:val="x-none"/>
              </w:rPr>
              <w:t>三、所有兒童及少年應有特種措施予以保護與協助，不得因出生或其他關係而受任何歧視。兒童及青年應有保障、免受經濟及社會剝削。凡僱用兒童及少年從事對其道德或健康有害、或有生命危險、或可能妨礙正常發育之工作者均應依法懲罰。國家亦應訂定年齡限制，凡出資僱用未及齡之童工，均應禁止並應依法懲罰。</w:t>
            </w:r>
          </w:p>
        </w:tc>
      </w:tr>
    </w:tbl>
    <w:tbl>
      <w:tblPr>
        <w:tblW w:w="0" w:type="auto"/>
        <w:tblLook w:val="04A0" w:firstRow="1" w:lastRow="0" w:firstColumn="1" w:lastColumn="0" w:noHBand="0" w:noVBand="1"/>
      </w:tblPr>
      <w:tblGrid>
        <w:gridCol w:w="6850"/>
      </w:tblGrid>
      <w:tr w:rsidR="003807A5" w:rsidRPr="00AC77DF" w:rsidTr="00B81B4B">
        <w:tc>
          <w:tcPr>
            <w:tcW w:w="9126" w:type="dxa"/>
          </w:tcPr>
          <w:p w:rsidR="003807A5" w:rsidRPr="00AC77DF" w:rsidRDefault="003807A5" w:rsidP="00BF25A0">
            <w:pPr>
              <w:pStyle w:val="1---"/>
              <w:ind w:firstLine="480"/>
            </w:pPr>
          </w:p>
        </w:tc>
      </w:tr>
    </w:tbl>
    <w:p w:rsidR="003807A5" w:rsidRPr="00AC77DF" w:rsidRDefault="00BF25A0" w:rsidP="00BF25A0">
      <w:pPr>
        <w:pStyle w:val="afff1"/>
        <w:spacing w:before="360" w:after="360"/>
      </w:pPr>
      <w:r>
        <w:rPr>
          <w:rFonts w:hint="eastAsia"/>
        </w:rPr>
        <w:t>(一)</w:t>
      </w:r>
      <w:r w:rsidR="003807A5" w:rsidRPr="00AC77DF">
        <w:t>案情簡述</w:t>
      </w:r>
    </w:p>
    <w:p w:rsidR="003807A5" w:rsidRDefault="003807A5" w:rsidP="00274413">
      <w:pPr>
        <w:pStyle w:val="1---"/>
        <w:ind w:firstLine="480"/>
        <w:rPr>
          <w:lang w:eastAsia="zh-TW"/>
        </w:rPr>
      </w:pPr>
      <w:r w:rsidRPr="00AC77DF">
        <w:t>我國婚姻移民之面談、簽證審核及境內管理制度與法規等，實施多年來已浮現諸多問題，</w:t>
      </w:r>
      <w:r w:rsidR="007C5C86">
        <w:rPr>
          <w:rFonts w:hint="eastAsia"/>
        </w:rPr>
        <w:t>為瞭解</w:t>
      </w:r>
      <w:r w:rsidRPr="00AC77DF">
        <w:t>相關部會</w:t>
      </w:r>
      <w:r w:rsidR="007C5C86">
        <w:rPr>
          <w:rFonts w:hint="eastAsia"/>
        </w:rPr>
        <w:t>對</w:t>
      </w:r>
      <w:r w:rsidRPr="00AC77DF">
        <w:t>我國人口結構轉型及新住民總體政策，監察</w:t>
      </w:r>
      <w:r w:rsidR="007C5C86">
        <w:rPr>
          <w:rFonts w:hint="eastAsia"/>
        </w:rPr>
        <w:t>委員</w:t>
      </w:r>
      <w:r w:rsidRPr="00AC77DF">
        <w:t>爰立案調查。</w:t>
      </w:r>
    </w:p>
    <w:p w:rsidR="00765285" w:rsidRPr="00AC77DF" w:rsidRDefault="00765285" w:rsidP="00274413">
      <w:pPr>
        <w:pStyle w:val="1---"/>
        <w:ind w:firstLine="480"/>
        <w:rPr>
          <w:b/>
          <w:lang w:eastAsia="zh-TW"/>
        </w:rPr>
      </w:pPr>
    </w:p>
    <w:p w:rsidR="003807A5" w:rsidRPr="00AC77DF" w:rsidRDefault="00BF25A0" w:rsidP="00BF25A0">
      <w:pPr>
        <w:pStyle w:val="afff1"/>
        <w:spacing w:before="360" w:after="360"/>
      </w:pPr>
      <w:r>
        <w:rPr>
          <w:rFonts w:hint="eastAsia"/>
        </w:rPr>
        <w:lastRenderedPageBreak/>
        <w:t>(二)</w:t>
      </w:r>
      <w:r w:rsidR="003807A5" w:rsidRPr="00AC77DF">
        <w:t>監察院調查發現與建議</w:t>
      </w:r>
    </w:p>
    <w:p w:rsidR="003807A5" w:rsidRPr="00AC77DF" w:rsidRDefault="00682251" w:rsidP="00145E05">
      <w:pPr>
        <w:pStyle w:val="1--13"/>
        <w:spacing w:before="180" w:after="180"/>
      </w:pPr>
      <w:r w:rsidRPr="008E1832">
        <w:rPr>
          <w:rFonts w:hint="eastAsia"/>
        </w:rPr>
        <w:t>˙</w:t>
      </w:r>
      <w:r w:rsidR="003807A5" w:rsidRPr="00AC77DF">
        <w:t>促進婚姻與家庭權利實現</w:t>
      </w:r>
    </w:p>
    <w:p w:rsidR="003807A5" w:rsidRPr="00AC77DF" w:rsidRDefault="003807A5" w:rsidP="00274413">
      <w:pPr>
        <w:pStyle w:val="1---"/>
        <w:ind w:firstLine="480"/>
      </w:pPr>
      <w:r w:rsidRPr="00AC77DF">
        <w:t>臺灣近一、二十年來，除因經濟發展需求一方面大量引進外籍勞工；另一方面因經商、旅遊等之接觸頻繁，國人與外國人或大陸地區人民結婚比例也逐年提高，人口結構產生劇烈變化，然因我國適當人口政策迄未成型，下位法令僅能就現狀加以調整，致目前外來移入者仍以婚姻移</w:t>
      </w:r>
      <w:r w:rsidR="004535B5">
        <w:rPr>
          <w:rFonts w:hint="eastAsia"/>
        </w:rPr>
        <w:t>民</w:t>
      </w:r>
      <w:r w:rsidRPr="00AC77DF">
        <w:t>最多，占比</w:t>
      </w:r>
      <w:r w:rsidRPr="00765285">
        <w:rPr>
          <w:spacing w:val="-20"/>
        </w:rPr>
        <w:t>約</w:t>
      </w:r>
      <w:r w:rsidRPr="00AC77DF">
        <w:t>95%</w:t>
      </w:r>
      <w:r w:rsidRPr="00AC77DF">
        <w:t>。他們來臺後所面臨適應與生存之問題往往超越法律限制，而依現行法規，外國人或大陸地區人民與臺灣地區人民所組成家庭應為本國（臺灣）家庭，享有家庭團聚及共同生活權</w:t>
      </w:r>
      <w:r w:rsidR="00603561">
        <w:t>；</w:t>
      </w:r>
      <w:r w:rsidRPr="00AC77DF">
        <w:t>且按兩公約規定，彼等應受社會及國家平等保護，憲法並給予制度性保障。政府機關於行使相關職權，應儘可能促進其婚姻與家庭權利實現，並協助</w:t>
      </w:r>
      <w:r w:rsidR="004535B5" w:rsidRPr="00AC77DF">
        <w:t>來臺</w:t>
      </w:r>
      <w:r w:rsidRPr="00AC77DF">
        <w:t>婚姻移民儘速融入臺灣社會。</w:t>
      </w:r>
    </w:p>
    <w:p w:rsidR="003807A5" w:rsidRPr="00AC77DF" w:rsidRDefault="00682251" w:rsidP="00145E05">
      <w:pPr>
        <w:pStyle w:val="1--13"/>
        <w:spacing w:before="180" w:after="180"/>
      </w:pPr>
      <w:r w:rsidRPr="008E1832">
        <w:rPr>
          <w:rFonts w:hint="eastAsia"/>
        </w:rPr>
        <w:t>˙</w:t>
      </w:r>
      <w:r w:rsidR="003807A5" w:rsidRPr="00AC77DF">
        <w:t>婚姻面談制度未盡周延</w:t>
      </w:r>
    </w:p>
    <w:p w:rsidR="003807A5" w:rsidRPr="00AC77DF" w:rsidRDefault="003807A5" w:rsidP="00274413">
      <w:pPr>
        <w:pStyle w:val="1---"/>
        <w:ind w:firstLine="480"/>
        <w:rPr>
          <w:b/>
        </w:rPr>
      </w:pPr>
      <w:r w:rsidRPr="00AC77DF">
        <w:t>現行婚姻面談制度之實施對象，包括特定</w:t>
      </w:r>
      <w:r w:rsidRPr="00AC77DF">
        <w:t>21</w:t>
      </w:r>
      <w:r w:rsidRPr="00AC77DF">
        <w:t>國與大陸地區人民，且對越南與大陸地區之拒件率相對偏高，形成差別待遇。惟考量我國特殊政治生態、國家安全與人口政策，主管機關宜循序漸進，力謀周延，兼顧基本人權。</w:t>
      </w:r>
    </w:p>
    <w:p w:rsidR="003807A5" w:rsidRPr="00AC77DF" w:rsidRDefault="003807A5" w:rsidP="00274413">
      <w:pPr>
        <w:pStyle w:val="1---"/>
        <w:ind w:firstLine="480"/>
      </w:pPr>
      <w:r w:rsidRPr="00AC77DF">
        <w:t>現行面談制度之創設係以查核婚姻真實性為手段，</w:t>
      </w:r>
      <w:r w:rsidR="00854E48">
        <w:rPr>
          <w:rFonts w:hint="eastAsia"/>
        </w:rPr>
        <w:t>以</w:t>
      </w:r>
      <w:r w:rsidRPr="00AC77DF">
        <w:t>踐行防止人口販運並杜絕外來人口來臺從事違法（規）活動或工作，致生危害社會治安及國家安全情事</w:t>
      </w:r>
      <w:r w:rsidR="00854E48">
        <w:t>。</w:t>
      </w:r>
      <w:r w:rsidRPr="00AC77DF">
        <w:t>惟依據現行法令與實務，就通過「境外面談」或「國境線面談」之外配與陸配，仍得</w:t>
      </w:r>
      <w:r w:rsidRPr="00AC77DF">
        <w:lastRenderedPageBreak/>
        <w:t>透過平日查察同居情形認定為「虛偽婚姻」，主管機關就「婚姻真實性」之認定主要仍取決於夫妻「共同生活事實」。然若乏其他判斷基準加以補強，有關判斷「婚姻真實性」之目的與手段相互間之合理關連性，將有所欠缺，並涉妨礙國人與其結婚對象之家庭團聚權，似違</w:t>
      </w:r>
      <w:r w:rsidR="00854E48">
        <w:rPr>
          <w:rFonts w:hint="eastAsia"/>
        </w:rPr>
        <w:t>反</w:t>
      </w:r>
      <w:r w:rsidRPr="00AC77DF">
        <w:t>「憲法」第</w:t>
      </w:r>
      <w:r w:rsidRPr="00AC77DF">
        <w:t>7</w:t>
      </w:r>
      <w:r w:rsidRPr="00AC77DF">
        <w:t>條平等權之保障。</w:t>
      </w:r>
    </w:p>
    <w:p w:rsidR="003807A5" w:rsidRPr="00765285" w:rsidRDefault="003807A5" w:rsidP="00765285">
      <w:pPr>
        <w:pStyle w:val="1---"/>
        <w:ind w:firstLine="480"/>
      </w:pPr>
      <w:r w:rsidRPr="00AC77DF">
        <w:t>內政部撤銷停留許可處分書僅記載「面談管理辦法」</w:t>
      </w:r>
      <w:r w:rsidRPr="00765285">
        <w:rPr>
          <w:spacing w:val="-20"/>
        </w:rPr>
        <w:t>第</w:t>
      </w:r>
      <w:r w:rsidRPr="00AC77DF">
        <w:t>14</w:t>
      </w:r>
      <w:r w:rsidRPr="00AC77DF">
        <w:t>條規範內容，形同未附理由，似不符「行政程序法」第</w:t>
      </w:r>
      <w:r w:rsidRPr="00AC77DF">
        <w:t>96</w:t>
      </w:r>
      <w:r w:rsidRPr="00AC77DF">
        <w:t>條第</w:t>
      </w:r>
      <w:r w:rsidRPr="00AC77DF">
        <w:t>1</w:t>
      </w:r>
      <w:r w:rsidRPr="00AC77DF">
        <w:t>項第</w:t>
      </w:r>
      <w:r w:rsidRPr="00AC77DF">
        <w:t>2</w:t>
      </w:r>
      <w:r w:rsidRPr="00AC77DF">
        <w:t>款規定；又該部拒絕提供受行政處分當事人與利害關係人調閱面談筆錄與錄影音資料，涉有侵害其訴訟基本權，不符「憲法」制度性保障意旨。</w:t>
      </w:r>
    </w:p>
    <w:p w:rsidR="003807A5" w:rsidRPr="00AC77DF" w:rsidRDefault="003807A5" w:rsidP="00765285">
      <w:pPr>
        <w:pStyle w:val="1---"/>
        <w:ind w:firstLine="480"/>
        <w:rPr>
          <w:b/>
        </w:rPr>
      </w:pPr>
      <w:r w:rsidRPr="00AC77DF">
        <w:t>最高行政法院就外配與陸配之團聚或居留許可等有關不利行政處分，認本國籍配偶欠缺行政爭訟之當事人適格，與「行政訴訟法」第</w:t>
      </w:r>
      <w:r w:rsidRPr="00AC77DF">
        <w:t>2</w:t>
      </w:r>
      <w:r w:rsidRPr="00AC77DF">
        <w:t>條未盡相符，且侵害訴訟基本權，有違正當法律程序原則。</w:t>
      </w:r>
    </w:p>
    <w:p w:rsidR="003807A5" w:rsidRPr="00AC77DF" w:rsidRDefault="00682251" w:rsidP="00145E05">
      <w:pPr>
        <w:pStyle w:val="1--13"/>
        <w:spacing w:before="180" w:after="180"/>
      </w:pPr>
      <w:r w:rsidRPr="008E1832">
        <w:rPr>
          <w:rFonts w:hint="eastAsia"/>
        </w:rPr>
        <w:t>˙</w:t>
      </w:r>
      <w:r w:rsidR="003807A5" w:rsidRPr="00AC77DF">
        <w:t>落實照顧新住民及其子女</w:t>
      </w:r>
    </w:p>
    <w:p w:rsidR="003807A5" w:rsidRPr="00AC77DF" w:rsidRDefault="003807A5" w:rsidP="00274413">
      <w:pPr>
        <w:pStyle w:val="1---"/>
        <w:spacing w:after="180"/>
        <w:ind w:firstLine="480"/>
        <w:rPr>
          <w:b/>
        </w:rPr>
      </w:pPr>
      <w:r w:rsidRPr="00AC77DF">
        <w:t>內政部入出國及移民署實施查察及</w:t>
      </w:r>
      <w:r w:rsidR="004535B5" w:rsidRPr="00AC77DF">
        <w:t>執行</w:t>
      </w:r>
      <w:r w:rsidRPr="00AC77DF">
        <w:t>查察之</w:t>
      </w:r>
      <w:r w:rsidR="004535B5" w:rsidRPr="00AC77DF">
        <w:t>登記辦法</w:t>
      </w:r>
      <w:r w:rsidRPr="00AC77DF">
        <w:t>，造成經面談通過之陸配或外配，其婚姻真實性遭移民署藉由不時查察予以推翻，目前該部不區分移民法第</w:t>
      </w:r>
      <w:r w:rsidRPr="00AC77DF">
        <w:t>70</w:t>
      </w:r>
      <w:r w:rsidRPr="00AC77DF">
        <w:t>條及第</w:t>
      </w:r>
      <w:r w:rsidRPr="00AC77DF">
        <w:t>71</w:t>
      </w:r>
      <w:r w:rsidRPr="00AC77DF">
        <w:t>條規範內涵之不同，透過該法第</w:t>
      </w:r>
      <w:r w:rsidRPr="00AC77DF">
        <w:t>71</w:t>
      </w:r>
      <w:r w:rsidRPr="00AC77DF">
        <w:t>條與前揭辦法第</w:t>
      </w:r>
      <w:r w:rsidRPr="00AC77DF">
        <w:t>3</w:t>
      </w:r>
      <w:r w:rsidRPr="00AC77DF">
        <w:t>條規定為不定期查察，致其在臺灣地區共同生活陷入不確定狀態，似與移民法第</w:t>
      </w:r>
      <w:r w:rsidRPr="00AC77DF">
        <w:t>70</w:t>
      </w:r>
      <w:r w:rsidRPr="00AC77DF">
        <w:t>條與第</w:t>
      </w:r>
      <w:r w:rsidRPr="00AC77DF">
        <w:t>71</w:t>
      </w:r>
      <w:r w:rsidRPr="00AC77DF">
        <w:t>條母法規範之體系架構有間，違反正當法律程序，並影響家庭團聚權保障，且與其他本國家庭相較，形成不平等權對待。另新住民發展基金運用情形似有未落實照顧整體新住民及其子女與家庭輔導之目的，仍有改進空間。</w:t>
      </w:r>
    </w:p>
    <w:p w:rsidR="003807A5" w:rsidRPr="00AC77DF" w:rsidRDefault="003807A5" w:rsidP="00274413">
      <w:pPr>
        <w:pStyle w:val="1---"/>
        <w:spacing w:after="180"/>
        <w:ind w:firstLine="480"/>
        <w:rPr>
          <w:b/>
        </w:rPr>
      </w:pPr>
      <w:r w:rsidRPr="00AC77DF">
        <w:lastRenderedPageBreak/>
        <w:t>依據本案調查意見</w:t>
      </w:r>
      <w:r w:rsidRPr="00AC77DF">
        <w:rPr>
          <w:rStyle w:val="aff2"/>
        </w:rPr>
        <w:footnoteReference w:id="30"/>
      </w:r>
      <w:r w:rsidRPr="00AC77DF">
        <w:t>，監察院函請行政院督促外交部、內政部與行政院大陸委員會確實檢討改進見復。</w:t>
      </w:r>
    </w:p>
    <w:p w:rsidR="003807A5" w:rsidRPr="00AC77DF" w:rsidRDefault="00BF25A0" w:rsidP="00BF25A0">
      <w:pPr>
        <w:pStyle w:val="afff1"/>
        <w:spacing w:before="360" w:after="360"/>
      </w:pPr>
      <w:r>
        <w:rPr>
          <w:rFonts w:hint="eastAsia"/>
        </w:rPr>
        <w:t>(三)</w:t>
      </w:r>
      <w:r w:rsidR="003807A5" w:rsidRPr="00AC77DF">
        <w:t>政府機關改善情形</w:t>
      </w:r>
    </w:p>
    <w:p w:rsidR="003807A5" w:rsidRPr="00AC77DF" w:rsidRDefault="003807A5" w:rsidP="00765285">
      <w:pPr>
        <w:pStyle w:val="1---"/>
        <w:ind w:leftChars="100" w:left="600" w:hangingChars="150" w:hanging="360"/>
      </w:pPr>
      <w:r w:rsidRPr="00AC77DF">
        <w:t>1</w:t>
      </w:r>
      <w:r w:rsidRPr="00AC77DF">
        <w:t>、為減少新住民家暴被害人因語言隔閡未能對外求助，以</w:t>
      </w:r>
      <w:r w:rsidRPr="00AC77DF">
        <w:t>113</w:t>
      </w:r>
      <w:r w:rsidRPr="00AC77DF">
        <w:t>保護專線提供英語、越南語、泰語、印尼語、柬埔寨語等多種外語通譯服務，透過線上三方通話之方式提供</w:t>
      </w:r>
      <w:r w:rsidRPr="00AC77DF">
        <w:t>24</w:t>
      </w:r>
      <w:r w:rsidRPr="00AC77DF">
        <w:t>小時全時段諮詢及通報服務。</w:t>
      </w:r>
    </w:p>
    <w:p w:rsidR="003807A5" w:rsidRPr="00AC77DF" w:rsidRDefault="003807A5" w:rsidP="007373B4">
      <w:pPr>
        <w:pStyle w:val="1---"/>
        <w:ind w:leftChars="100" w:left="600" w:hangingChars="150" w:hanging="360"/>
      </w:pPr>
      <w:r w:rsidRPr="00AC77DF">
        <w:t>2</w:t>
      </w:r>
      <w:r w:rsidRPr="00AC77DF">
        <w:t>、為保障外配家庭權益，政府研議修正移民法第</w:t>
      </w:r>
      <w:r w:rsidRPr="00AC77DF">
        <w:t>31</w:t>
      </w:r>
      <w:r w:rsidRPr="00AC77DF">
        <w:t>條第</w:t>
      </w:r>
      <w:r w:rsidRPr="00AC77DF">
        <w:t>3</w:t>
      </w:r>
      <w:r w:rsidRPr="00AC77DF">
        <w:t>項及第</w:t>
      </w:r>
      <w:r w:rsidRPr="00AC77DF">
        <w:t>4</w:t>
      </w:r>
      <w:r w:rsidRPr="00AC77DF">
        <w:t>項規定，外配於離婚後取得子女監護權及因家暴受法院判決離婚並在臺設有戶籍之未成年親生子女者得申請在臺繼續居留。若外配因居留許可被廢止而遭強制出國者，有對在臺設有戶籍之未成年子女造成重大且難以回復損害情形，亦可依同條第</w:t>
      </w:r>
      <w:r w:rsidRPr="00AC77DF">
        <w:t>5</w:t>
      </w:r>
      <w:r w:rsidRPr="00AC77DF">
        <w:t>項規定申請繼續在臺居留。至大陸地區人民在臺居留或定居，目前已陸續放寬大陸籍配偶前婚姻</w:t>
      </w:r>
      <w:r w:rsidRPr="00AC77DF">
        <w:t>20</w:t>
      </w:r>
      <w:r w:rsidRPr="00AC77DF">
        <w:t>歲以下子女長期專案居留數額，將排配等候期由</w:t>
      </w:r>
      <w:r w:rsidRPr="00AC77DF">
        <w:t>10</w:t>
      </w:r>
      <w:r w:rsidRPr="00AC77DF">
        <w:t>年縮短為</w:t>
      </w:r>
      <w:r w:rsidRPr="00AC77DF">
        <w:t>6</w:t>
      </w:r>
      <w:r w:rsidRPr="00AC77DF">
        <w:t>年，以利陸配與前婚姻子女在臺團聚之權益。外配與陸配每年申請在臺居留或永久居留之配額，雖係由內政部衡酌國家利益、依不同國家或地區擬訂外國人每年申請在我國居留或永久居留之配額，報請行政院核定後公告之。惟移民法第</w:t>
      </w:r>
      <w:r w:rsidRPr="00AC77DF">
        <w:t>25</w:t>
      </w:r>
      <w:r w:rsidRPr="00AC77DF">
        <w:t>條第</w:t>
      </w:r>
      <w:r w:rsidRPr="00AC77DF">
        <w:t>8</w:t>
      </w:r>
      <w:r w:rsidRPr="00AC77DF">
        <w:t>項但書規定，因投資、受聘僱工作、就學或為臺灣地區設有戶籍國民之配偶</w:t>
      </w:r>
      <w:r w:rsidRPr="00AC77DF">
        <w:lastRenderedPageBreak/>
        <w:t>及未成年子女而依親居留者，不在此限。</w:t>
      </w:r>
    </w:p>
    <w:p w:rsidR="003807A5" w:rsidRPr="00AC77DF" w:rsidRDefault="003807A5" w:rsidP="00765285">
      <w:pPr>
        <w:pStyle w:val="1---"/>
        <w:ind w:leftChars="100" w:left="600" w:hangingChars="150" w:hanging="360"/>
        <w:jc w:val="distribute"/>
      </w:pPr>
      <w:r w:rsidRPr="00AC77DF">
        <w:t>3</w:t>
      </w:r>
      <w:r w:rsidRPr="00AC77DF">
        <w:t>、為因應新住民個人及家庭的權益及需求，政府於</w:t>
      </w:r>
      <w:r w:rsidRPr="00AC77DF">
        <w:t>92</w:t>
      </w:r>
      <w:r w:rsidRPr="00AC77DF">
        <w:t>年訂定執行「外籍與陸配照顧輔導措施</w:t>
      </w:r>
      <w:r w:rsidRPr="00765285">
        <w:rPr>
          <w:spacing w:val="-30"/>
        </w:rPr>
        <w:t>」</w:t>
      </w:r>
      <w:r w:rsidRPr="00AC77DF">
        <w:t>（</w:t>
      </w:r>
      <w:r w:rsidRPr="00AC77DF">
        <w:t>105</w:t>
      </w:r>
      <w:r w:rsidRPr="00AC77DF">
        <w:t>年起更名為新住民照顧服務措施</w:t>
      </w:r>
      <w:r w:rsidRPr="00765285">
        <w:rPr>
          <w:spacing w:val="-30"/>
        </w:rPr>
        <w:t>）</w:t>
      </w:r>
      <w:r w:rsidRPr="00AC77DF">
        <w:t>，依生活適應輔導、醫療優生保健、保障就業權益、提升教育文化、協助子女教養、人身安全保護、健全法令制度及落實觀念宣導等</w:t>
      </w:r>
      <w:r w:rsidRPr="00AC77DF">
        <w:t>8</w:t>
      </w:r>
      <w:r w:rsidRPr="00AC77DF">
        <w:t>大重點工作，訂定</w:t>
      </w:r>
      <w:r w:rsidRPr="00AC77DF">
        <w:t>56</w:t>
      </w:r>
      <w:r w:rsidRPr="00AC77DF">
        <w:t>項具體措施（</w:t>
      </w:r>
      <w:r w:rsidRPr="00AC77DF">
        <w:t>105</w:t>
      </w:r>
      <w:r w:rsidRPr="00AC77DF">
        <w:t>年</w:t>
      </w:r>
      <w:r w:rsidRPr="00AC77DF">
        <w:t>3</w:t>
      </w:r>
      <w:r w:rsidRPr="00AC77DF">
        <w:t>月</w:t>
      </w:r>
      <w:r w:rsidRPr="00AC77DF">
        <w:t>15</w:t>
      </w:r>
      <w:r w:rsidRPr="00AC77DF">
        <w:t>日函頒修正為</w:t>
      </w:r>
      <w:r w:rsidRPr="00AC77DF">
        <w:t>39</w:t>
      </w:r>
      <w:r w:rsidRPr="00AC77DF">
        <w:t>項措</w:t>
      </w:r>
      <w:r w:rsidRPr="00765285">
        <w:rPr>
          <w:spacing w:val="-4"/>
        </w:rPr>
        <w:t>施</w:t>
      </w:r>
      <w:r w:rsidRPr="00765285">
        <w:rPr>
          <w:spacing w:val="-30"/>
        </w:rPr>
        <w:t>）</w:t>
      </w:r>
      <w:r w:rsidRPr="00765285">
        <w:rPr>
          <w:spacing w:val="-4"/>
        </w:rPr>
        <w:t>，整合政府及社會資源，以促進新住民適應我國社會。</w:t>
      </w:r>
    </w:p>
    <w:p w:rsidR="003807A5" w:rsidRPr="00AC77DF" w:rsidRDefault="003807A5" w:rsidP="007373B4">
      <w:pPr>
        <w:pStyle w:val="1---"/>
        <w:ind w:leftChars="100" w:left="600" w:hangingChars="150" w:hanging="360"/>
      </w:pPr>
      <w:r w:rsidRPr="00AC77DF">
        <w:t>4</w:t>
      </w:r>
      <w:r w:rsidRPr="00AC77DF">
        <w:t>、「內政部入出國及移民署實施查察及查察登記辦法」之執行，尚不至於造成經面談通過之陸配或外配，其具有婚姻真實性者仍遭移民署藉由不時查察予以推翻之可能，從而其等在臺灣地區共同生活自無陷入不確定狀態之虞。</w:t>
      </w:r>
    </w:p>
    <w:p w:rsidR="003807A5" w:rsidRPr="00AC77DF" w:rsidRDefault="003807A5" w:rsidP="007373B4">
      <w:pPr>
        <w:pStyle w:val="1---"/>
        <w:ind w:leftChars="100" w:left="600" w:hangingChars="150" w:hanging="360"/>
      </w:pPr>
      <w:r w:rsidRPr="00AC77DF">
        <w:t>5</w:t>
      </w:r>
      <w:r w:rsidRPr="00AC77DF">
        <w:t>、受面（訪）談人未通過面（訪）談者得提起行政救濟，其得向行政法院提出要求，由行政法院函請移民署提供面（訪）談時現場錄音、錄影資料，如法院來函因偵辦案件需要，移民署得配合提供相關資料。</w:t>
      </w:r>
    </w:p>
    <w:p w:rsidR="003807A5" w:rsidRPr="00AC77DF" w:rsidRDefault="00BF25A0" w:rsidP="00BF25A0">
      <w:pPr>
        <w:pStyle w:val="afff1"/>
        <w:spacing w:before="360" w:after="360"/>
      </w:pPr>
      <w:r>
        <w:rPr>
          <w:rFonts w:hint="eastAsia"/>
        </w:rPr>
        <w:t>(四)</w:t>
      </w:r>
      <w:r w:rsidR="003807A5" w:rsidRPr="00AC77DF">
        <w:t>案件進展</w:t>
      </w:r>
    </w:p>
    <w:p w:rsidR="003807A5" w:rsidRDefault="003807A5" w:rsidP="00274413">
      <w:pPr>
        <w:pStyle w:val="1---"/>
        <w:spacing w:after="180"/>
        <w:ind w:firstLine="480"/>
        <w:rPr>
          <w:lang w:eastAsia="zh-TW"/>
        </w:rPr>
      </w:pPr>
      <w:r w:rsidRPr="00AC77DF">
        <w:t>為維護及保障我國婚姻移民人士合法權益，監察院仍持續追蹤本案改善情形。</w:t>
      </w:r>
    </w:p>
    <w:p w:rsidR="00765285" w:rsidRDefault="00765285" w:rsidP="00274413">
      <w:pPr>
        <w:pStyle w:val="1---"/>
        <w:spacing w:after="180"/>
        <w:ind w:firstLine="480"/>
        <w:rPr>
          <w:lang w:eastAsia="zh-TW"/>
        </w:rPr>
      </w:pPr>
    </w:p>
    <w:p w:rsidR="002F28C0" w:rsidRPr="00AC77DF" w:rsidRDefault="002F28C0" w:rsidP="00274413">
      <w:pPr>
        <w:pStyle w:val="1---"/>
        <w:spacing w:after="180"/>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4248"/>
      </w:tblGrid>
      <w:tr w:rsidR="002F28C0" w:rsidTr="002F28C0">
        <w:tc>
          <w:tcPr>
            <w:tcW w:w="4248" w:type="dxa"/>
            <w:shd w:val="clear" w:color="auto" w:fill="D9D9D9" w:themeFill="background1" w:themeFillShade="D9"/>
          </w:tcPr>
          <w:p w:rsidR="002F28C0" w:rsidRDefault="002F28C0" w:rsidP="002F28C0">
            <w:pPr>
              <w:pStyle w:val="11-"/>
              <w:spacing w:before="72" w:after="108"/>
            </w:pPr>
            <w:bookmarkStart w:id="58" w:name="_Toc535228316"/>
            <w:bookmarkStart w:id="59" w:name="_Toc4058726"/>
            <w:r w:rsidRPr="00AC77DF">
              <w:lastRenderedPageBreak/>
              <w:t>新住民融入臺灣社會相關權益</w:t>
            </w:r>
          </w:p>
        </w:tc>
      </w:tr>
    </w:tbl>
    <w:p w:rsidR="00275548" w:rsidRDefault="00275548" w:rsidP="002F28C0">
      <w:pPr>
        <w:pStyle w:val="1---"/>
        <w:ind w:firstLine="480"/>
      </w:pPr>
    </w:p>
    <w:tbl>
      <w:tblPr>
        <w:tblStyle w:val="aff5"/>
        <w:tblW w:w="4756" w:type="pct"/>
        <w:tblInd w:w="113" w:type="dxa"/>
        <w:tblLook w:val="04A0" w:firstRow="1" w:lastRow="0" w:firstColumn="1" w:lastColumn="0" w:noHBand="0" w:noVBand="1"/>
      </w:tblPr>
      <w:tblGrid>
        <w:gridCol w:w="6516"/>
      </w:tblGrid>
      <w:tr w:rsidR="00673AB8" w:rsidTr="002F28C0">
        <w:tc>
          <w:tcPr>
            <w:tcW w:w="5000" w:type="pct"/>
          </w:tcPr>
          <w:bookmarkEnd w:id="58"/>
          <w:bookmarkEnd w:id="59"/>
          <w:p w:rsidR="00673AB8" w:rsidRPr="00AC77DF" w:rsidRDefault="00673AB8" w:rsidP="002F28C0">
            <w:pPr>
              <w:spacing w:line="360" w:lineRule="exact"/>
              <w:jc w:val="both"/>
            </w:pPr>
            <w:r w:rsidRPr="00AC77DF">
              <w:rPr>
                <w:b/>
              </w:rPr>
              <w:t>相關</w:t>
            </w:r>
            <w:r w:rsidRPr="00AC77DF">
              <w:rPr>
                <w:b/>
                <w:lang w:val="x-none"/>
              </w:rPr>
              <w:t>國際</w:t>
            </w:r>
            <w:r w:rsidRPr="00AC77DF">
              <w:rPr>
                <w:b/>
              </w:rPr>
              <w:t>人權公約：</w:t>
            </w:r>
            <w:r w:rsidRPr="00AC77DF">
              <w:t>經濟社會文化權利國際公約第</w:t>
            </w:r>
            <w:r w:rsidRPr="00AC77DF">
              <w:t>2</w:t>
            </w:r>
            <w:r w:rsidRPr="00AC77DF">
              <w:t>、</w:t>
            </w:r>
            <w:r w:rsidRPr="00AC77DF">
              <w:t>6</w:t>
            </w:r>
            <w:r w:rsidRPr="00AC77DF">
              <w:t>、</w:t>
            </w:r>
            <w:r w:rsidRPr="00AC77DF">
              <w:t>7</w:t>
            </w:r>
            <w:r w:rsidRPr="00AC77DF">
              <w:t>、</w:t>
            </w:r>
            <w:r w:rsidRPr="00AC77DF">
              <w:t>12</w:t>
            </w:r>
            <w:r w:rsidRPr="00AC77DF">
              <w:t>、</w:t>
            </w:r>
            <w:r w:rsidRPr="00AC77DF">
              <w:t>13</w:t>
            </w:r>
            <w:r w:rsidRPr="00AC77DF">
              <w:t>條</w:t>
            </w:r>
          </w:p>
          <w:p w:rsidR="00673AB8" w:rsidRPr="00AC77DF" w:rsidRDefault="00673AB8" w:rsidP="002F28C0">
            <w:pPr>
              <w:spacing w:line="360" w:lineRule="exact"/>
              <w:jc w:val="both"/>
              <w:rPr>
                <w:b/>
                <w:lang w:val="x-none"/>
              </w:rPr>
            </w:pPr>
            <w:r w:rsidRPr="00AC77DF">
              <w:rPr>
                <w:b/>
                <w:lang w:val="x-none"/>
              </w:rPr>
              <w:t>經濟社會文化權利國際公約第</w:t>
            </w:r>
            <w:r w:rsidRPr="00AC77DF">
              <w:rPr>
                <w:b/>
                <w:lang w:val="x-none"/>
              </w:rPr>
              <w:t>2</w:t>
            </w:r>
            <w:r w:rsidRPr="00AC77DF">
              <w:rPr>
                <w:b/>
                <w:lang w:val="x-none"/>
              </w:rPr>
              <w:t>條</w:t>
            </w:r>
          </w:p>
          <w:p w:rsidR="00673AB8" w:rsidRPr="00AC77DF" w:rsidRDefault="00673AB8" w:rsidP="0034022A">
            <w:pPr>
              <w:pStyle w:val="a2"/>
              <w:spacing w:line="360" w:lineRule="exact"/>
              <w:ind w:hangingChars="200" w:hanging="480"/>
              <w:jc w:val="both"/>
            </w:pPr>
            <w:r w:rsidRPr="00AC77DF">
              <w:t>一、本公約締約國承允盡其資源能力所及，各自並藉國際協助與合作，特別在經濟與技術方面之協助與合作採取種種步驟，務期以所有適當方法，尤其包括通過立法措施，逐漸使本公約所確認之各種權利完全實現。</w:t>
            </w:r>
          </w:p>
          <w:p w:rsidR="00673AB8" w:rsidRPr="00AC77DF" w:rsidRDefault="00673AB8" w:rsidP="00280643">
            <w:pPr>
              <w:pStyle w:val="a2"/>
              <w:spacing w:line="360" w:lineRule="exact"/>
              <w:ind w:hangingChars="200" w:hanging="480"/>
              <w:jc w:val="both"/>
            </w:pPr>
            <w:r w:rsidRPr="00AC77DF">
              <w:t>二、本公約締約國承允保證人人行使本公約所載之各種權利，不因種族、膚色、性別、語言、家教、政見或其他主張、民族本源或社會階級、財產、出生或其他身分等等而受歧視。</w:t>
            </w:r>
          </w:p>
          <w:p w:rsidR="00673AB8" w:rsidRPr="00AC77DF" w:rsidRDefault="00673AB8" w:rsidP="0034022A">
            <w:pPr>
              <w:pStyle w:val="a2"/>
              <w:spacing w:line="360" w:lineRule="exact"/>
              <w:ind w:hangingChars="200" w:hanging="480"/>
              <w:jc w:val="both"/>
              <w:rPr>
                <w:b/>
                <w:lang w:val="x-none"/>
              </w:rPr>
            </w:pPr>
            <w:r w:rsidRPr="00AC77DF">
              <w:t>三、發展中國家在適當顧及人權及國民經濟之情形下，得決定保證非本國國民享受本公約所確認經濟權利之程度。</w:t>
            </w:r>
          </w:p>
          <w:p w:rsidR="00673AB8" w:rsidRPr="00AC77DF" w:rsidRDefault="00673AB8" w:rsidP="002F28C0">
            <w:pPr>
              <w:spacing w:line="360" w:lineRule="exact"/>
              <w:jc w:val="both"/>
              <w:rPr>
                <w:b/>
              </w:rPr>
            </w:pPr>
            <w:r w:rsidRPr="00AC77DF">
              <w:rPr>
                <w:b/>
                <w:lang w:val="x-none"/>
              </w:rPr>
              <w:t>經濟社會</w:t>
            </w:r>
            <w:r w:rsidRPr="00AC77DF">
              <w:rPr>
                <w:b/>
              </w:rPr>
              <w:t>文化權利國際公約第</w:t>
            </w:r>
            <w:r w:rsidRPr="00AC77DF">
              <w:rPr>
                <w:b/>
              </w:rPr>
              <w:t>6</w:t>
            </w:r>
            <w:r w:rsidRPr="00AC77DF">
              <w:rPr>
                <w:b/>
              </w:rPr>
              <w:t>條</w:t>
            </w:r>
          </w:p>
          <w:p w:rsidR="00673AB8" w:rsidRPr="00AC77DF" w:rsidRDefault="00673AB8" w:rsidP="00280643">
            <w:pPr>
              <w:pStyle w:val="a2"/>
              <w:spacing w:line="360" w:lineRule="exact"/>
              <w:ind w:hangingChars="200" w:hanging="480"/>
              <w:jc w:val="both"/>
            </w:pPr>
            <w:r w:rsidRPr="00AC77DF">
              <w:t>一、本公約締約國確認人人有工作之權利，包括人人應有機會憑本人自由選擇或接受之工作謀生之權利，並將採取適當步驟保障之。</w:t>
            </w:r>
          </w:p>
          <w:p w:rsidR="00673AB8" w:rsidRDefault="00673AB8" w:rsidP="00280643">
            <w:pPr>
              <w:pStyle w:val="a2"/>
              <w:spacing w:line="360" w:lineRule="exact"/>
              <w:ind w:hangingChars="200" w:hanging="480"/>
              <w:jc w:val="both"/>
            </w:pPr>
            <w:r w:rsidRPr="00AC77DF">
              <w:t>二、本公約締約國為求完全實現此種權利而須採取之步驟，應包括技術與職業指導及訓練方案、政策與方法，以便在保障個人基本政治與經濟自由之條件下，造成經濟、社會及文化之穩步發展以及充分之生產性就業。</w:t>
            </w:r>
          </w:p>
          <w:p w:rsidR="00280643" w:rsidRPr="00AC77DF" w:rsidRDefault="00280643" w:rsidP="00280643">
            <w:pPr>
              <w:pStyle w:val="a2"/>
              <w:spacing w:line="360" w:lineRule="exact"/>
              <w:ind w:hangingChars="200" w:hanging="480"/>
              <w:jc w:val="both"/>
            </w:pPr>
          </w:p>
          <w:p w:rsidR="00673AB8" w:rsidRPr="00AC77DF" w:rsidRDefault="00673AB8" w:rsidP="002F28C0">
            <w:pPr>
              <w:spacing w:line="360" w:lineRule="exact"/>
              <w:jc w:val="both"/>
              <w:rPr>
                <w:b/>
              </w:rPr>
            </w:pPr>
            <w:r w:rsidRPr="00AC77DF">
              <w:rPr>
                <w:b/>
                <w:lang w:val="x-none"/>
              </w:rPr>
              <w:lastRenderedPageBreak/>
              <w:t>經濟社會</w:t>
            </w:r>
            <w:r w:rsidRPr="00AC77DF">
              <w:rPr>
                <w:b/>
              </w:rPr>
              <w:t>文化權利國際公約第</w:t>
            </w:r>
            <w:r w:rsidRPr="00AC77DF">
              <w:rPr>
                <w:b/>
              </w:rPr>
              <w:t>12</w:t>
            </w:r>
            <w:r w:rsidRPr="00AC77DF">
              <w:rPr>
                <w:b/>
              </w:rPr>
              <w:t>條</w:t>
            </w:r>
          </w:p>
          <w:p w:rsidR="00673AB8" w:rsidRPr="00AC77DF" w:rsidRDefault="00673AB8" w:rsidP="00280643">
            <w:pPr>
              <w:pStyle w:val="a2"/>
              <w:spacing w:line="360" w:lineRule="exact"/>
              <w:ind w:hangingChars="200" w:hanging="480"/>
              <w:jc w:val="both"/>
            </w:pPr>
            <w:r w:rsidRPr="00AC77DF">
              <w:t>一、本公約締約國確認人人有權享受可能達到之最高標準之身體與精神健康。</w:t>
            </w:r>
          </w:p>
          <w:p w:rsidR="00673AB8" w:rsidRPr="00AC77DF" w:rsidRDefault="00673AB8" w:rsidP="00280643">
            <w:pPr>
              <w:pStyle w:val="a2"/>
              <w:spacing w:line="360" w:lineRule="exact"/>
              <w:ind w:hangingChars="200" w:hanging="480"/>
              <w:jc w:val="both"/>
            </w:pPr>
            <w:r w:rsidRPr="00AC77DF">
              <w:t>二、本公約締約國為求充分實現此種權利所採取之步驟，應包括為達成下列目的所必要之措施：</w:t>
            </w:r>
          </w:p>
          <w:p w:rsidR="00673AB8" w:rsidRPr="00AC77DF" w:rsidRDefault="00280643" w:rsidP="00AE5EF0">
            <w:pPr>
              <w:pStyle w:val="a2"/>
              <w:spacing w:line="360" w:lineRule="exact"/>
              <w:ind w:left="910" w:hangingChars="379" w:hanging="910"/>
              <w:jc w:val="both"/>
            </w:pPr>
            <w:r>
              <w:rPr>
                <w:rFonts w:hint="eastAsia"/>
              </w:rPr>
              <w:t xml:space="preserve">　　</w:t>
            </w:r>
            <w:r>
              <w:rPr>
                <w:rFonts w:hint="eastAsia"/>
              </w:rPr>
              <w:t>(</w:t>
            </w:r>
            <w:r w:rsidR="00673AB8" w:rsidRPr="00AC77DF">
              <w:t>一</w:t>
            </w:r>
            <w:r>
              <w:rPr>
                <w:rFonts w:hint="eastAsia"/>
              </w:rPr>
              <w:t>)</w:t>
            </w:r>
            <w:r w:rsidR="00673AB8" w:rsidRPr="00AC77DF">
              <w:t>設法減低死產率及嬰兒死亡率，並促進兒童之健康發育；</w:t>
            </w:r>
          </w:p>
          <w:p w:rsidR="00673AB8" w:rsidRPr="00AC77DF" w:rsidRDefault="00280643" w:rsidP="002F28C0">
            <w:pPr>
              <w:pStyle w:val="a2"/>
              <w:spacing w:line="360" w:lineRule="exact"/>
              <w:ind w:left="0"/>
              <w:jc w:val="both"/>
            </w:pPr>
            <w:r>
              <w:rPr>
                <w:rFonts w:hint="eastAsia"/>
              </w:rPr>
              <w:t xml:space="preserve">　　</w:t>
            </w:r>
            <w:r>
              <w:rPr>
                <w:rFonts w:hint="eastAsia"/>
              </w:rPr>
              <w:t>(</w:t>
            </w:r>
            <w:r w:rsidR="00673AB8" w:rsidRPr="00AC77DF">
              <w:t>二</w:t>
            </w:r>
            <w:r>
              <w:rPr>
                <w:rFonts w:hint="eastAsia"/>
              </w:rPr>
              <w:t>)</w:t>
            </w:r>
            <w:r w:rsidR="00673AB8" w:rsidRPr="00AC77DF">
              <w:t>改良環境及工業衛生之所有方面；</w:t>
            </w:r>
          </w:p>
          <w:p w:rsidR="00673AB8" w:rsidRPr="00AC77DF" w:rsidRDefault="00280643" w:rsidP="00280643">
            <w:pPr>
              <w:pStyle w:val="a2"/>
              <w:spacing w:line="360" w:lineRule="exact"/>
              <w:ind w:left="910" w:hangingChars="379" w:hanging="910"/>
              <w:jc w:val="both"/>
            </w:pPr>
            <w:r>
              <w:rPr>
                <w:rFonts w:hint="eastAsia"/>
              </w:rPr>
              <w:t xml:space="preserve">　　</w:t>
            </w:r>
            <w:r>
              <w:rPr>
                <w:rFonts w:hint="eastAsia"/>
              </w:rPr>
              <w:t>(</w:t>
            </w:r>
            <w:r w:rsidR="00673AB8" w:rsidRPr="00AC77DF">
              <w:t>三</w:t>
            </w:r>
            <w:r>
              <w:rPr>
                <w:rFonts w:hint="eastAsia"/>
              </w:rPr>
              <w:t>)</w:t>
            </w:r>
            <w:r w:rsidR="00673AB8" w:rsidRPr="00AC77DF">
              <w:t>預防、療治及撲滅各種傳染病、風土病、職業病及其他疾病；</w:t>
            </w:r>
          </w:p>
          <w:p w:rsidR="00673AB8" w:rsidRPr="00AC77DF" w:rsidRDefault="00280643" w:rsidP="00280643">
            <w:pPr>
              <w:pStyle w:val="a2"/>
              <w:spacing w:line="360" w:lineRule="exact"/>
              <w:ind w:left="910" w:hangingChars="379" w:hanging="910"/>
              <w:jc w:val="both"/>
            </w:pPr>
            <w:r>
              <w:rPr>
                <w:rFonts w:hint="eastAsia"/>
              </w:rPr>
              <w:t xml:space="preserve">　　</w:t>
            </w:r>
            <w:r>
              <w:rPr>
                <w:rFonts w:hint="eastAsia"/>
              </w:rPr>
              <w:t>(</w:t>
            </w:r>
            <w:r w:rsidR="00673AB8" w:rsidRPr="00AC77DF">
              <w:t>四</w:t>
            </w:r>
            <w:r>
              <w:rPr>
                <w:rFonts w:hint="eastAsia"/>
              </w:rPr>
              <w:t>)</w:t>
            </w:r>
            <w:r w:rsidR="00673AB8" w:rsidRPr="00AC77DF">
              <w:t>創造環境，確保人人患病時均能享受醫藥服務與醫藥護理。</w:t>
            </w:r>
          </w:p>
          <w:p w:rsidR="00673AB8" w:rsidRPr="00AC77DF" w:rsidRDefault="00673AB8" w:rsidP="002F28C0">
            <w:pPr>
              <w:spacing w:line="360" w:lineRule="exact"/>
              <w:jc w:val="both"/>
              <w:rPr>
                <w:b/>
              </w:rPr>
            </w:pPr>
            <w:r w:rsidRPr="00AC77DF">
              <w:rPr>
                <w:b/>
                <w:lang w:val="x-none"/>
              </w:rPr>
              <w:t>經濟社會</w:t>
            </w:r>
            <w:r w:rsidRPr="00AC77DF">
              <w:rPr>
                <w:b/>
              </w:rPr>
              <w:t>文化權利國際公約第</w:t>
            </w:r>
            <w:r w:rsidRPr="00AC77DF">
              <w:rPr>
                <w:b/>
              </w:rPr>
              <w:t>13</w:t>
            </w:r>
            <w:r w:rsidRPr="00AC77DF">
              <w:rPr>
                <w:b/>
              </w:rPr>
              <w:t>條</w:t>
            </w:r>
          </w:p>
          <w:p w:rsidR="00673AB8" w:rsidRPr="00AC77DF" w:rsidRDefault="00673AB8" w:rsidP="00280643">
            <w:pPr>
              <w:pStyle w:val="a2"/>
              <w:spacing w:line="360" w:lineRule="exact"/>
              <w:ind w:hangingChars="200" w:hanging="480"/>
              <w:jc w:val="both"/>
            </w:pPr>
            <w:r w:rsidRPr="00AC77DF">
              <w:t>一、本公約締約國確認人人有受教育之權。締約國公認教育應謀人格及人格尊嚴意識之充分發展，增強對人權與基本自由之尊重。締約國又公認教育應使人人均能參加自由社會積極貢獻，應促進各民族間及各種族、人種或宗教團體間之了解、容恕及友好關係，並應推進聯合國維持和平之工作。</w:t>
            </w:r>
          </w:p>
          <w:p w:rsidR="00673AB8" w:rsidRPr="00AC77DF" w:rsidRDefault="00673AB8" w:rsidP="002F28C0">
            <w:pPr>
              <w:pStyle w:val="a2"/>
              <w:spacing w:line="360" w:lineRule="exact"/>
              <w:ind w:left="0"/>
              <w:jc w:val="both"/>
            </w:pPr>
            <w:r w:rsidRPr="00AC77DF">
              <w:t>二、本公約締約國為求充分實現此種權利起見，確認：</w:t>
            </w:r>
          </w:p>
          <w:p w:rsidR="00673AB8" w:rsidRPr="00AC77DF" w:rsidRDefault="00280643" w:rsidP="00280643">
            <w:pPr>
              <w:pStyle w:val="a2"/>
              <w:spacing w:line="360" w:lineRule="exact"/>
              <w:ind w:left="910" w:hangingChars="379" w:hanging="910"/>
              <w:jc w:val="both"/>
            </w:pPr>
            <w:r>
              <w:rPr>
                <w:rFonts w:hint="eastAsia"/>
              </w:rPr>
              <w:t xml:space="preserve">　　</w:t>
            </w:r>
            <w:r>
              <w:rPr>
                <w:rFonts w:hint="eastAsia"/>
              </w:rPr>
              <w:t>(</w:t>
            </w:r>
            <w:r w:rsidR="00673AB8" w:rsidRPr="00AC77DF">
              <w:t>一</w:t>
            </w:r>
            <w:r>
              <w:rPr>
                <w:rFonts w:hint="eastAsia"/>
              </w:rPr>
              <w:t>)</w:t>
            </w:r>
            <w:r w:rsidR="00673AB8" w:rsidRPr="00AC77DF">
              <w:t>初等教育應屬強迫性質，免費普及全民；</w:t>
            </w:r>
          </w:p>
          <w:p w:rsidR="00673AB8" w:rsidRPr="00AC77DF" w:rsidRDefault="00280643" w:rsidP="00280643">
            <w:pPr>
              <w:pStyle w:val="a2"/>
              <w:spacing w:line="360" w:lineRule="exact"/>
              <w:ind w:left="910" w:hangingChars="379" w:hanging="910"/>
              <w:jc w:val="both"/>
            </w:pPr>
            <w:r>
              <w:rPr>
                <w:rFonts w:hint="eastAsia"/>
              </w:rPr>
              <w:t xml:space="preserve">　　</w:t>
            </w:r>
            <w:r>
              <w:rPr>
                <w:rFonts w:hint="eastAsia"/>
              </w:rPr>
              <w:t>(</w:t>
            </w:r>
            <w:r w:rsidR="00673AB8" w:rsidRPr="00AC77DF">
              <w:t>二</w:t>
            </w:r>
            <w:r>
              <w:rPr>
                <w:rFonts w:hint="eastAsia"/>
              </w:rPr>
              <w:t>)</w:t>
            </w:r>
            <w:r w:rsidR="00673AB8" w:rsidRPr="00AC77DF">
              <w:t>各種中等教育，包括技術及職業中等教育在內，應以一切適當方法，特別應逐漸採行免費教育制度，廣行舉辦，庶使人人均有接受機會；</w:t>
            </w:r>
          </w:p>
          <w:p w:rsidR="00673AB8" w:rsidRPr="00AC77DF" w:rsidRDefault="00280643" w:rsidP="00280643">
            <w:pPr>
              <w:pStyle w:val="a2"/>
              <w:spacing w:line="360" w:lineRule="exact"/>
              <w:ind w:left="910" w:hangingChars="379" w:hanging="910"/>
              <w:jc w:val="both"/>
            </w:pPr>
            <w:r>
              <w:rPr>
                <w:rFonts w:hint="eastAsia"/>
              </w:rPr>
              <w:t xml:space="preserve">　　</w:t>
            </w:r>
            <w:r>
              <w:rPr>
                <w:rFonts w:hint="eastAsia"/>
              </w:rPr>
              <w:t>(</w:t>
            </w:r>
            <w:r w:rsidR="00673AB8" w:rsidRPr="00AC77DF">
              <w:t>三</w:t>
            </w:r>
            <w:r>
              <w:rPr>
                <w:rFonts w:hint="eastAsia"/>
              </w:rPr>
              <w:t>)</w:t>
            </w:r>
            <w:r w:rsidR="00673AB8" w:rsidRPr="00AC77DF">
              <w:t>高等教育應根據能力，以一切適當方法，特別應逐</w:t>
            </w:r>
            <w:r w:rsidR="00673AB8" w:rsidRPr="00AC77DF">
              <w:lastRenderedPageBreak/>
              <w:t>漸採行免費教育制度，使人人有平等接受機會；</w:t>
            </w:r>
          </w:p>
          <w:p w:rsidR="00673AB8" w:rsidRPr="00AC77DF" w:rsidRDefault="00280643" w:rsidP="00280643">
            <w:pPr>
              <w:pStyle w:val="a2"/>
              <w:spacing w:line="360" w:lineRule="exact"/>
              <w:ind w:left="910" w:hangingChars="379" w:hanging="910"/>
              <w:jc w:val="both"/>
            </w:pPr>
            <w:r>
              <w:rPr>
                <w:rFonts w:hint="eastAsia"/>
              </w:rPr>
              <w:t xml:space="preserve">　　</w:t>
            </w:r>
            <w:r>
              <w:rPr>
                <w:rFonts w:hint="eastAsia"/>
              </w:rPr>
              <w:t>(</w:t>
            </w:r>
            <w:r w:rsidR="00673AB8" w:rsidRPr="00AC77DF">
              <w:t>四</w:t>
            </w:r>
            <w:r>
              <w:rPr>
                <w:rFonts w:hint="eastAsia"/>
              </w:rPr>
              <w:t>)</w:t>
            </w:r>
            <w:r w:rsidR="00673AB8" w:rsidRPr="00AC77DF">
              <w:t>基本教育應儘量予以鼓勵或加緊辦理，以利未受初等教育或未能完成初等教育之人；</w:t>
            </w:r>
          </w:p>
          <w:p w:rsidR="00673AB8" w:rsidRPr="00AC77DF" w:rsidRDefault="00280643" w:rsidP="00243EED">
            <w:pPr>
              <w:pStyle w:val="a2"/>
              <w:spacing w:line="360" w:lineRule="exact"/>
              <w:ind w:left="910" w:hangingChars="379" w:hanging="910"/>
              <w:jc w:val="distribute"/>
            </w:pPr>
            <w:r>
              <w:rPr>
                <w:rFonts w:hint="eastAsia"/>
              </w:rPr>
              <w:t xml:space="preserve">　　</w:t>
            </w:r>
            <w:r>
              <w:rPr>
                <w:rFonts w:hint="eastAsia"/>
              </w:rPr>
              <w:t>(</w:t>
            </w:r>
            <w:r w:rsidR="00673AB8" w:rsidRPr="00AC77DF">
              <w:t>五</w:t>
            </w:r>
            <w:r>
              <w:rPr>
                <w:rFonts w:hint="eastAsia"/>
              </w:rPr>
              <w:t>)</w:t>
            </w:r>
            <w:r w:rsidR="00673AB8" w:rsidRPr="00AC77DF">
              <w:t>各級學校完備之制度應予積極發展，適當之獎學金</w:t>
            </w:r>
            <w:r w:rsidR="00673AB8" w:rsidRPr="00280643">
              <w:rPr>
                <w:spacing w:val="-4"/>
              </w:rPr>
              <w:t>制度應予設置，教育人員之物質條件亦應不斷改善。</w:t>
            </w:r>
          </w:p>
          <w:p w:rsidR="00673AB8" w:rsidRPr="00AC77DF" w:rsidRDefault="00673AB8" w:rsidP="00280643">
            <w:pPr>
              <w:pStyle w:val="a2"/>
              <w:spacing w:line="360" w:lineRule="exact"/>
              <w:ind w:hangingChars="200" w:hanging="480"/>
              <w:jc w:val="both"/>
            </w:pPr>
            <w:r w:rsidRPr="00AC77DF">
              <w:t>三、本公約締約國承允尊重父母或法定監護人為子女選擇符合國家所規定或認可最低教育標準之非公立學校，及確保子女接受符合其本人信仰之宗教及道德教育之自由。</w:t>
            </w:r>
          </w:p>
          <w:p w:rsidR="00673AB8" w:rsidRPr="00AC77DF" w:rsidRDefault="00673AB8" w:rsidP="00280643">
            <w:pPr>
              <w:spacing w:line="360" w:lineRule="exact"/>
              <w:ind w:left="480" w:hangingChars="200" w:hanging="480"/>
              <w:jc w:val="both"/>
            </w:pPr>
            <w:r w:rsidRPr="00AC77DF">
              <w:t>四、本條任何部分不得解釋為干涉個人或團體設立及管理教育機構之自由，但以遵守本條第一項所載原則及此等機構所施教育符合國家所定最低標準為限。</w:t>
            </w:r>
          </w:p>
        </w:tc>
      </w:tr>
    </w:tbl>
    <w:p w:rsidR="003807A5" w:rsidRPr="00AC77DF" w:rsidRDefault="00280643" w:rsidP="00280643">
      <w:pPr>
        <w:pStyle w:val="afff1"/>
        <w:spacing w:before="360" w:after="360"/>
      </w:pPr>
      <w:r>
        <w:rPr>
          <w:rFonts w:hint="eastAsia"/>
        </w:rPr>
        <w:lastRenderedPageBreak/>
        <w:t>(一)</w:t>
      </w:r>
      <w:r w:rsidR="003807A5" w:rsidRPr="00AC77DF">
        <w:t>案情簡述</w:t>
      </w:r>
    </w:p>
    <w:p w:rsidR="003807A5" w:rsidRPr="00AC77DF" w:rsidRDefault="003807A5" w:rsidP="00274413">
      <w:pPr>
        <w:pStyle w:val="1---"/>
        <w:spacing w:after="180"/>
        <w:ind w:firstLine="480"/>
      </w:pPr>
      <w:r w:rsidRPr="00AC77DF">
        <w:t>隨著外籍勞工引進及資本外移後，我國跨國及兩岸通婚也日益頻繁。自</w:t>
      </w:r>
      <w:r w:rsidRPr="00AC77DF">
        <w:t>87</w:t>
      </w:r>
      <w:r w:rsidRPr="00AC77DF">
        <w:t>年至</w:t>
      </w:r>
      <w:r w:rsidRPr="00AC77DF">
        <w:t>105</w:t>
      </w:r>
      <w:r w:rsidRPr="00AC77DF">
        <w:t>年跨國（境）婚姻對數累計已達</w:t>
      </w:r>
      <w:r w:rsidRPr="00AC77DF">
        <w:t>54</w:t>
      </w:r>
      <w:r w:rsidRPr="00AC77DF">
        <w:t>萬</w:t>
      </w:r>
      <w:r w:rsidRPr="00AC77DF">
        <w:t>5,150</w:t>
      </w:r>
      <w:r w:rsidRPr="00AC77DF">
        <w:t>對，占臺灣全體婚配總數的</w:t>
      </w:r>
      <w:r w:rsidRPr="00AC77DF">
        <w:t>18.90%</w:t>
      </w:r>
      <w:r w:rsidRPr="00AC77DF">
        <w:t>。截至</w:t>
      </w:r>
      <w:r w:rsidRPr="00AC77DF">
        <w:t>105</w:t>
      </w:r>
      <w:r w:rsidRPr="00AC77DF">
        <w:t>年底，新住民已突破</w:t>
      </w:r>
      <w:r w:rsidRPr="00AC77DF">
        <w:t>52</w:t>
      </w:r>
      <w:r w:rsidRPr="00AC77DF">
        <w:t>萬人，同時新住民生育的子女數也逐年增加，</w:t>
      </w:r>
      <w:r w:rsidRPr="00AC77DF">
        <w:t>87</w:t>
      </w:r>
      <w:r w:rsidRPr="00AC77DF">
        <w:t>年至</w:t>
      </w:r>
      <w:r w:rsidRPr="00AC77DF">
        <w:t>105</w:t>
      </w:r>
      <w:r w:rsidRPr="00AC77DF">
        <w:t>年共計</w:t>
      </w:r>
      <w:r w:rsidRPr="00AC77DF">
        <w:t>38</w:t>
      </w:r>
      <w:r w:rsidRPr="00AC77DF">
        <w:t>萬</w:t>
      </w:r>
      <w:r w:rsidRPr="00AC77DF">
        <w:t>15</w:t>
      </w:r>
      <w:r w:rsidRPr="00AC77DF">
        <w:t>人，占我國出生總人數的</w:t>
      </w:r>
      <w:r w:rsidRPr="00AC77DF">
        <w:t>8.96</w:t>
      </w:r>
      <w:r w:rsidR="00F9266D">
        <w:t>%</w:t>
      </w:r>
      <w:r w:rsidRPr="00AC77DF">
        <w:t>。新住民家庭已成為臺灣第五大人口族群，</w:t>
      </w:r>
      <w:r w:rsidR="004D0068">
        <w:t>顯示</w:t>
      </w:r>
      <w:r w:rsidRPr="00AC77DF">
        <w:t>跨國性的人口移動已成為不可抵擋的趨勢，也是國家無法迴避的挑戰。然隨著我國婚姻移民歷程的演進，新住民在臺生活衍生的權益問題及面臨的困境，也呈現不同的面貌。為全盤檢視政府在相關政策、法令、制度及措施能否適時回應並做系統性的調整，監察院成立專案調查研究小組進行瞭解。</w:t>
      </w:r>
    </w:p>
    <w:p w:rsidR="003807A5" w:rsidRPr="00AC77DF" w:rsidRDefault="00280643" w:rsidP="00280643">
      <w:pPr>
        <w:pStyle w:val="afff1"/>
        <w:spacing w:before="360" w:after="360"/>
      </w:pPr>
      <w:r>
        <w:rPr>
          <w:rFonts w:hint="eastAsia"/>
        </w:rPr>
        <w:lastRenderedPageBreak/>
        <w:t>(二)</w:t>
      </w:r>
      <w:r w:rsidR="003807A5" w:rsidRPr="00AC77DF">
        <w:t>監察院調查發現與建議</w:t>
      </w:r>
    </w:p>
    <w:p w:rsidR="003807A5" w:rsidRPr="00AC77DF" w:rsidRDefault="00682251" w:rsidP="00145E05">
      <w:pPr>
        <w:pStyle w:val="1--13"/>
        <w:spacing w:before="180" w:after="180"/>
      </w:pPr>
      <w:r w:rsidRPr="008E1832">
        <w:rPr>
          <w:rFonts w:hint="eastAsia"/>
        </w:rPr>
        <w:t>˙</w:t>
      </w:r>
      <w:r w:rsidR="003807A5" w:rsidRPr="00AC77DF">
        <w:t>政策不明又缺乏整合</w:t>
      </w:r>
    </w:p>
    <w:p w:rsidR="003807A5" w:rsidRPr="00AC77DF" w:rsidRDefault="003807A5" w:rsidP="002B4E20">
      <w:pPr>
        <w:pStyle w:val="1---"/>
        <w:ind w:firstLine="480"/>
      </w:pPr>
      <w:r w:rsidRPr="00AC77DF">
        <w:t>婚姻移民政策的規劃與執行，不僅涉及中央各部會間的業務權責及橫向協調合作，也牽涉到地方的整合與落實。由於我國整體移民政策方向定位不明，以致相關制度或法令的修正常陷入「頭痛醫頭、腳痛醫腳」的現象。行政院新住民事務協調會報的功能有限，協調整合及督導也流於形式；又地方政府協調整合機制不足、首長重視程度不一。此外，長久以來政府對於新住民的具體輔導策略，主要以「新住民照顧服務措施」為基礎，多強調辦理新住民活動場次、參與（或受益）人次等量化數據，管考也只是每半年例行檢視各部會及地方政府辦理及預算執行情形，缺乏整體的實效性評估。</w:t>
      </w:r>
    </w:p>
    <w:p w:rsidR="003807A5" w:rsidRPr="00AC77DF" w:rsidRDefault="00682251" w:rsidP="00145E05">
      <w:pPr>
        <w:pStyle w:val="1--13"/>
        <w:spacing w:before="180" w:after="180"/>
      </w:pPr>
      <w:r w:rsidRPr="008E1832">
        <w:rPr>
          <w:rFonts w:hint="eastAsia"/>
        </w:rPr>
        <w:t>˙</w:t>
      </w:r>
      <w:r w:rsidR="003807A5" w:rsidRPr="00AC77DF">
        <w:t>補助經費配置失當</w:t>
      </w:r>
    </w:p>
    <w:p w:rsidR="003807A5" w:rsidRPr="00AC77DF" w:rsidRDefault="003807A5" w:rsidP="002B4E20">
      <w:pPr>
        <w:pStyle w:val="1---"/>
        <w:ind w:firstLine="480"/>
      </w:pPr>
      <w:r w:rsidRPr="00AC77DF">
        <w:t>101</w:t>
      </w:r>
      <w:r w:rsidRPr="00AC77DF">
        <w:t>年至</w:t>
      </w:r>
      <w:r w:rsidRPr="00AC77DF">
        <w:t>105</w:t>
      </w:r>
      <w:r w:rsidRPr="00AC77DF">
        <w:t>年新住民發展基金近</w:t>
      </w:r>
      <w:r w:rsidRPr="00AC77DF">
        <w:t>6</w:t>
      </w:r>
      <w:r w:rsidRPr="00AC77DF">
        <w:t>成補助於「新住民家庭成長及子女托育、多元文化宣導計畫」，而攸關新住民經濟扶助的社會安全網經費不及</w:t>
      </w:r>
      <w:r w:rsidRPr="00AC77DF">
        <w:t>1</w:t>
      </w:r>
      <w:r w:rsidRPr="00AC77DF">
        <w:t>成；又補助對象有</w:t>
      </w:r>
      <w:r w:rsidRPr="00AC77DF">
        <w:t>9</w:t>
      </w:r>
      <w:r w:rsidRPr="00AC77DF">
        <w:t>成針對政府機關及學校，致該基金遭質疑淪為政府「小金庫」。目前地方政府推動新住民照顧服務措施的經費來源，多仰賴新住民發展基金及中央補助，占比達</w:t>
      </w:r>
      <w:r w:rsidRPr="00AC77DF">
        <w:t>8</w:t>
      </w:r>
      <w:r w:rsidRPr="00AC77DF">
        <w:t>成以上。政府應務實檢討並釐清基金的定位及經費補助結構的合理性，針對新住民需求及權益的優先順序，擬訂最適資源分配策略，並研議將長期性支持及照顧服務措施的經費逐步納入地方政府常規公務預算。</w:t>
      </w:r>
    </w:p>
    <w:p w:rsidR="003807A5" w:rsidRPr="00AC77DF" w:rsidRDefault="00682251" w:rsidP="00145E05">
      <w:pPr>
        <w:pStyle w:val="1--13"/>
        <w:spacing w:before="180" w:after="180"/>
      </w:pPr>
      <w:r w:rsidRPr="008E1832">
        <w:rPr>
          <w:rFonts w:hint="eastAsia"/>
        </w:rPr>
        <w:lastRenderedPageBreak/>
        <w:t>˙</w:t>
      </w:r>
      <w:r w:rsidR="003807A5" w:rsidRPr="00AC77DF">
        <w:t>未深入弱勢新住民</w:t>
      </w:r>
    </w:p>
    <w:p w:rsidR="003807A5" w:rsidRPr="00AC77DF" w:rsidRDefault="003807A5" w:rsidP="002B4E20">
      <w:pPr>
        <w:pStyle w:val="1---"/>
        <w:ind w:firstLine="480"/>
      </w:pPr>
      <w:r w:rsidRPr="00AC77DF">
        <w:t>實務上「看不見、無法站出來」的新住民，是現行服務輸送模式可能疏漏的對象，而政府至今仍無法有效觸及原設定或處境弱勢的新住民。建議政府宜調整服務輸送的方式，加強地方網絡單位的協同合作，強化關懷訪視的成效，進而提供適切的服務與協助。</w:t>
      </w:r>
    </w:p>
    <w:p w:rsidR="003807A5" w:rsidRPr="00AC77DF" w:rsidRDefault="00682251" w:rsidP="00145E05">
      <w:pPr>
        <w:pStyle w:val="1--13"/>
        <w:spacing w:before="180" w:after="180"/>
      </w:pPr>
      <w:r w:rsidRPr="008E1832">
        <w:rPr>
          <w:rFonts w:hint="eastAsia"/>
        </w:rPr>
        <w:t>˙</w:t>
      </w:r>
      <w:r w:rsidR="003807A5" w:rsidRPr="00AC77DF">
        <w:t>新住民融入臺灣社會面臨的問題</w:t>
      </w:r>
    </w:p>
    <w:p w:rsidR="003807A5" w:rsidRPr="00AC77DF" w:rsidRDefault="003807A5" w:rsidP="002B4E20">
      <w:pPr>
        <w:pStyle w:val="1---"/>
        <w:ind w:firstLine="480"/>
      </w:pPr>
      <w:r w:rsidRPr="00AC77DF">
        <w:t>綜整新住民目前遭遇的重要問題如下：</w:t>
      </w:r>
    </w:p>
    <w:p w:rsidR="003807A5" w:rsidRPr="00AC77DF" w:rsidRDefault="003807A5" w:rsidP="007373B4">
      <w:pPr>
        <w:pStyle w:val="1---"/>
        <w:ind w:leftChars="100" w:left="600" w:hangingChars="150" w:hanging="360"/>
      </w:pPr>
      <w:r w:rsidRPr="00AC77DF">
        <w:t>1</w:t>
      </w:r>
      <w:r w:rsidRPr="00AC77DF">
        <w:t>、平等權及身分權方面，外籍配偶與大陸配偶在身分權及服公職權上，仍未盡一致；現行面談只以「共同生活經驗」，作為判斷婚姻真實性的基準，但政府仍可藉由不時查察的作法，推翻新住民在臺的居留身分；現行法規對於新住民離婚後的居留權及家庭團聚權保障，仍未盡周延，讓新住民惶恐不安。</w:t>
      </w:r>
    </w:p>
    <w:p w:rsidR="003807A5" w:rsidRPr="00AC77DF" w:rsidRDefault="003807A5" w:rsidP="007373B4">
      <w:pPr>
        <w:pStyle w:val="1---"/>
        <w:ind w:leftChars="100" w:left="600" w:hangingChars="150" w:hanging="360"/>
      </w:pPr>
      <w:r w:rsidRPr="00AC77DF">
        <w:t>2</w:t>
      </w:r>
      <w:r w:rsidRPr="00AC77DF">
        <w:t>、生存權方面，新住民遭受家庭暴力問題嚴重，外籍配偶受暴率高出本國</w:t>
      </w:r>
      <w:r w:rsidRPr="00AC77DF">
        <w:t>3.74</w:t>
      </w:r>
      <w:r w:rsidRPr="00AC77DF">
        <w:t>倍，大陸配偶則高出</w:t>
      </w:r>
      <w:r w:rsidRPr="00AC77DF">
        <w:t>1.65</w:t>
      </w:r>
      <w:r w:rsidRPr="00AC77DF">
        <w:t>倍，但現行法規對於受暴新住民離婚後的居留權保障，不夠周延。</w:t>
      </w:r>
    </w:p>
    <w:p w:rsidR="003807A5" w:rsidRPr="00AC77DF" w:rsidRDefault="003807A5" w:rsidP="007373B4">
      <w:pPr>
        <w:pStyle w:val="1---"/>
        <w:ind w:leftChars="100" w:left="600" w:hangingChars="150" w:hanging="360"/>
      </w:pPr>
      <w:r w:rsidRPr="00AC77DF">
        <w:t>3</w:t>
      </w:r>
      <w:r w:rsidRPr="00AC77DF">
        <w:t>、工作權及勞動權方面，雖然新住民有強烈的就業動機，卻面臨許多障礙，包括：仍有雇主以身分證作為僱用的條件、語言溝通的困難、中文識字與書寫能力的不足、母國學歷與證照的採認困難等，致新住民於求職過程、薪資待遇、升遷發展上受到限制。此外，新住民多透過同鄉親友介紹工作，甚少尋求正式管道，致就業主要集中於服務業、</w:t>
      </w:r>
      <w:r w:rsidRPr="00AC77DF">
        <w:lastRenderedPageBreak/>
        <w:t>基層技術或勞力性工作，工作收入多在</w:t>
      </w:r>
      <w:r w:rsidRPr="00AC77DF">
        <w:t>1</w:t>
      </w:r>
      <w:r w:rsidRPr="00AC77DF">
        <w:t>萬至未滿</w:t>
      </w:r>
      <w:r w:rsidRPr="00AC77DF">
        <w:t>2</w:t>
      </w:r>
      <w:r w:rsidRPr="00AC77DF">
        <w:t>萬，且勞保投保率僅達</w:t>
      </w:r>
      <w:r w:rsidRPr="00AC77DF">
        <w:t>3</w:t>
      </w:r>
      <w:r w:rsidRPr="00AC77DF">
        <w:t>成。</w:t>
      </w:r>
    </w:p>
    <w:p w:rsidR="003807A5" w:rsidRPr="00AC77DF" w:rsidRDefault="003807A5" w:rsidP="007373B4">
      <w:pPr>
        <w:pStyle w:val="1---"/>
        <w:ind w:leftChars="100" w:left="600" w:hangingChars="150" w:hanging="360"/>
      </w:pPr>
      <w:r w:rsidRPr="00AC77DF">
        <w:t>4</w:t>
      </w:r>
      <w:r w:rsidRPr="00AC77DF">
        <w:t>、教育權方面，新住民常因工作及經濟因素，不得不將子女托由母國親人照顧，但跨國托育卻衍生子女返臺後接續教育困難與融入社會不易的困境，以致出現新住民第二代「跨國銜轉學業」的問題，政府未能解決，嚴重影響孩子受教權。</w:t>
      </w:r>
    </w:p>
    <w:p w:rsidR="003807A5" w:rsidRPr="00AC77DF" w:rsidRDefault="003807A5" w:rsidP="007373B4">
      <w:pPr>
        <w:pStyle w:val="1---"/>
        <w:ind w:leftChars="100" w:left="600" w:hangingChars="150" w:hanging="360"/>
      </w:pPr>
      <w:r w:rsidRPr="00AC77DF">
        <w:t>5</w:t>
      </w:r>
      <w:r w:rsidRPr="00AC77DF">
        <w:t>、健康權方面，懷孕的新住民仍須在臺居留滿</w:t>
      </w:r>
      <w:r w:rsidRPr="00AC77DF">
        <w:t>6</w:t>
      </w:r>
      <w:r w:rsidRPr="00AC77DF">
        <w:t>個月，方能申請參加健保，不盡合理。此外，新住民因文化隔閡、語言溝通障礙及生活適應壓力，面臨相關醫療資訊與健康照護資源不易取得的困難。</w:t>
      </w:r>
    </w:p>
    <w:p w:rsidR="003807A5" w:rsidRPr="00AC77DF" w:rsidRDefault="003807A5" w:rsidP="007373B4">
      <w:pPr>
        <w:pStyle w:val="1---"/>
        <w:ind w:leftChars="100" w:left="600" w:hangingChars="150" w:hanging="360"/>
      </w:pPr>
      <w:r w:rsidRPr="00AC77DF">
        <w:t>6</w:t>
      </w:r>
      <w:r w:rsidRPr="00AC77DF">
        <w:t>、社會保障及社會參與方面，新住民離婚率偏高，約</w:t>
      </w:r>
      <w:r w:rsidRPr="00AC77DF">
        <w:t>20%</w:t>
      </w:r>
      <w:r w:rsidRPr="00AC77DF">
        <w:t>，新住民單親家庭面臨經濟及子女照顧的雙重壓力，且欠缺非正式支持系統。低收入戶的新住民家庭申請房屋租金補助，因房東為免遭課稅而不願出租或出具資料，而無法獲得補助。</w:t>
      </w:r>
    </w:p>
    <w:p w:rsidR="003807A5" w:rsidRPr="00AC77DF" w:rsidRDefault="009C255D" w:rsidP="00274413">
      <w:pPr>
        <w:pStyle w:val="1---"/>
        <w:spacing w:after="180"/>
        <w:ind w:firstLine="480"/>
      </w:pPr>
      <w:r w:rsidRPr="009C255D">
        <w:rPr>
          <w:rFonts w:hint="eastAsia"/>
        </w:rPr>
        <w:t>依據本案調查意見</w:t>
      </w:r>
      <w:r w:rsidR="003807A5" w:rsidRPr="00F85A65">
        <w:rPr>
          <w:rStyle w:val="aff2"/>
        </w:rPr>
        <w:footnoteReference w:id="31"/>
      </w:r>
      <w:r>
        <w:rPr>
          <w:rFonts w:hint="eastAsia"/>
        </w:rPr>
        <w:t>，函</w:t>
      </w:r>
      <w:r w:rsidR="003807A5" w:rsidRPr="00AC77DF">
        <w:t>請行政院暨相關機關參處。</w:t>
      </w:r>
    </w:p>
    <w:p w:rsidR="003807A5" w:rsidRPr="00AC77DF" w:rsidRDefault="00280643" w:rsidP="00280643">
      <w:pPr>
        <w:pStyle w:val="afff1"/>
        <w:spacing w:before="360" w:after="360"/>
      </w:pPr>
      <w:r>
        <w:rPr>
          <w:rFonts w:hint="eastAsia"/>
        </w:rPr>
        <w:t>(三)</w:t>
      </w:r>
      <w:r w:rsidR="003807A5" w:rsidRPr="00AC77DF">
        <w:t>政府機關改善情形</w:t>
      </w:r>
    </w:p>
    <w:p w:rsidR="003807A5" w:rsidRPr="00AC77DF" w:rsidRDefault="003807A5" w:rsidP="002B4E20">
      <w:pPr>
        <w:pStyle w:val="1---"/>
        <w:ind w:firstLine="480"/>
      </w:pPr>
      <w:r w:rsidRPr="00AC77DF">
        <w:t>本案從整體政策及協調整合等四大面向，提出</w:t>
      </w:r>
      <w:r w:rsidRPr="00AC77DF">
        <w:t>29</w:t>
      </w:r>
      <w:r w:rsidRPr="00AC77DF">
        <w:t>項結論與建議，特別是經由焦點團體座談，著眼於新住民的自身經驗，從新住民的平等及身分權、生存權、工作及勞動權、教育權、</w:t>
      </w:r>
      <w:r w:rsidRPr="00AC77DF">
        <w:lastRenderedPageBreak/>
        <w:t>健康權、社會保障及社會參與等相關權益問題及需求，提出上述發現及建議，供政府積極研謀解決對策，擬訂整體政策、法規及措施方向的參考，以營造多元文化的友善社會，使新住民順利融入臺灣社會，展現文化優勢。</w:t>
      </w:r>
    </w:p>
    <w:p w:rsidR="003807A5" w:rsidRPr="00AC77DF" w:rsidRDefault="00280643" w:rsidP="00280643">
      <w:pPr>
        <w:pStyle w:val="afff1"/>
        <w:spacing w:before="360" w:after="360"/>
      </w:pPr>
      <w:r>
        <w:rPr>
          <w:rFonts w:hint="eastAsia"/>
        </w:rPr>
        <w:t>(四)</w:t>
      </w:r>
      <w:r w:rsidR="003807A5" w:rsidRPr="00AC77DF">
        <w:t>案件進展</w:t>
      </w:r>
    </w:p>
    <w:p w:rsidR="003807A5" w:rsidRDefault="003807A5" w:rsidP="00552BAD">
      <w:pPr>
        <w:pStyle w:val="1---"/>
        <w:ind w:firstLine="480"/>
        <w:rPr>
          <w:lang w:eastAsia="zh-TW"/>
        </w:rPr>
      </w:pPr>
      <w:r w:rsidRPr="00AC77DF">
        <w:t>本研究報告已送請行政院暨相關機關參處。</w:t>
      </w:r>
    </w:p>
    <w:p w:rsidR="00552BAD" w:rsidRPr="00552BAD" w:rsidRDefault="00552BAD" w:rsidP="00786A3D">
      <w:pPr>
        <w:pStyle w:val="1---"/>
        <w:spacing w:line="440" w:lineRule="exact"/>
        <w:ind w:firstLine="480"/>
      </w:pPr>
    </w:p>
    <w:tbl>
      <w:tblPr>
        <w:tblStyle w:val="aff5"/>
        <w:tblW w:w="0" w:type="auto"/>
        <w:tblInd w:w="113" w:type="dxa"/>
        <w:shd w:val="clear" w:color="auto" w:fill="D9D9D9" w:themeFill="background1" w:themeFillShade="D9"/>
        <w:tblLook w:val="04A0" w:firstRow="1" w:lastRow="0" w:firstColumn="1" w:lastColumn="0" w:noHBand="0" w:noVBand="1"/>
      </w:tblPr>
      <w:tblGrid>
        <w:gridCol w:w="5524"/>
      </w:tblGrid>
      <w:tr w:rsidR="00552BAD" w:rsidTr="00552BAD">
        <w:tc>
          <w:tcPr>
            <w:tcW w:w="5524" w:type="dxa"/>
            <w:shd w:val="clear" w:color="auto" w:fill="D9D9D9" w:themeFill="background1" w:themeFillShade="D9"/>
          </w:tcPr>
          <w:p w:rsidR="00552BAD" w:rsidRDefault="00552BAD" w:rsidP="00552BAD">
            <w:pPr>
              <w:pStyle w:val="11-"/>
              <w:spacing w:before="72" w:after="108"/>
            </w:pPr>
            <w:bookmarkStart w:id="60" w:name="_Toc535228317"/>
            <w:bookmarkStart w:id="61" w:name="_Toc4058727"/>
            <w:r w:rsidRPr="00AC77DF">
              <w:t>外籍勞工在臺期間懷孕及所生子女權益</w:t>
            </w:r>
            <w:bookmarkEnd w:id="60"/>
            <w:bookmarkEnd w:id="61"/>
          </w:p>
        </w:tc>
      </w:tr>
    </w:tbl>
    <w:p w:rsidR="00552BAD" w:rsidRPr="00552BAD" w:rsidRDefault="00552BAD" w:rsidP="00786A3D">
      <w:pPr>
        <w:pStyle w:val="1---"/>
        <w:spacing w:line="440" w:lineRule="exact"/>
        <w:ind w:firstLine="480"/>
      </w:pPr>
    </w:p>
    <w:tbl>
      <w:tblPr>
        <w:tblW w:w="0" w:type="auto"/>
        <w:tblLook w:val="04A0" w:firstRow="1" w:lastRow="0" w:firstColumn="1" w:lastColumn="0" w:noHBand="0" w:noVBand="1"/>
      </w:tblPr>
      <w:tblGrid>
        <w:gridCol w:w="6850"/>
      </w:tblGrid>
      <w:tr w:rsidR="003807A5" w:rsidRPr="00AC77DF" w:rsidTr="00552BAD">
        <w:tc>
          <w:tcPr>
            <w:tcW w:w="6850" w:type="dxa"/>
          </w:tcPr>
          <w:tbl>
            <w:tblPr>
              <w:tblStyle w:val="aff5"/>
              <w:tblW w:w="4918" w:type="pct"/>
              <w:tblLook w:val="04A0" w:firstRow="1" w:lastRow="0" w:firstColumn="1" w:lastColumn="0" w:noHBand="0" w:noVBand="1"/>
            </w:tblPr>
            <w:tblGrid>
              <w:gridCol w:w="6515"/>
            </w:tblGrid>
            <w:tr w:rsidR="009C255D" w:rsidTr="00552BAD">
              <w:tc>
                <w:tcPr>
                  <w:tcW w:w="5000" w:type="pct"/>
                </w:tcPr>
                <w:p w:rsidR="009C255D" w:rsidRPr="00AC77DF" w:rsidRDefault="009C255D" w:rsidP="00786A3D">
                  <w:pPr>
                    <w:spacing w:line="366" w:lineRule="exact"/>
                    <w:jc w:val="both"/>
                    <w:rPr>
                      <w:lang w:val="x-none"/>
                    </w:rPr>
                  </w:pPr>
                  <w:r w:rsidRPr="00AC77DF">
                    <w:rPr>
                      <w:b/>
                      <w:lang w:val="x-none"/>
                    </w:rPr>
                    <w:t>相關國際人權公約：</w:t>
                  </w:r>
                  <w:r w:rsidRPr="00AC77DF">
                    <w:rPr>
                      <w:lang w:val="x-none"/>
                    </w:rPr>
                    <w:t>兒童權利公約前言及第</w:t>
                  </w:r>
                  <w:r w:rsidRPr="00AC77DF">
                    <w:rPr>
                      <w:lang w:val="x-none"/>
                    </w:rPr>
                    <w:t>2</w:t>
                  </w:r>
                  <w:r w:rsidRPr="00AC77DF">
                    <w:rPr>
                      <w:lang w:val="x-none" w:eastAsia="zh-HK"/>
                    </w:rPr>
                    <w:t>條</w:t>
                  </w:r>
                  <w:r w:rsidRPr="00AC77DF">
                    <w:rPr>
                      <w:lang w:val="x-none"/>
                    </w:rPr>
                    <w:t>、</w:t>
                  </w:r>
                  <w:r w:rsidRPr="00AC77DF">
                    <w:rPr>
                      <w:lang w:val="x-none" w:eastAsia="zh-HK"/>
                    </w:rPr>
                    <w:t>第</w:t>
                  </w:r>
                  <w:r w:rsidRPr="00AC77DF">
                    <w:rPr>
                      <w:lang w:val="x-none"/>
                    </w:rPr>
                    <w:t>3</w:t>
                  </w:r>
                  <w:r w:rsidRPr="00AC77DF">
                    <w:rPr>
                      <w:lang w:val="x-none" w:eastAsia="zh-HK"/>
                    </w:rPr>
                    <w:t>條</w:t>
                  </w:r>
                  <w:r w:rsidRPr="00AC77DF">
                    <w:rPr>
                      <w:lang w:val="x-none"/>
                    </w:rPr>
                    <w:t>、</w:t>
                  </w:r>
                  <w:r w:rsidRPr="00AC77DF">
                    <w:rPr>
                      <w:lang w:val="x-none" w:eastAsia="zh-HK"/>
                    </w:rPr>
                    <w:t>第</w:t>
                  </w:r>
                  <w:r w:rsidRPr="00AC77DF">
                    <w:rPr>
                      <w:lang w:val="x-none"/>
                    </w:rPr>
                    <w:t>6</w:t>
                  </w:r>
                  <w:r w:rsidRPr="00AC77DF">
                    <w:rPr>
                      <w:lang w:val="x-none" w:eastAsia="zh-HK"/>
                    </w:rPr>
                    <w:t>條</w:t>
                  </w:r>
                  <w:r w:rsidRPr="00AC77DF">
                    <w:rPr>
                      <w:lang w:val="x-none"/>
                    </w:rPr>
                    <w:t>、</w:t>
                  </w:r>
                  <w:r w:rsidRPr="00AC77DF">
                    <w:rPr>
                      <w:lang w:val="x-none" w:eastAsia="zh-HK"/>
                    </w:rPr>
                    <w:t>第</w:t>
                  </w:r>
                  <w:r w:rsidRPr="00AC77DF">
                    <w:rPr>
                      <w:lang w:val="x-none"/>
                    </w:rPr>
                    <w:t>7</w:t>
                  </w:r>
                  <w:r w:rsidRPr="00AC77DF">
                    <w:rPr>
                      <w:lang w:val="x-none"/>
                    </w:rPr>
                    <w:t>條；公民與政治權利國際公約第</w:t>
                  </w:r>
                  <w:r w:rsidRPr="00AC77DF">
                    <w:rPr>
                      <w:lang w:val="x-none"/>
                    </w:rPr>
                    <w:t>24</w:t>
                  </w:r>
                  <w:r w:rsidRPr="00AC77DF">
                    <w:rPr>
                      <w:lang w:val="x-none"/>
                    </w:rPr>
                    <w:t>條；經濟社會文化權利國際公約第</w:t>
                  </w:r>
                  <w:r w:rsidRPr="00AC77DF">
                    <w:rPr>
                      <w:lang w:val="x-none"/>
                    </w:rPr>
                    <w:t>10</w:t>
                  </w:r>
                  <w:r w:rsidRPr="00AC77DF">
                    <w:rPr>
                      <w:lang w:val="x-none"/>
                    </w:rPr>
                    <w:t>條</w:t>
                  </w:r>
                </w:p>
                <w:p w:rsidR="009C255D" w:rsidRPr="00AC77DF" w:rsidRDefault="009C255D" w:rsidP="00786A3D">
                  <w:pPr>
                    <w:spacing w:line="366" w:lineRule="exact"/>
                    <w:jc w:val="both"/>
                    <w:rPr>
                      <w:b/>
                      <w:lang w:val="x-none"/>
                    </w:rPr>
                  </w:pPr>
                  <w:r w:rsidRPr="00AC77DF">
                    <w:rPr>
                      <w:b/>
                      <w:lang w:val="x-none"/>
                    </w:rPr>
                    <w:t>公民與政治權利國際公約第</w:t>
                  </w:r>
                  <w:r w:rsidRPr="00AC77DF">
                    <w:rPr>
                      <w:b/>
                      <w:lang w:val="x-none"/>
                    </w:rPr>
                    <w:t>24</w:t>
                  </w:r>
                  <w:r w:rsidRPr="00AC77DF">
                    <w:rPr>
                      <w:b/>
                      <w:lang w:val="x-none"/>
                    </w:rPr>
                    <w:t>條</w:t>
                  </w:r>
                </w:p>
                <w:p w:rsidR="009C255D" w:rsidRPr="00AC77DF" w:rsidRDefault="009C255D" w:rsidP="00786A3D">
                  <w:pPr>
                    <w:spacing w:line="366" w:lineRule="exact"/>
                    <w:ind w:left="480" w:hangingChars="200" w:hanging="480"/>
                    <w:jc w:val="both"/>
                  </w:pPr>
                  <w:r w:rsidRPr="00AC77DF">
                    <w:t>一、所有兒童有權享受家庭、社會及國家為其未成年身分給予之必需保護措施，不因種族、膚色、性別、語言、宗教、民族本源或社會階級、財產、或出生而受歧視。</w:t>
                  </w:r>
                </w:p>
                <w:p w:rsidR="009C255D" w:rsidRPr="00AC77DF" w:rsidRDefault="009C255D" w:rsidP="00786A3D">
                  <w:pPr>
                    <w:spacing w:line="366" w:lineRule="exact"/>
                    <w:jc w:val="both"/>
                  </w:pPr>
                  <w:r w:rsidRPr="00AC77DF">
                    <w:t>二、所有兒童出生後應立予登記，並取得名字。</w:t>
                  </w:r>
                </w:p>
                <w:p w:rsidR="009C255D" w:rsidRPr="00AC77DF" w:rsidRDefault="009C255D" w:rsidP="00786A3D">
                  <w:pPr>
                    <w:spacing w:line="366" w:lineRule="exact"/>
                    <w:jc w:val="both"/>
                    <w:rPr>
                      <w:b/>
                      <w:lang w:val="x-none"/>
                    </w:rPr>
                  </w:pPr>
                  <w:r w:rsidRPr="00AC77DF">
                    <w:t>三、所有兒童有取得國籍之權。</w:t>
                  </w:r>
                </w:p>
                <w:p w:rsidR="009C255D" w:rsidRPr="00AC77DF" w:rsidRDefault="009C255D" w:rsidP="00786A3D">
                  <w:pPr>
                    <w:spacing w:line="366" w:lineRule="exact"/>
                    <w:jc w:val="both"/>
                    <w:rPr>
                      <w:b/>
                    </w:rPr>
                  </w:pPr>
                  <w:r w:rsidRPr="00AC77DF">
                    <w:rPr>
                      <w:b/>
                      <w:lang w:val="x-none"/>
                    </w:rPr>
                    <w:t>經濟社會文化權利國際公約</w:t>
                  </w:r>
                  <w:r w:rsidRPr="00AC77DF">
                    <w:rPr>
                      <w:b/>
                    </w:rPr>
                    <w:t>第</w:t>
                  </w:r>
                  <w:r w:rsidRPr="00AC77DF">
                    <w:rPr>
                      <w:b/>
                    </w:rPr>
                    <w:t>10</w:t>
                  </w:r>
                  <w:r w:rsidRPr="00AC77DF">
                    <w:rPr>
                      <w:b/>
                    </w:rPr>
                    <w:t>條</w:t>
                  </w:r>
                </w:p>
                <w:p w:rsidR="009C255D" w:rsidRPr="00AC77DF" w:rsidRDefault="009C255D" w:rsidP="00786A3D">
                  <w:pPr>
                    <w:spacing w:line="366" w:lineRule="exact"/>
                    <w:jc w:val="both"/>
                  </w:pPr>
                  <w:r w:rsidRPr="00AC77DF">
                    <w:t>本公約締約國確認：</w:t>
                  </w:r>
                </w:p>
                <w:p w:rsidR="009C255D" w:rsidRPr="00AC77DF" w:rsidRDefault="009C255D" w:rsidP="00786A3D">
                  <w:pPr>
                    <w:spacing w:line="366" w:lineRule="exact"/>
                    <w:ind w:left="480" w:hangingChars="200" w:hanging="480"/>
                    <w:jc w:val="both"/>
                  </w:pPr>
                  <w:r w:rsidRPr="00AC77DF">
                    <w:t>一、家庭為社會之自然基本團體單位，應儘力廣予保護與協</w:t>
                  </w:r>
                  <w:r w:rsidRPr="00AC77DF">
                    <w:lastRenderedPageBreak/>
                    <w:t>助，其成立及當其負責養護教育受扶養之兒童時，尤應予以保護與協助。婚姻必須婚嫁雙方自由同意方得締結。</w:t>
                  </w:r>
                </w:p>
                <w:p w:rsidR="009C255D" w:rsidRPr="00AC77DF" w:rsidRDefault="009C255D" w:rsidP="00786A3D">
                  <w:pPr>
                    <w:spacing w:line="366" w:lineRule="exact"/>
                    <w:ind w:left="480" w:hangingChars="200" w:hanging="480"/>
                    <w:jc w:val="both"/>
                  </w:pPr>
                  <w:r w:rsidRPr="00AC77DF">
                    <w:t>二、母親於分娩前後相當期間內應受特別保護。工作之母親在此期間應享受照給薪資或有適當社會保障福利之休假。</w:t>
                  </w:r>
                </w:p>
                <w:p w:rsidR="009C255D" w:rsidRDefault="009C255D" w:rsidP="00786A3D">
                  <w:pPr>
                    <w:spacing w:line="366" w:lineRule="exact"/>
                    <w:ind w:left="480" w:hangingChars="200" w:hanging="480"/>
                    <w:jc w:val="both"/>
                  </w:pPr>
                  <w:r w:rsidRPr="00AC77DF">
                    <w:t>三、</w:t>
                  </w:r>
                  <w:r w:rsidR="004A1819" w:rsidRPr="00FC1484">
                    <w:t>所有兒童及少年應有特種措施予以保護與協助，不得因出生或其他關係而受任何歧視。兒童及青年應有保障、免受經濟及社會剝削。凡僱用兒童及少年從事對其道德或健康有害、或有生命危險、或可能妨礙正常發育之工作者均應依法懲罰。國家亦應訂定年齡限制，凡出資僱用未及齡之童工，均應禁止並應依法懲罰。</w:t>
                  </w:r>
                </w:p>
              </w:tc>
            </w:tr>
          </w:tbl>
          <w:p w:rsidR="003807A5" w:rsidRPr="00AC77DF" w:rsidRDefault="003807A5" w:rsidP="00B81B4B">
            <w:pPr>
              <w:spacing w:line="440" w:lineRule="exact"/>
              <w:ind w:left="566" w:hangingChars="236" w:hanging="566"/>
            </w:pPr>
          </w:p>
        </w:tc>
      </w:tr>
    </w:tbl>
    <w:p w:rsidR="000A3C1F" w:rsidRDefault="000A3C1F" w:rsidP="00786A3D">
      <w:pPr>
        <w:pStyle w:val="1---"/>
        <w:spacing w:line="240" w:lineRule="exact"/>
        <w:ind w:firstLine="480"/>
      </w:pPr>
    </w:p>
    <w:p w:rsidR="003807A5" w:rsidRPr="00AC77DF" w:rsidRDefault="0017313D" w:rsidP="00646C8F">
      <w:pPr>
        <w:pStyle w:val="afff1"/>
        <w:spacing w:before="360" w:after="360"/>
      </w:pPr>
      <w:r>
        <w:rPr>
          <w:rFonts w:hint="eastAsia"/>
        </w:rPr>
        <w:t>(一)</w:t>
      </w:r>
      <w:r w:rsidR="003807A5" w:rsidRPr="00AC77DF">
        <w:t>案情簡述</w:t>
      </w:r>
    </w:p>
    <w:p w:rsidR="003807A5" w:rsidRPr="00AC77DF" w:rsidRDefault="003807A5" w:rsidP="00274413">
      <w:pPr>
        <w:pStyle w:val="1---"/>
        <w:spacing w:after="180"/>
        <w:ind w:firstLine="480"/>
      </w:pPr>
      <w:r w:rsidRPr="00AC77DF">
        <w:t>政府持續開放外籍勞工來臺，迄今已達</w:t>
      </w:r>
      <w:r w:rsidRPr="00AC77DF">
        <w:t>60</w:t>
      </w:r>
      <w:r w:rsidRPr="00AC77DF">
        <w:t>萬餘人，女性外籍勞工在臺期間懷孕因擔憂遭不當解</w:t>
      </w:r>
      <w:r w:rsidR="00BC3198">
        <w:rPr>
          <w:rFonts w:hint="eastAsia"/>
        </w:rPr>
        <w:t>僱</w:t>
      </w:r>
      <w:r w:rsidRPr="00AC77DF">
        <w:t>，或有未辦理新生兒通報，致其生育的子女在臺期間所受待遇，與聯合國兒童權利公約之基本權利保障未盡相符；又</w:t>
      </w:r>
      <w:r w:rsidRPr="00AC77DF">
        <w:t>104</w:t>
      </w:r>
      <w:r w:rsidRPr="00AC77DF">
        <w:t>年</w:t>
      </w:r>
      <w:r w:rsidRPr="00AC77DF">
        <w:t>3</w:t>
      </w:r>
      <w:r w:rsidRPr="00AC77DF">
        <w:t>月媒體報導「移工兒童悲歌」引致行政院前院長毛治國關切，責成所屬研擬改進措施並予妥處。究各權責機關處理情形為何？是否符合憲法、兩公約相關法令規定，爰經監察院立案調查。</w:t>
      </w:r>
    </w:p>
    <w:p w:rsidR="00D524F3" w:rsidRDefault="00D524F3" w:rsidP="00786A3D">
      <w:pPr>
        <w:pStyle w:val="1---"/>
        <w:ind w:firstLine="480"/>
      </w:pPr>
    </w:p>
    <w:p w:rsidR="003807A5" w:rsidRPr="00AC77DF" w:rsidRDefault="00646C8F" w:rsidP="00646C8F">
      <w:pPr>
        <w:pStyle w:val="afff1"/>
        <w:spacing w:before="360" w:after="360"/>
      </w:pPr>
      <w:r>
        <w:rPr>
          <w:rFonts w:hint="eastAsia"/>
        </w:rPr>
        <w:lastRenderedPageBreak/>
        <w:t>(二)</w:t>
      </w:r>
      <w:r w:rsidR="003807A5" w:rsidRPr="00AC77DF">
        <w:t>監察院調查發現與建議</w:t>
      </w:r>
    </w:p>
    <w:p w:rsidR="003807A5" w:rsidRPr="00AC77DF" w:rsidRDefault="003807A5" w:rsidP="00274413">
      <w:pPr>
        <w:pStyle w:val="1---"/>
        <w:spacing w:after="180"/>
        <w:ind w:firstLine="480"/>
        <w:rPr>
          <w:b/>
        </w:rPr>
      </w:pPr>
      <w:r w:rsidRPr="00AC77DF">
        <w:t>女性外籍勞工因逃逸或遭遣返等因素，致在臺所生育的子女面臨生父不詳、生母失聯，成為外國籍、無國籍或國籍未定的兒少，並於辦理戶籍登記、歸化、居留或出養時皆遭遇重重阻礙，成為社會中黑戶隱形人，嚴重影響兒少的生存及發展；這類兒少即使透過專案方式取得居留證，並依據兒童及少年福利與權益保障法獲得相關保障，但皆只是暫時性措施，無助於未來發展，一旦年滿</w:t>
      </w:r>
      <w:r w:rsidRPr="00AC77DF">
        <w:t>18</w:t>
      </w:r>
      <w:r w:rsidRPr="00AC77DF">
        <w:t>歲或</w:t>
      </w:r>
      <w:r w:rsidRPr="00AC77DF">
        <w:t>20</w:t>
      </w:r>
      <w:r w:rsidRPr="00AC77DF">
        <w:t>歲，不具有兒少身分時，便失去保護傘；隨著逃逸外勞人數日益增加，問題更加嚴重，行政院必須正視這類兒少的基本人權，特別考量這類兒少所面臨的處境，督促所屬各部會共同研謀解決對策，落實兒少基本權利的保障。</w:t>
      </w:r>
    </w:p>
    <w:p w:rsidR="003807A5" w:rsidRPr="00AC77DF" w:rsidRDefault="00682251" w:rsidP="00145E05">
      <w:pPr>
        <w:pStyle w:val="1--13"/>
        <w:spacing w:before="180" w:after="180"/>
      </w:pPr>
      <w:r w:rsidRPr="008E1832">
        <w:rPr>
          <w:rFonts w:hint="eastAsia"/>
        </w:rPr>
        <w:t>˙</w:t>
      </w:r>
      <w:r w:rsidR="003807A5" w:rsidRPr="00AC77DF">
        <w:t>源頭杜絕女性外籍勞工產下兒童</w:t>
      </w:r>
    </w:p>
    <w:p w:rsidR="003807A5" w:rsidRPr="00AC77DF" w:rsidRDefault="003807A5" w:rsidP="00274413">
      <w:pPr>
        <w:pStyle w:val="1---"/>
        <w:spacing w:after="180"/>
        <w:ind w:firstLine="480"/>
      </w:pPr>
      <w:r w:rsidRPr="00AC77DF">
        <w:t>外籍勞工人數持續攀升，勞動部及衛福部基於國際人權規範，自</w:t>
      </w:r>
      <w:r w:rsidRPr="00AC77DF">
        <w:t>91</w:t>
      </w:r>
      <w:r w:rsidRPr="00AC77DF">
        <w:t>年起陸續取消女性外籍勞工的妊娠檢查規定，惟勞動部對於女性外籍勞工在臺生育子女所衍生的諸多需求及問題，毫無配套措施，也未能積極與衛福部研擬因應解決對策，以致一再發生女性外籍勞工於懷孕或生產後逃逸或棄養子女等情事，使得非本國籍兒少人數及問題持續增加。我國持續引進外籍勞工政策，惟勞動部及內政部移民署卻未能建立有效管理及防堵機制，逃逸外勞人數有增無減，部分外勞逃逸後在臺生育子女，以致這類兒少面臨身分認定、居留權益等問題，甚至被滯留在臺，成為社會中黑戶隱形人。行政院必須正視此項問題的</w:t>
      </w:r>
      <w:r w:rsidRPr="00AC77DF">
        <w:lastRenderedPageBreak/>
        <w:t>嚴重性，督促所屬各部會積極研謀防漏補強對策，俾從源頭杜絕這類兒少問題。</w:t>
      </w:r>
    </w:p>
    <w:p w:rsidR="003807A5" w:rsidRPr="00AC77DF" w:rsidRDefault="00682251" w:rsidP="00145E05">
      <w:pPr>
        <w:pStyle w:val="1--13"/>
        <w:spacing w:before="180" w:after="180"/>
      </w:pPr>
      <w:r w:rsidRPr="008E1832">
        <w:rPr>
          <w:rFonts w:hint="eastAsia"/>
        </w:rPr>
        <w:t>˙</w:t>
      </w:r>
      <w:r w:rsidR="003807A5" w:rsidRPr="00AC77DF">
        <w:t>兒少身分認定問題</w:t>
      </w:r>
    </w:p>
    <w:p w:rsidR="003807A5" w:rsidRPr="00AC77DF" w:rsidRDefault="003807A5" w:rsidP="00274413">
      <w:pPr>
        <w:pStyle w:val="1---"/>
        <w:spacing w:after="180"/>
        <w:ind w:firstLine="480"/>
      </w:pPr>
      <w:r w:rsidRPr="00AC77DF">
        <w:t>衛福部國民健康署（簡稱國健署）雖已要求醫療院所落實核對外國籍產婦的身分證明文件正本，但實務上仍發生逃逸外籍勞工生產時冒用他人證件、使用偽變造資料、填報資料未盡完整或不實等情事，嚴重影響出生通報資料的正確性及完整性，以致後續難以追蹤該外勞及新生兒下落。內政部移民署所屬各地專勤隊接獲醫療院所通知有外國籍產婦身分疑義案件時，未能立即到場確認，另接獲通知訪查非本國籍新生兒出生通報案件，又已超過</w:t>
      </w:r>
      <w:r w:rsidRPr="00AC77DF">
        <w:t>1</w:t>
      </w:r>
      <w:r w:rsidRPr="00AC77DF">
        <w:t>週以上的時間，產婦早已離開醫院不知去向。部分逃逸外籍勞工因擔憂身分曝光而未於醫療院所生產，造成日後這類非本國籍兒少身分的查證比對，更加棘手。行政院宜督促所屬共同研謀解決對策，加強源頭管理，以避免造成日後這類兒少身分認定及遣返作業等困難。</w:t>
      </w:r>
    </w:p>
    <w:p w:rsidR="003807A5" w:rsidRPr="00AC77DF" w:rsidRDefault="00682251" w:rsidP="00145E05">
      <w:pPr>
        <w:pStyle w:val="1--13"/>
        <w:spacing w:before="180" w:after="180"/>
      </w:pPr>
      <w:r w:rsidRPr="008E1832">
        <w:rPr>
          <w:rFonts w:hint="eastAsia"/>
        </w:rPr>
        <w:t>˙</w:t>
      </w:r>
      <w:r w:rsidR="003807A5" w:rsidRPr="00AC77DF">
        <w:t>未落實非本國籍兒少隨同母親一同遣返工作</w:t>
      </w:r>
    </w:p>
    <w:p w:rsidR="003807A5" w:rsidRDefault="003807A5" w:rsidP="00274413">
      <w:pPr>
        <w:pStyle w:val="1---"/>
        <w:spacing w:after="180"/>
        <w:ind w:firstLine="480"/>
        <w:rPr>
          <w:lang w:eastAsia="zh-TW"/>
        </w:rPr>
      </w:pPr>
      <w:r w:rsidRPr="00AC77DF">
        <w:t>內政部移民署所屬專勤隊人員未確依規定落實辦理非本國籍兒少隨同母親一同遣返工作，移民署亦未建立有效勾稽比對機制，致發生外籍生母自行離境或遭遣返出國，所生育的子女卻滯留在臺的疏失，增加日後處理這類非本國兒少身分居留問題的困難度，內政部應督促所屬確實檢討改進。</w:t>
      </w:r>
    </w:p>
    <w:p w:rsidR="00D524F3" w:rsidRPr="00AC77DF" w:rsidRDefault="00D524F3" w:rsidP="00274413">
      <w:pPr>
        <w:pStyle w:val="1---"/>
        <w:spacing w:after="180"/>
        <w:ind w:firstLine="480"/>
        <w:rPr>
          <w:lang w:eastAsia="zh-TW"/>
        </w:rPr>
      </w:pPr>
    </w:p>
    <w:p w:rsidR="003807A5" w:rsidRPr="00AC77DF" w:rsidRDefault="00682251" w:rsidP="00145E05">
      <w:pPr>
        <w:pStyle w:val="1--13"/>
        <w:spacing w:before="180" w:after="180"/>
      </w:pPr>
      <w:r w:rsidRPr="008E1832">
        <w:rPr>
          <w:rFonts w:hint="eastAsia"/>
        </w:rPr>
        <w:lastRenderedPageBreak/>
        <w:t>˙</w:t>
      </w:r>
      <w:r w:rsidR="003807A5" w:rsidRPr="00AC77DF">
        <w:t>管理追蹤機制有待建立</w:t>
      </w:r>
    </w:p>
    <w:p w:rsidR="003807A5" w:rsidRPr="00AC77DF" w:rsidRDefault="003807A5" w:rsidP="00724D82">
      <w:pPr>
        <w:pStyle w:val="1---"/>
        <w:ind w:firstLine="480"/>
      </w:pPr>
      <w:r w:rsidRPr="00AC77DF">
        <w:t>104</w:t>
      </w:r>
      <w:r w:rsidRPr="00AC77DF">
        <w:t>年</w:t>
      </w:r>
      <w:r w:rsidRPr="00AC77DF">
        <w:t>2</w:t>
      </w:r>
      <w:r w:rsidRPr="00AC77DF">
        <w:t>月</w:t>
      </w:r>
      <w:r w:rsidRPr="00AC77DF">
        <w:t>4</w:t>
      </w:r>
      <w:r w:rsidRPr="00AC77DF">
        <w:t>日移民法修正後，懷胎</w:t>
      </w:r>
      <w:r w:rsidRPr="00AC77DF">
        <w:t>5</w:t>
      </w:r>
      <w:r w:rsidRPr="00AC77DF">
        <w:t>個月以上、或生產未滿</w:t>
      </w:r>
      <w:r w:rsidRPr="00AC77DF">
        <w:t>2</w:t>
      </w:r>
      <w:r w:rsidRPr="00AC77DF">
        <w:t>個月的非法外籍勞工及未滿</w:t>
      </w:r>
      <w:r w:rsidRPr="00AC77DF">
        <w:t>12</w:t>
      </w:r>
      <w:r w:rsidRPr="00AC77DF">
        <w:t>歲的非本國籍兒童得不暫予收容。該項修法立意良善，但內政部移民署欠缺適當的收容替代場所，也未能建立有效管理追蹤機制，以致這些非法外籍勞工在收容替代處分期間再次逃逸及棄養子女，衍生後續非本國籍兒少身分認定及安置照顧等諸多問題。內政部於修法的同時，未能督促移民署通盤研擬相關配套措施，以致又發生非法外籍勞工再次逃逸的漏洞，亟應從速研謀解決對策。</w:t>
      </w:r>
    </w:p>
    <w:p w:rsidR="003807A5" w:rsidRPr="00AC77DF" w:rsidRDefault="003807A5" w:rsidP="00274413">
      <w:pPr>
        <w:pStyle w:val="1---"/>
        <w:spacing w:after="180"/>
        <w:ind w:firstLine="480"/>
      </w:pPr>
      <w:r w:rsidRPr="00AC77DF">
        <w:t>依據本案調查意見</w:t>
      </w:r>
      <w:r w:rsidRPr="00C13BF4">
        <w:rPr>
          <w:rStyle w:val="aff2"/>
          <w:rFonts w:eastAsiaTheme="majorEastAsia"/>
        </w:rPr>
        <w:footnoteReference w:id="32"/>
      </w:r>
      <w:r w:rsidRPr="00AC77DF">
        <w:t>，監察院函請行政院督促所屬確實檢討改進見復；另糾正勞動部及內政部移民署；並函請內政部督促所屬確實檢討改進見復。</w:t>
      </w:r>
    </w:p>
    <w:p w:rsidR="003807A5" w:rsidRPr="00AC77DF" w:rsidRDefault="00646C8F" w:rsidP="00646C8F">
      <w:pPr>
        <w:pStyle w:val="afff1"/>
        <w:spacing w:before="360" w:after="360"/>
      </w:pPr>
      <w:r>
        <w:rPr>
          <w:rFonts w:hint="eastAsia"/>
        </w:rPr>
        <w:t>(三)</w:t>
      </w:r>
      <w:r w:rsidR="003807A5" w:rsidRPr="00AC77DF">
        <w:t>政府機關改善情形</w:t>
      </w:r>
    </w:p>
    <w:p w:rsidR="003807A5" w:rsidRPr="00AC77DF" w:rsidRDefault="003807A5" w:rsidP="007373B4">
      <w:pPr>
        <w:pStyle w:val="1---"/>
        <w:ind w:leftChars="100" w:left="600" w:hangingChars="150" w:hanging="360"/>
        <w:rPr>
          <w:color w:val="000000" w:themeColor="text1"/>
        </w:rPr>
      </w:pPr>
      <w:r w:rsidRPr="00AC77DF">
        <w:rPr>
          <w:color w:val="000000" w:themeColor="text1"/>
        </w:rPr>
        <w:t>1</w:t>
      </w:r>
      <w:r w:rsidRPr="00AC77DF">
        <w:rPr>
          <w:color w:val="000000" w:themeColor="text1"/>
        </w:rPr>
        <w:t>、</w:t>
      </w:r>
      <w:r w:rsidRPr="00AC77DF">
        <w:t>針對非本國籍兒少屬「生父不詳，生母為外國人已出境或遭遣返回國、行方不明者」及「生父不詳、生母為外國人且在臺行方不明者」之類型，內政部於</w:t>
      </w:r>
      <w:r w:rsidRPr="00AC77DF">
        <w:t>106</w:t>
      </w:r>
      <w:r w:rsidRPr="00AC77DF">
        <w:t>年</w:t>
      </w:r>
      <w:r w:rsidRPr="00AC77DF">
        <w:t>1</w:t>
      </w:r>
      <w:r w:rsidRPr="00AC77DF">
        <w:t>月</w:t>
      </w:r>
      <w:r w:rsidRPr="00AC77DF">
        <w:t>9</w:t>
      </w:r>
      <w:r w:rsidRPr="00AC77DF">
        <w:t>日訂定「在臺出生非本國籍兒童、少年申請認定為無國籍人一覽表及流程」，據以認定此種兒少為無國籍。經內政部認定為無國籍人後，續由各地方社政主管機關依該部</w:t>
      </w:r>
      <w:r w:rsidRPr="00AC77DF">
        <w:t>106</w:t>
      </w:r>
      <w:r w:rsidRPr="00AC77DF">
        <w:t>年</w:t>
      </w:r>
      <w:r w:rsidRPr="00AC77DF">
        <w:t>6</w:t>
      </w:r>
      <w:r w:rsidRPr="00AC77DF">
        <w:t>月</w:t>
      </w:r>
      <w:r w:rsidRPr="00AC77DF">
        <w:t>27</w:t>
      </w:r>
      <w:r w:rsidRPr="00AC77DF">
        <w:t>日訂定之「辦理非本國籍無依兒少外僑居留證核發標準作業流程」，申請無國籍外僑居留證，保障其就醫</w:t>
      </w:r>
      <w:r w:rsidRPr="00AC77DF">
        <w:lastRenderedPageBreak/>
        <w:t>及社會福利等相關權益，並辦理收出養媒合，依收出養結果申請歸化為收養人的國籍。倘於年滿</w:t>
      </w:r>
      <w:r w:rsidRPr="00AC77DF">
        <w:t>18</w:t>
      </w:r>
      <w:r w:rsidRPr="00AC77DF">
        <w:t>歲後仍未獲出養者，依內政部</w:t>
      </w:r>
      <w:r w:rsidRPr="00AC77DF">
        <w:t>106</w:t>
      </w:r>
      <w:r w:rsidRPr="00AC77DF">
        <w:t>年</w:t>
      </w:r>
      <w:r w:rsidRPr="00AC77DF">
        <w:t>4</w:t>
      </w:r>
      <w:r w:rsidRPr="00AC77DF">
        <w:t>月</w:t>
      </w:r>
      <w:r w:rsidRPr="00AC77DF">
        <w:t>17</w:t>
      </w:r>
      <w:r w:rsidRPr="00AC77DF">
        <w:t>日「研商在臺出生非本國籍兒少之國籍歸化、身分認定及認領登記會議」決議，由地方社政主管機關代當事人向戶政事務所送件申請歸化我國國籍，層轉內政部專案辦理。嗣內政部考量經社會福利機關（構）監護之非本國籍無依兒少經認定為無國籍人，其身分不穩定，恐影響其身心發展，爰於</w:t>
      </w:r>
      <w:r w:rsidRPr="00AC77DF">
        <w:t>106</w:t>
      </w:r>
      <w:r w:rsidRPr="00AC77DF">
        <w:t>年</w:t>
      </w:r>
      <w:r w:rsidRPr="00AC77DF">
        <w:t>8</w:t>
      </w:r>
      <w:r w:rsidRPr="00AC77DF">
        <w:t>月</w:t>
      </w:r>
      <w:r w:rsidRPr="00AC77DF">
        <w:t>22</w:t>
      </w:r>
      <w:r w:rsidRPr="00AC77DF">
        <w:t>日放寬以社會福利主管機關為其監護人之無國籍人，得由社會福利機關（構）代為申請歸化我國國籍。</w:t>
      </w:r>
    </w:p>
    <w:p w:rsidR="003807A5" w:rsidRPr="00AC77DF" w:rsidRDefault="003807A5" w:rsidP="007373B4">
      <w:pPr>
        <w:pStyle w:val="1---"/>
        <w:ind w:leftChars="100" w:left="600" w:hangingChars="150" w:hanging="360"/>
      </w:pPr>
      <w:r w:rsidRPr="00AC77DF">
        <w:t>2</w:t>
      </w:r>
      <w:r w:rsidRPr="00AC77DF">
        <w:t>、國健署已製作提供</w:t>
      </w:r>
      <w:r w:rsidRPr="00AC77DF">
        <w:t>5</w:t>
      </w:r>
      <w:r w:rsidRPr="00AC77DF">
        <w:t>種語言之口服避孕藥及保險套等避孕保健衛教及生育相關宣導資料，勞動部並已於</w:t>
      </w:r>
      <w:r w:rsidRPr="00AC77DF">
        <w:t>106</w:t>
      </w:r>
      <w:r w:rsidRPr="00AC77DF">
        <w:t>年</w:t>
      </w:r>
      <w:r w:rsidRPr="00AC77DF">
        <w:t>6</w:t>
      </w:r>
      <w:r w:rsidRPr="00AC77DF">
        <w:t>月</w:t>
      </w:r>
      <w:r w:rsidRPr="00AC77DF">
        <w:t>27</w:t>
      </w:r>
      <w:r w:rsidRPr="00AC77DF">
        <w:t>日函送各外籍勞工來源國駐臺辦事處，請協助外勞來臺工作前職前訓練，加強避孕衛教宣導。勞動部亦研擬</w:t>
      </w:r>
      <w:r w:rsidRPr="00AC77DF">
        <w:t>4</w:t>
      </w:r>
      <w:r w:rsidRPr="00AC77DF">
        <w:t>項相關配套措施，並針對逃逸外勞人數有增無減問題，提出「跨國勞動力亦維護資訊網站」及「修法取消外籍勞工聘僱期滿需出國</w:t>
      </w:r>
      <w:r w:rsidRPr="00AC77DF">
        <w:t>1</w:t>
      </w:r>
      <w:r w:rsidRPr="00AC77DF">
        <w:t>日」等措施。</w:t>
      </w:r>
    </w:p>
    <w:p w:rsidR="003807A5" w:rsidRPr="00AC77DF" w:rsidRDefault="003807A5" w:rsidP="007373B4">
      <w:pPr>
        <w:pStyle w:val="1---"/>
        <w:ind w:leftChars="100" w:left="600" w:hangingChars="150" w:hanging="360"/>
        <w:rPr>
          <w:color w:val="000000" w:themeColor="text1"/>
        </w:rPr>
      </w:pPr>
      <w:r w:rsidRPr="00AC77DF">
        <w:rPr>
          <w:color w:val="000000" w:themeColor="text1"/>
        </w:rPr>
        <w:t>3</w:t>
      </w:r>
      <w:r w:rsidRPr="00AC77DF">
        <w:rPr>
          <w:color w:val="000000" w:themeColor="text1"/>
        </w:rPr>
        <w:t>、</w:t>
      </w:r>
      <w:r w:rsidRPr="00AC77DF">
        <w:t>針對內政部移民署所屬專勤隊人員未確依規定落實辦理非本國籍兒少隨同母親一同遣返工作，致發生外籍生母所生育的子女滯留在臺之情事，內政部已提出該部移民署採取之改善措施。包括</w:t>
      </w:r>
      <w:r w:rsidRPr="00724D82">
        <w:rPr>
          <w:spacing w:val="-30"/>
        </w:rPr>
        <w:t>：</w:t>
      </w:r>
      <w:r w:rsidRPr="00AC77DF">
        <w:t>（</w:t>
      </w:r>
      <w:r w:rsidRPr="00AC77DF">
        <w:t>1</w:t>
      </w:r>
      <w:r w:rsidRPr="00AC77DF">
        <w:t>）該部移民署訂有「外來人口在臺所生新生兒註記標準作業流程」及「查處非法外來人口及其在臺育有未滿十八歲兒少工作標準作業流程」，由各區事務大隊督導所屬落實勤務執行，除要求專勤隊人員依前揭標準作業流程落實外，並由該隊分隊長以上主管進行</w:t>
      </w:r>
      <w:r w:rsidRPr="00AC77DF">
        <w:lastRenderedPageBreak/>
        <w:t>審核；另收容所接收受收容人後，亦會複詢受收容人有無於本國育有未滿</w:t>
      </w:r>
      <w:r w:rsidRPr="00AC77DF">
        <w:t>18</w:t>
      </w:r>
      <w:r w:rsidRPr="00AC77DF">
        <w:t>歲子女</w:t>
      </w:r>
      <w:r w:rsidRPr="00724D82">
        <w:rPr>
          <w:spacing w:val="-30"/>
        </w:rPr>
        <w:t>。</w:t>
      </w:r>
      <w:r w:rsidRPr="00AC77DF">
        <w:t>（</w:t>
      </w:r>
      <w:r w:rsidRPr="00AC77DF">
        <w:t>2</w:t>
      </w:r>
      <w:r w:rsidRPr="00AC77DF">
        <w:t>）移民署各區事務大隊加強宣導同仁落實執行，遇有是類個案，列為各區大隊會報管控及督慰勤重點督導項目</w:t>
      </w:r>
      <w:r w:rsidRPr="00724D82">
        <w:rPr>
          <w:spacing w:val="-30"/>
        </w:rPr>
        <w:t>。</w:t>
      </w:r>
      <w:r w:rsidRPr="00AC77DF">
        <w:t>（</w:t>
      </w:r>
      <w:r w:rsidRPr="00AC77DF">
        <w:t>3</w:t>
      </w:r>
      <w:r w:rsidRPr="00AC77DF">
        <w:t>）國境查驗系統與「入出國及移民業務管理系統」之「逃逸外勞在臺生產子女」註記勾稽，以避免外籍生母（失聯外籍勞工）出境，卻將</w:t>
      </w:r>
      <w:r w:rsidRPr="00724D82">
        <w:rPr>
          <w:spacing w:val="2"/>
        </w:rPr>
        <w:t>所生子女滯留在臺之情事，該勾稽比對功能並已完成建置。</w:t>
      </w:r>
    </w:p>
    <w:p w:rsidR="003807A5" w:rsidRPr="00AC77DF" w:rsidRDefault="00646C8F" w:rsidP="00D524F3">
      <w:pPr>
        <w:pStyle w:val="afff1"/>
        <w:spacing w:before="360" w:afterLines="80" w:after="288"/>
      </w:pPr>
      <w:r>
        <w:rPr>
          <w:rFonts w:hint="eastAsia"/>
        </w:rPr>
        <w:t>(四)</w:t>
      </w:r>
      <w:r w:rsidR="003807A5" w:rsidRPr="00AC77DF">
        <w:t>案件進展</w:t>
      </w:r>
    </w:p>
    <w:p w:rsidR="003807A5" w:rsidRDefault="003807A5" w:rsidP="003823CE">
      <w:pPr>
        <w:pStyle w:val="1---"/>
        <w:ind w:firstLine="480"/>
        <w:rPr>
          <w:lang w:eastAsia="zh-TW"/>
        </w:rPr>
      </w:pPr>
      <w:r w:rsidRPr="00AC77DF">
        <w:t>監察院持續列管追蹤本案後續改善情形，期建立制度，以策來茲。</w:t>
      </w:r>
    </w:p>
    <w:p w:rsidR="003823CE" w:rsidRDefault="003823CE" w:rsidP="00705C9A">
      <w:pPr>
        <w:pStyle w:val="1---"/>
        <w:spacing w:line="420" w:lineRule="exact"/>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4531"/>
      </w:tblGrid>
      <w:tr w:rsidR="003823CE" w:rsidTr="003823CE">
        <w:tc>
          <w:tcPr>
            <w:tcW w:w="4531" w:type="dxa"/>
            <w:shd w:val="clear" w:color="auto" w:fill="D9D9D9" w:themeFill="background1" w:themeFillShade="D9"/>
          </w:tcPr>
          <w:p w:rsidR="003823CE" w:rsidRDefault="003823CE" w:rsidP="003823CE">
            <w:pPr>
              <w:pStyle w:val="11-"/>
              <w:spacing w:before="72" w:after="108"/>
              <w:rPr>
                <w:lang w:eastAsia="zh-TW"/>
              </w:rPr>
            </w:pPr>
            <w:bookmarkStart w:id="62" w:name="_Toc535228318"/>
            <w:bookmarkStart w:id="63" w:name="_Toc4058728"/>
            <w:r w:rsidRPr="006B285F">
              <w:t>士官長對部屬性騷擾事件違失案</w:t>
            </w:r>
            <w:bookmarkEnd w:id="62"/>
            <w:bookmarkEnd w:id="63"/>
          </w:p>
        </w:tc>
      </w:tr>
    </w:tbl>
    <w:p w:rsidR="003823CE" w:rsidRPr="003823CE" w:rsidRDefault="003823CE" w:rsidP="00705C9A">
      <w:pPr>
        <w:pStyle w:val="1---"/>
        <w:spacing w:line="420" w:lineRule="exact"/>
        <w:ind w:firstLine="480"/>
        <w:rPr>
          <w:lang w:eastAsia="zh-TW"/>
        </w:rPr>
      </w:pPr>
    </w:p>
    <w:tbl>
      <w:tblPr>
        <w:tblStyle w:val="aff5"/>
        <w:tblW w:w="4756" w:type="pct"/>
        <w:tblInd w:w="113" w:type="dxa"/>
        <w:tblLook w:val="04A0" w:firstRow="1" w:lastRow="0" w:firstColumn="1" w:lastColumn="0" w:noHBand="0" w:noVBand="1"/>
      </w:tblPr>
      <w:tblGrid>
        <w:gridCol w:w="6516"/>
      </w:tblGrid>
      <w:tr w:rsidR="009C255D" w:rsidTr="00705C9A">
        <w:trPr>
          <w:trHeight w:val="1252"/>
        </w:trPr>
        <w:tc>
          <w:tcPr>
            <w:tcW w:w="5000" w:type="pct"/>
          </w:tcPr>
          <w:p w:rsidR="009C255D" w:rsidRDefault="009C255D" w:rsidP="0091002E">
            <w:pPr>
              <w:spacing w:line="360" w:lineRule="exact"/>
              <w:jc w:val="both"/>
            </w:pPr>
            <w:r w:rsidRPr="00AC77DF">
              <w:rPr>
                <w:b/>
                <w:lang w:val="x-none"/>
              </w:rPr>
              <w:t>相關國際人權公約：</w:t>
            </w:r>
            <w:r w:rsidRPr="00AC77DF">
              <w:rPr>
                <w:lang w:val="x-none"/>
              </w:rPr>
              <w:t>公民與政治權利國際公約第</w:t>
            </w:r>
            <w:r w:rsidRPr="00AC77DF">
              <w:rPr>
                <w:lang w:val="x-none"/>
              </w:rPr>
              <w:t>14</w:t>
            </w:r>
            <w:r w:rsidRPr="00AC77DF">
              <w:rPr>
                <w:lang w:val="x-none"/>
              </w:rPr>
              <w:t>條、消除對婦女一切形式歧視公約第</w:t>
            </w:r>
            <w:r w:rsidRPr="00AC77DF">
              <w:rPr>
                <w:lang w:val="x-none"/>
              </w:rPr>
              <w:t>3</w:t>
            </w:r>
            <w:r w:rsidRPr="00AC77DF">
              <w:rPr>
                <w:lang w:val="x-none"/>
              </w:rPr>
              <w:t>條、公民與政治權利國際公約第</w:t>
            </w:r>
            <w:r w:rsidRPr="00AC77DF">
              <w:rPr>
                <w:lang w:val="x-none"/>
              </w:rPr>
              <w:t>8</w:t>
            </w:r>
            <w:r w:rsidRPr="00AC77DF">
              <w:rPr>
                <w:lang w:val="x-none"/>
              </w:rPr>
              <w:t>號一般性意見。</w:t>
            </w:r>
          </w:p>
        </w:tc>
      </w:tr>
    </w:tbl>
    <w:p w:rsidR="003807A5" w:rsidRPr="00AC77DF" w:rsidRDefault="00BD4D07" w:rsidP="00D524F3">
      <w:pPr>
        <w:pStyle w:val="afff1"/>
        <w:spacing w:before="360" w:afterLines="80" w:after="288"/>
        <w:rPr>
          <w:szCs w:val="28"/>
          <w:lang w:val="x-none"/>
        </w:rPr>
      </w:pPr>
      <w:r>
        <w:rPr>
          <w:rFonts w:hint="eastAsia"/>
        </w:rPr>
        <w:t>(一)</w:t>
      </w:r>
      <w:r w:rsidR="003807A5" w:rsidRPr="00AC77DF">
        <w:t>案情簡述</w:t>
      </w:r>
    </w:p>
    <w:p w:rsidR="00D9396D" w:rsidRDefault="003807A5" w:rsidP="00721678">
      <w:pPr>
        <w:pStyle w:val="1---"/>
        <w:spacing w:after="180"/>
        <w:ind w:firstLine="480"/>
        <w:rPr>
          <w:rFonts w:ascii="華康魏碑體" w:eastAsia="華康魏碑體" w:hAnsi="細明體" w:cs="細明體"/>
          <w:kern w:val="0"/>
          <w:sz w:val="34"/>
          <w:szCs w:val="32"/>
        </w:rPr>
      </w:pPr>
      <w:r w:rsidRPr="00AC77DF">
        <w:rPr>
          <w:rFonts w:eastAsiaTheme="majorEastAsia"/>
        </w:rPr>
        <w:t>據悉，陸軍第八軍團指揮部於</w:t>
      </w:r>
      <w:r w:rsidRPr="00AC77DF">
        <w:rPr>
          <w:rFonts w:eastAsiaTheme="majorEastAsia"/>
        </w:rPr>
        <w:t>105</w:t>
      </w:r>
      <w:r w:rsidRPr="00AC77DF">
        <w:rPr>
          <w:rFonts w:eastAsiaTheme="majorEastAsia"/>
        </w:rPr>
        <w:t>年</w:t>
      </w:r>
      <w:r w:rsidRPr="00AC77DF">
        <w:rPr>
          <w:rFonts w:eastAsiaTheme="majorEastAsia"/>
        </w:rPr>
        <w:t>6</w:t>
      </w:r>
      <w:r w:rsidRPr="00AC77DF">
        <w:rPr>
          <w:rFonts w:eastAsiaTheme="majorEastAsia"/>
        </w:rPr>
        <w:t>月至</w:t>
      </w:r>
      <w:r w:rsidRPr="00AC77DF">
        <w:rPr>
          <w:rFonts w:eastAsiaTheme="majorEastAsia"/>
        </w:rPr>
        <w:t>8</w:t>
      </w:r>
      <w:r w:rsidRPr="00AC77DF">
        <w:rPr>
          <w:rFonts w:eastAsiaTheme="majorEastAsia"/>
        </w:rPr>
        <w:t>月間，發生某女性下士遭王姓士官長熊抱、親吻、壓制在床上等情，但軍</w:t>
      </w:r>
      <w:r w:rsidRPr="00AC77DF">
        <w:rPr>
          <w:rFonts w:eastAsiaTheme="majorEastAsia"/>
        </w:rPr>
        <w:lastRenderedPageBreak/>
        <w:t>方僅以「不服管教、怠忽職守」名義對士官長記</w:t>
      </w:r>
      <w:r w:rsidRPr="00AC77DF">
        <w:rPr>
          <w:rFonts w:eastAsiaTheme="majorEastAsia"/>
        </w:rPr>
        <w:t>3</w:t>
      </w:r>
      <w:r w:rsidRPr="00AC77DF">
        <w:rPr>
          <w:rFonts w:eastAsiaTheme="majorEastAsia"/>
        </w:rPr>
        <w:t>小過，且王姓士官長還有</w:t>
      </w:r>
      <w:r w:rsidRPr="00AC77DF">
        <w:rPr>
          <w:rFonts w:eastAsiaTheme="majorEastAsia"/>
        </w:rPr>
        <w:t>1</w:t>
      </w:r>
      <w:r w:rsidRPr="00AC77DF">
        <w:rPr>
          <w:rFonts w:eastAsiaTheme="majorEastAsia"/>
        </w:rPr>
        <w:t>年就要退伍可領終身俸，幾名檢舉人也被上級用奇怪理由調離原單位。究涉案人員是否依法懲處以及被害人有無獲得心理輔導協助</w:t>
      </w:r>
      <w:r w:rsidR="0077027A">
        <w:rPr>
          <w:rFonts w:eastAsiaTheme="majorEastAsia"/>
        </w:rPr>
        <w:t>？</w:t>
      </w:r>
      <w:r w:rsidRPr="00AC77DF">
        <w:rPr>
          <w:rFonts w:eastAsiaTheme="majorEastAsia"/>
        </w:rPr>
        <w:t>監察委員認有深入瞭解之必要，而立案調查。</w:t>
      </w:r>
    </w:p>
    <w:p w:rsidR="003807A5" w:rsidRPr="00AC77DF" w:rsidRDefault="00BD4D07" w:rsidP="00BD4D07">
      <w:pPr>
        <w:pStyle w:val="afff1"/>
        <w:spacing w:before="360" w:after="360"/>
        <w:rPr>
          <w:szCs w:val="28"/>
        </w:rPr>
      </w:pPr>
      <w:r>
        <w:rPr>
          <w:rFonts w:hint="eastAsia"/>
        </w:rPr>
        <w:t>(二)</w:t>
      </w:r>
      <w:r w:rsidR="003807A5" w:rsidRPr="00AC77DF">
        <w:t>監察院調查發現與建議</w:t>
      </w:r>
    </w:p>
    <w:p w:rsidR="00055FA2" w:rsidRDefault="00682251" w:rsidP="00145E05">
      <w:pPr>
        <w:pStyle w:val="1--13"/>
        <w:spacing w:before="180" w:after="180"/>
      </w:pPr>
      <w:r w:rsidRPr="008E1832">
        <w:rPr>
          <w:rFonts w:hint="eastAsia"/>
        </w:rPr>
        <w:t>˙</w:t>
      </w:r>
      <w:r w:rsidR="00055FA2">
        <w:rPr>
          <w:rFonts w:hint="eastAsia"/>
        </w:rPr>
        <w:t>對下屬不當</w:t>
      </w:r>
      <w:r w:rsidR="00055FA2" w:rsidRPr="00AC77DF">
        <w:t>性騷擾</w:t>
      </w:r>
    </w:p>
    <w:p w:rsidR="003807A5" w:rsidRDefault="003807A5" w:rsidP="00274413">
      <w:pPr>
        <w:pStyle w:val="1---"/>
        <w:spacing w:after="180"/>
        <w:ind w:firstLine="480"/>
        <w:rPr>
          <w:lang w:eastAsia="zh-TW"/>
        </w:rPr>
      </w:pPr>
      <w:r w:rsidRPr="00AC77DF">
        <w:t>王基勝任職</w:t>
      </w:r>
      <w:r w:rsidRPr="00AC77DF">
        <w:t>75</w:t>
      </w:r>
      <w:r w:rsidRPr="00AC77DF">
        <w:t>資電群士官長時，違背其下屬</w:t>
      </w:r>
      <w:r w:rsidRPr="00AC77DF">
        <w:t>A</w:t>
      </w:r>
      <w:r w:rsidRPr="00AC77DF">
        <w:t>女之意願，於</w:t>
      </w:r>
      <w:r w:rsidRPr="00AC77DF">
        <w:t>105</w:t>
      </w:r>
      <w:r w:rsidRPr="00AC77DF">
        <w:t>年</w:t>
      </w:r>
      <w:r w:rsidRPr="00AC77DF">
        <w:t>6</w:t>
      </w:r>
      <w:r w:rsidRPr="00AC77DF">
        <w:t>月</w:t>
      </w:r>
      <w:r w:rsidRPr="00AC77DF">
        <w:t>22</w:t>
      </w:r>
      <w:r w:rsidRPr="00AC77DF">
        <w:t>日上班時間將</w:t>
      </w:r>
      <w:r w:rsidRPr="00AC77DF">
        <w:t>A</w:t>
      </w:r>
      <w:r w:rsidRPr="00AC77DF">
        <w:t>女推倒床上後為親吻及撫摸胸部等行為，另於同年</w:t>
      </w:r>
      <w:r w:rsidRPr="00AC77DF">
        <w:t>7</w:t>
      </w:r>
      <w:r w:rsidRPr="00AC77DF">
        <w:t>月</w:t>
      </w:r>
      <w:r w:rsidRPr="00AC77DF">
        <w:t>26</w:t>
      </w:r>
      <w:r w:rsidRPr="00AC77DF">
        <w:t>日、</w:t>
      </w:r>
      <w:r w:rsidRPr="00AC77DF">
        <w:t>8</w:t>
      </w:r>
      <w:r w:rsidRPr="00AC77DF">
        <w:t>月</w:t>
      </w:r>
      <w:r w:rsidRPr="00AC77DF">
        <w:t>9</w:t>
      </w:r>
      <w:r w:rsidRPr="00AC77DF">
        <w:t>日、</w:t>
      </w:r>
      <w:r w:rsidRPr="00AC77DF">
        <w:t>8</w:t>
      </w:r>
      <w:r w:rsidRPr="00AC77DF">
        <w:t>月</w:t>
      </w:r>
      <w:r w:rsidRPr="00AC77DF">
        <w:t>16</w:t>
      </w:r>
      <w:r w:rsidRPr="00AC77DF">
        <w:t>日之上班時間及</w:t>
      </w:r>
      <w:r w:rsidRPr="00AC77DF">
        <w:t>6</w:t>
      </w:r>
      <w:r w:rsidRPr="00AC77DF">
        <w:t>月</w:t>
      </w:r>
      <w:r w:rsidRPr="00AC77DF">
        <w:t>27</w:t>
      </w:r>
      <w:r w:rsidRPr="00AC77DF">
        <w:t>日之下班時間，共</w:t>
      </w:r>
      <w:r w:rsidRPr="00AC77DF">
        <w:t>4</w:t>
      </w:r>
      <w:r w:rsidRPr="00AC77DF">
        <w:t>次為熊抱</w:t>
      </w:r>
      <w:r w:rsidRPr="00AC77DF">
        <w:t>A</w:t>
      </w:r>
      <w:r w:rsidRPr="00AC77DF">
        <w:t>女欲為親吻等行為，使</w:t>
      </w:r>
      <w:r w:rsidRPr="00AC77DF">
        <w:t>A</w:t>
      </w:r>
      <w:r w:rsidRPr="00AC77DF">
        <w:t>女感到非常噁心、難過及絕望，不斷哭泣。再者，其於同年</w:t>
      </w:r>
      <w:r w:rsidRPr="00AC77DF">
        <w:t>6</w:t>
      </w:r>
      <w:r w:rsidRPr="00AC77DF">
        <w:t>月至</w:t>
      </w:r>
      <w:r w:rsidRPr="00AC77DF">
        <w:t>8</w:t>
      </w:r>
      <w:r w:rsidRPr="00AC77DF">
        <w:t>月之上班或下班時間，不斷用</w:t>
      </w:r>
      <w:r w:rsidRPr="00AC77DF">
        <w:t>LINE</w:t>
      </w:r>
      <w:r w:rsidRPr="00AC77DF">
        <w:t>向</w:t>
      </w:r>
      <w:r w:rsidRPr="00AC77DF">
        <w:t>A</w:t>
      </w:r>
      <w:r w:rsidRPr="00AC77DF">
        <w:t>女傳送「何時要來找我」、「房間等我」、「偷偷來喔</w:t>
      </w:r>
      <w:r w:rsidR="00F9266D">
        <w:rPr>
          <w:rFonts w:hint="eastAsia"/>
          <w:lang w:eastAsia="zh-TW"/>
        </w:rPr>
        <w:t>！</w:t>
      </w:r>
      <w:r w:rsidRPr="00AC77DF">
        <w:t>」等訊息，其中</w:t>
      </w:r>
      <w:r w:rsidRPr="00AC77DF">
        <w:t>1</w:t>
      </w:r>
      <w:r w:rsidRPr="00AC77DF">
        <w:t>天內傳</w:t>
      </w:r>
      <w:r w:rsidRPr="00AC77DF">
        <w:t>10</w:t>
      </w:r>
      <w:r w:rsidRPr="00AC77DF">
        <w:t>多次約有</w:t>
      </w:r>
      <w:r w:rsidRPr="00AC77DF">
        <w:t>3</w:t>
      </w:r>
      <w:r w:rsidRPr="00AC77DF">
        <w:t>天，使</w:t>
      </w:r>
      <w:r w:rsidRPr="00AC77DF">
        <w:t>A</w:t>
      </w:r>
      <w:r w:rsidRPr="00AC77DF">
        <w:t>女感到厭煩及恐懼。其於上班、下班時間所為上開行為分別構成性別工作平等法第</w:t>
      </w:r>
      <w:r w:rsidRPr="00AC77DF">
        <w:t>12</w:t>
      </w:r>
      <w:r w:rsidRPr="00AC77DF">
        <w:t>條、性騷擾防治法第</w:t>
      </w:r>
      <w:r w:rsidRPr="00AC77DF">
        <w:t>2</w:t>
      </w:r>
      <w:r w:rsidRPr="00AC77DF">
        <w:t>條所稱性騷擾，符合陸海空軍懲罰法第</w:t>
      </w:r>
      <w:r w:rsidRPr="00AC77DF">
        <w:t>15</w:t>
      </w:r>
      <w:r w:rsidRPr="00AC77DF">
        <w:t>條第</w:t>
      </w:r>
      <w:r w:rsidRPr="00AC77DF">
        <w:t>13</w:t>
      </w:r>
      <w:r w:rsidRPr="00AC77DF">
        <w:t>款所定應受懲罰事由，陸軍第八軍團指揮部調查報告亦認定其成立性騷擾在案，臺灣橋頭地方檢察署亦以其涉犯強制猥褻罪提起公訴。</w:t>
      </w:r>
    </w:p>
    <w:p w:rsidR="00D524F3" w:rsidRDefault="00D524F3" w:rsidP="00786A3D">
      <w:pPr>
        <w:pStyle w:val="1---"/>
        <w:ind w:firstLine="480"/>
      </w:pPr>
    </w:p>
    <w:p w:rsidR="00055FA2" w:rsidRPr="00AC77DF" w:rsidRDefault="00682251" w:rsidP="00145E05">
      <w:pPr>
        <w:pStyle w:val="1--13"/>
        <w:spacing w:before="180" w:after="180"/>
      </w:pPr>
      <w:r w:rsidRPr="008E1832">
        <w:rPr>
          <w:rFonts w:hint="eastAsia"/>
        </w:rPr>
        <w:lastRenderedPageBreak/>
        <w:t>˙</w:t>
      </w:r>
      <w:r w:rsidR="00055FA2" w:rsidRPr="00055FA2">
        <w:rPr>
          <w:rFonts w:hint="eastAsia"/>
        </w:rPr>
        <w:t>未依法調查且</w:t>
      </w:r>
      <w:r w:rsidR="00055FA2" w:rsidRPr="00055FA2">
        <w:t>隱匿不報</w:t>
      </w:r>
    </w:p>
    <w:p w:rsidR="003807A5" w:rsidRDefault="003807A5" w:rsidP="00721678">
      <w:pPr>
        <w:pStyle w:val="1---"/>
        <w:spacing w:after="180"/>
        <w:ind w:firstLine="480"/>
        <w:rPr>
          <w:rFonts w:eastAsiaTheme="majorEastAsia"/>
          <w:lang w:eastAsia="zh-TW"/>
        </w:rPr>
      </w:pPr>
      <w:r w:rsidRPr="00055FA2">
        <w:t>曾</w:t>
      </w:r>
      <w:r w:rsidRPr="00AC77DF">
        <w:rPr>
          <w:rFonts w:eastAsiaTheme="majorEastAsia"/>
        </w:rPr>
        <w:t>紀群任職</w:t>
      </w:r>
      <w:r w:rsidRPr="00AC77DF">
        <w:rPr>
          <w:rFonts w:eastAsiaTheme="majorEastAsia"/>
        </w:rPr>
        <w:t>75</w:t>
      </w:r>
      <w:r w:rsidRPr="00AC77DF">
        <w:rPr>
          <w:rFonts w:eastAsiaTheme="majorEastAsia"/>
        </w:rPr>
        <w:t>資電群指揮官，成遠志任職該群區域營營長，於</w:t>
      </w:r>
      <w:r w:rsidRPr="00AC77DF">
        <w:rPr>
          <w:rFonts w:eastAsiaTheme="majorEastAsia"/>
        </w:rPr>
        <w:t>105</w:t>
      </w:r>
      <w:r w:rsidRPr="00AC77DF">
        <w:rPr>
          <w:rFonts w:eastAsiaTheme="majorEastAsia"/>
        </w:rPr>
        <w:t>年</w:t>
      </w:r>
      <w:r w:rsidRPr="00AC77DF">
        <w:rPr>
          <w:rFonts w:eastAsiaTheme="majorEastAsia"/>
        </w:rPr>
        <w:t>8</w:t>
      </w:r>
      <w:r w:rsidRPr="00AC77DF">
        <w:rPr>
          <w:rFonts w:eastAsiaTheme="majorEastAsia"/>
        </w:rPr>
        <w:t>月</w:t>
      </w:r>
      <w:r w:rsidRPr="00AC77DF">
        <w:rPr>
          <w:rFonts w:eastAsiaTheme="majorEastAsia"/>
        </w:rPr>
        <w:t>24</w:t>
      </w:r>
      <w:r w:rsidRPr="00AC77DF">
        <w:rPr>
          <w:rFonts w:eastAsiaTheme="majorEastAsia"/>
        </w:rPr>
        <w:t>日接受回報本件疑似性騷擾及性侵害案件時，不僅未依法主動調查並協助被害人提出申訴，竟意圖掩蓋事實、隱匿案情，曾紀群未依法向軍團回報，且指示成遠志以非</w:t>
      </w:r>
      <w:r w:rsidRPr="00055FA2">
        <w:t>性騷擾</w:t>
      </w:r>
      <w:r w:rsidRPr="00AC77DF">
        <w:rPr>
          <w:rFonts w:eastAsiaTheme="majorEastAsia"/>
        </w:rPr>
        <w:t>事由懲處王基勝並調離現職，成遠志遂於同月</w:t>
      </w:r>
      <w:r w:rsidRPr="00AC77DF">
        <w:rPr>
          <w:rFonts w:eastAsiaTheme="majorEastAsia"/>
        </w:rPr>
        <w:t>26</w:t>
      </w:r>
      <w:r w:rsidRPr="00AC77DF">
        <w:rPr>
          <w:rFonts w:eastAsiaTheme="majorEastAsia"/>
        </w:rPr>
        <w:t>日以不實之「行為不檢</w:t>
      </w:r>
      <w:r w:rsidRPr="00D9396D">
        <w:rPr>
          <w:rFonts w:eastAsiaTheme="majorEastAsia"/>
          <w:spacing w:val="-30"/>
        </w:rPr>
        <w:t>」、</w:t>
      </w:r>
      <w:r w:rsidRPr="00AC77DF">
        <w:rPr>
          <w:rFonts w:eastAsiaTheme="majorEastAsia"/>
        </w:rPr>
        <w:t>「怠忽職守」事由核予王基勝記過</w:t>
      </w:r>
      <w:r w:rsidRPr="00AC77DF">
        <w:rPr>
          <w:rFonts w:eastAsiaTheme="majorEastAsia"/>
        </w:rPr>
        <w:t>3</w:t>
      </w:r>
      <w:r w:rsidRPr="00AC77DF">
        <w:rPr>
          <w:rFonts w:eastAsiaTheme="majorEastAsia"/>
        </w:rPr>
        <w:t>次處分，且未經權責長官批示簽呈、令稿，逕行指示人事官</w:t>
      </w:r>
      <w:r w:rsidR="00721678">
        <w:rPr>
          <w:rFonts w:eastAsiaTheme="majorEastAsia" w:hint="eastAsia"/>
          <w:lang w:eastAsia="zh-TW"/>
        </w:rPr>
        <w:t>楊佳澤</w:t>
      </w:r>
      <w:r w:rsidRPr="00AC77DF">
        <w:rPr>
          <w:rFonts w:eastAsiaTheme="majorEastAsia"/>
        </w:rPr>
        <w:t>發布無送達證書之懲處令；嗣後經其下屬施</w:t>
      </w:r>
      <w:r w:rsidRPr="00937E63">
        <w:rPr>
          <w:rFonts w:asciiTheme="majorEastAsia" w:eastAsiaTheme="majorEastAsia" w:hAnsiTheme="majorEastAsia"/>
        </w:rPr>
        <w:t>○○</w:t>
      </w:r>
      <w:r w:rsidRPr="00AC77DF">
        <w:rPr>
          <w:rFonts w:eastAsiaTheme="majorEastAsia"/>
        </w:rPr>
        <w:t>、聶</w:t>
      </w:r>
      <w:r w:rsidRPr="00937E63">
        <w:rPr>
          <w:rFonts w:asciiTheme="majorEastAsia" w:eastAsiaTheme="majorEastAsia" w:hAnsiTheme="majorEastAsia"/>
        </w:rPr>
        <w:t>○○</w:t>
      </w:r>
      <w:r w:rsidRPr="00AC77DF">
        <w:rPr>
          <w:rFonts w:eastAsiaTheme="majorEastAsia"/>
        </w:rPr>
        <w:t>、吳</w:t>
      </w:r>
      <w:r w:rsidRPr="00937E63">
        <w:rPr>
          <w:rFonts w:asciiTheme="majorEastAsia" w:eastAsiaTheme="majorEastAsia" w:hAnsiTheme="majorEastAsia"/>
        </w:rPr>
        <w:t>○○</w:t>
      </w:r>
      <w:r w:rsidRPr="00AC77DF">
        <w:rPr>
          <w:rFonts w:eastAsiaTheme="majorEastAsia"/>
        </w:rPr>
        <w:t>、楊</w:t>
      </w:r>
      <w:r w:rsidRPr="00937E63">
        <w:rPr>
          <w:rFonts w:asciiTheme="majorEastAsia" w:eastAsiaTheme="majorEastAsia" w:hAnsiTheme="majorEastAsia"/>
        </w:rPr>
        <w:t>○○</w:t>
      </w:r>
      <w:r w:rsidRPr="00AC77DF">
        <w:rPr>
          <w:rFonts w:eastAsiaTheme="majorEastAsia"/>
        </w:rPr>
        <w:t>等分別反映處分事由不當，曾紀群仍維持原處置、隱匿不報，且指示成遠志歸還或銷毀</w:t>
      </w:r>
      <w:r w:rsidRPr="00AC77DF">
        <w:rPr>
          <w:rFonts w:eastAsiaTheme="majorEastAsia"/>
        </w:rPr>
        <w:t>A</w:t>
      </w:r>
      <w:r w:rsidRPr="00AC77DF">
        <w:rPr>
          <w:rFonts w:eastAsiaTheme="majorEastAsia"/>
        </w:rPr>
        <w:t>女及檢舉人蔣</w:t>
      </w:r>
      <w:r w:rsidRPr="00937E63">
        <w:rPr>
          <w:rFonts w:asciiTheme="majorEastAsia" w:eastAsiaTheme="majorEastAsia" w:hAnsiTheme="majorEastAsia"/>
        </w:rPr>
        <w:t>○○</w:t>
      </w:r>
      <w:r w:rsidRPr="00AC77DF">
        <w:rPr>
          <w:rFonts w:eastAsiaTheme="majorEastAsia"/>
        </w:rPr>
        <w:t>之報告書，成遠志雖未依指示歸還或銷毀，但曾企圖說服施</w:t>
      </w:r>
      <w:r w:rsidRPr="00937E63">
        <w:rPr>
          <w:rFonts w:asciiTheme="majorEastAsia" w:eastAsiaTheme="majorEastAsia" w:hAnsiTheme="majorEastAsia"/>
        </w:rPr>
        <w:t>○○、</w:t>
      </w:r>
      <w:r w:rsidRPr="00AC77DF">
        <w:rPr>
          <w:rFonts w:eastAsiaTheme="majorEastAsia"/>
        </w:rPr>
        <w:t>聶</w:t>
      </w:r>
      <w:r w:rsidRPr="00937E63">
        <w:rPr>
          <w:rFonts w:asciiTheme="majorEastAsia" w:eastAsiaTheme="majorEastAsia" w:hAnsiTheme="majorEastAsia"/>
        </w:rPr>
        <w:t>○○</w:t>
      </w:r>
      <w:r w:rsidRPr="00AC77DF">
        <w:rPr>
          <w:rFonts w:eastAsiaTheme="majorEastAsia"/>
        </w:rPr>
        <w:t>勿再追究此事；軍團因保防官丁</w:t>
      </w:r>
      <w:r w:rsidR="00721678">
        <w:rPr>
          <w:rFonts w:asciiTheme="majorEastAsia" w:eastAsiaTheme="majorEastAsia" w:hAnsiTheme="majorEastAsia" w:hint="eastAsia"/>
          <w:lang w:eastAsia="zh-TW"/>
        </w:rPr>
        <w:t>建同</w:t>
      </w:r>
      <w:r w:rsidRPr="00AC77DF">
        <w:rPr>
          <w:rFonts w:eastAsiaTheme="majorEastAsia"/>
        </w:rPr>
        <w:t>回報而知悉本案並介入調查後，曾紀群始指示成遠志於同年</w:t>
      </w:r>
      <w:r w:rsidRPr="00AC77DF">
        <w:rPr>
          <w:rFonts w:eastAsiaTheme="majorEastAsia"/>
        </w:rPr>
        <w:t>9</w:t>
      </w:r>
      <w:r w:rsidRPr="00AC77DF">
        <w:rPr>
          <w:rFonts w:eastAsiaTheme="majorEastAsia"/>
        </w:rPr>
        <w:t>月</w:t>
      </w:r>
      <w:r w:rsidRPr="00AC77DF">
        <w:rPr>
          <w:rFonts w:eastAsiaTheme="majorEastAsia"/>
        </w:rPr>
        <w:t>12</w:t>
      </w:r>
      <w:r w:rsidRPr="00AC77DF">
        <w:rPr>
          <w:rFonts w:eastAsiaTheme="majorEastAsia"/>
        </w:rPr>
        <w:t>日通知人事官註銷懲處令。曾紀群、成遠志上開行為違法亂紀，經媒體報導，嚴重損害軍譽，其與楊</w:t>
      </w:r>
      <w:r w:rsidR="00721678">
        <w:rPr>
          <w:rFonts w:eastAsiaTheme="majorEastAsia" w:hint="eastAsia"/>
          <w:lang w:eastAsia="zh-TW"/>
        </w:rPr>
        <w:t>佳澤</w:t>
      </w:r>
      <w:r w:rsidRPr="00AC77DF">
        <w:rPr>
          <w:rFonts w:eastAsiaTheme="majorEastAsia"/>
        </w:rPr>
        <w:t>均涉犯長官職責罪，現由臺灣橋頭地方檢察署偵辦中。有關人事官</w:t>
      </w:r>
      <w:r w:rsidR="00895792" w:rsidRPr="00AC77DF">
        <w:rPr>
          <w:rFonts w:eastAsiaTheme="majorEastAsia"/>
        </w:rPr>
        <w:t>楊</w:t>
      </w:r>
      <w:r w:rsidR="00895792">
        <w:rPr>
          <w:rFonts w:eastAsiaTheme="majorEastAsia" w:hint="eastAsia"/>
          <w:lang w:eastAsia="zh-TW"/>
        </w:rPr>
        <w:t>佳澤</w:t>
      </w:r>
      <w:r w:rsidRPr="00AC77DF">
        <w:rPr>
          <w:rFonts w:eastAsiaTheme="majorEastAsia"/>
        </w:rPr>
        <w:t>未依陸海空軍懲罰法程序發布王基勝</w:t>
      </w:r>
      <w:r w:rsidRPr="00AC77DF">
        <w:rPr>
          <w:rFonts w:eastAsiaTheme="majorEastAsia"/>
        </w:rPr>
        <w:t>3</w:t>
      </w:r>
      <w:r w:rsidRPr="00AC77DF">
        <w:rPr>
          <w:rFonts w:eastAsiaTheme="majorEastAsia"/>
        </w:rPr>
        <w:t>小過處分，且未依職權提醒營長相關人士作業程序部分，陸軍司令部僅給予申誡</w:t>
      </w:r>
      <w:r w:rsidRPr="00AC77DF">
        <w:rPr>
          <w:rFonts w:eastAsiaTheme="majorEastAsia"/>
        </w:rPr>
        <w:t>2</w:t>
      </w:r>
      <w:r w:rsidRPr="00AC77DF">
        <w:rPr>
          <w:rFonts w:eastAsiaTheme="majorEastAsia"/>
        </w:rPr>
        <w:t>次之處分，處罰過輕。且該部對葉</w:t>
      </w:r>
      <w:r w:rsidR="00721678">
        <w:rPr>
          <w:rFonts w:asciiTheme="majorEastAsia" w:eastAsiaTheme="majorEastAsia" w:hAnsiTheme="majorEastAsia" w:hint="eastAsia"/>
          <w:lang w:eastAsia="zh-TW"/>
        </w:rPr>
        <w:t>裕雄</w:t>
      </w:r>
      <w:r w:rsidRPr="00AC77DF">
        <w:rPr>
          <w:rFonts w:eastAsiaTheme="majorEastAsia"/>
        </w:rPr>
        <w:t>僅就其督管不周及知情不報部分給予申誡</w:t>
      </w:r>
      <w:r w:rsidRPr="00AC77DF">
        <w:rPr>
          <w:rFonts w:eastAsiaTheme="majorEastAsia"/>
        </w:rPr>
        <w:t>2</w:t>
      </w:r>
      <w:r w:rsidRPr="00AC77DF">
        <w:rPr>
          <w:rFonts w:eastAsiaTheme="majorEastAsia"/>
        </w:rPr>
        <w:t>次之懲處，對其調離曾</w:t>
      </w:r>
      <w:r w:rsidR="00895792">
        <w:rPr>
          <w:rFonts w:eastAsiaTheme="majorEastAsia" w:hint="eastAsia"/>
          <w:lang w:eastAsia="zh-TW"/>
        </w:rPr>
        <w:t>紀群</w:t>
      </w:r>
      <w:r w:rsidRPr="00AC77DF">
        <w:rPr>
          <w:rFonts w:eastAsiaTheme="majorEastAsia"/>
        </w:rPr>
        <w:t>反映案件處置不當之施</w:t>
      </w:r>
      <w:r w:rsidRPr="00937E63">
        <w:rPr>
          <w:rFonts w:asciiTheme="majorEastAsia" w:eastAsiaTheme="majorEastAsia" w:hAnsiTheme="majorEastAsia"/>
        </w:rPr>
        <w:t>○○、</w:t>
      </w:r>
      <w:r w:rsidRPr="00AC77DF">
        <w:rPr>
          <w:rFonts w:eastAsiaTheme="majorEastAsia"/>
        </w:rPr>
        <w:t>聶</w:t>
      </w:r>
      <w:r w:rsidRPr="00937E63">
        <w:rPr>
          <w:rFonts w:asciiTheme="majorEastAsia" w:eastAsiaTheme="majorEastAsia" w:hAnsiTheme="majorEastAsia"/>
        </w:rPr>
        <w:t>○○，</w:t>
      </w:r>
      <w:r w:rsidRPr="00AC77DF">
        <w:rPr>
          <w:rFonts w:eastAsiaTheme="majorEastAsia"/>
        </w:rPr>
        <w:t>施</w:t>
      </w:r>
      <w:r w:rsidRPr="00937E63">
        <w:rPr>
          <w:rFonts w:asciiTheme="majorEastAsia" w:eastAsiaTheme="majorEastAsia" w:hAnsiTheme="majorEastAsia"/>
        </w:rPr>
        <w:t>○○</w:t>
      </w:r>
      <w:r w:rsidRPr="00AC77DF">
        <w:rPr>
          <w:rFonts w:eastAsiaTheme="majorEastAsia"/>
        </w:rPr>
        <w:t>因而簽立切結書放棄</w:t>
      </w:r>
      <w:r w:rsidRPr="00AC77DF">
        <w:rPr>
          <w:rFonts w:eastAsiaTheme="majorEastAsia"/>
        </w:rPr>
        <w:t>105</w:t>
      </w:r>
      <w:r w:rsidRPr="00AC77DF">
        <w:rPr>
          <w:rFonts w:eastAsiaTheme="majorEastAsia"/>
        </w:rPr>
        <w:t>年度晉任案部分，卻未為任何處分。</w:t>
      </w:r>
    </w:p>
    <w:p w:rsidR="00D524F3" w:rsidRDefault="00D524F3" w:rsidP="00786A3D">
      <w:pPr>
        <w:pStyle w:val="1---"/>
        <w:ind w:firstLine="480"/>
      </w:pPr>
    </w:p>
    <w:p w:rsidR="00055FA2" w:rsidRPr="00055FA2" w:rsidRDefault="00682251" w:rsidP="00145E05">
      <w:pPr>
        <w:pStyle w:val="1--13"/>
        <w:spacing w:before="180" w:after="180"/>
      </w:pPr>
      <w:r w:rsidRPr="008E1832">
        <w:rPr>
          <w:rFonts w:hint="eastAsia"/>
        </w:rPr>
        <w:lastRenderedPageBreak/>
        <w:t>˙</w:t>
      </w:r>
      <w:r w:rsidR="00055FA2">
        <w:rPr>
          <w:rFonts w:hint="eastAsia"/>
        </w:rPr>
        <w:t>缺乏</w:t>
      </w:r>
      <w:r w:rsidR="00055FA2" w:rsidRPr="00AC77DF">
        <w:t>申訴、調查及處理程序</w:t>
      </w:r>
      <w:r w:rsidR="00055FA2">
        <w:rPr>
          <w:rFonts w:hint="eastAsia"/>
        </w:rPr>
        <w:t>相關規定</w:t>
      </w:r>
    </w:p>
    <w:p w:rsidR="003807A5" w:rsidRPr="00055FA2" w:rsidRDefault="003807A5" w:rsidP="00274413">
      <w:pPr>
        <w:pStyle w:val="1---"/>
        <w:spacing w:after="180"/>
        <w:ind w:firstLine="480"/>
      </w:pPr>
      <w:r w:rsidRPr="00AC77DF">
        <w:t>國防部所頒定之「國軍人員性騷擾處理及性侵害預防實施規定」，僅規定性騷擾案件之相關程序，對於傷害被害人更為嚴重之性侵害案件，卻僅規定預防程序，而未規定申訴、調查及處理程序，不僅輕重失衡，而且對於性侵害被害人之人權保障不周。再者，該實施規定對於軍紀督察人員主動實施調查性騷擾案件之相關程序及調查報告之效力，均無規定，易生爭議。此外，對於軍中教育單位的教育人員於執行職務時知有疑似性侵害犯罪情事者依法應負</w:t>
      </w:r>
      <w:r w:rsidRPr="00AC77DF">
        <w:t>24</w:t>
      </w:r>
      <w:r w:rsidRPr="00AC77DF">
        <w:t>小時通報義務，亦未加以規定，實有不當。國防部應儘速加以修正該實施規定，使其更為妥善周</w:t>
      </w:r>
      <w:r w:rsidRPr="00055FA2">
        <w:t>延。</w:t>
      </w:r>
    </w:p>
    <w:p w:rsidR="00055FA2" w:rsidRPr="00055FA2" w:rsidRDefault="00682251" w:rsidP="00145E05">
      <w:pPr>
        <w:pStyle w:val="1--13"/>
        <w:spacing w:before="180" w:after="180"/>
      </w:pPr>
      <w:r w:rsidRPr="008E1832">
        <w:rPr>
          <w:rFonts w:hint="eastAsia"/>
        </w:rPr>
        <w:t>˙</w:t>
      </w:r>
      <w:r w:rsidR="00055FA2" w:rsidRPr="00AC77DF">
        <w:t>未落實查核及管考工作</w:t>
      </w:r>
    </w:p>
    <w:p w:rsidR="003807A5" w:rsidRPr="00AC77DF" w:rsidRDefault="003807A5" w:rsidP="0091435D">
      <w:pPr>
        <w:pStyle w:val="1---"/>
        <w:spacing w:line="370" w:lineRule="exact"/>
        <w:ind w:firstLine="480"/>
        <w:rPr>
          <w:lang w:eastAsia="zh-TW"/>
        </w:rPr>
      </w:pPr>
      <w:r w:rsidRPr="00AC77DF">
        <w:t>據國防部統計，自</w:t>
      </w:r>
      <w:r w:rsidRPr="00AC77DF">
        <w:t>95</w:t>
      </w:r>
      <w:r w:rsidRPr="00AC77DF">
        <w:t>年至</w:t>
      </w:r>
      <w:r w:rsidRPr="00AC77DF">
        <w:t>105</w:t>
      </w:r>
      <w:r w:rsidRPr="00AC77DF">
        <w:t>年止，軍中性騷擾事件計</w:t>
      </w:r>
      <w:r w:rsidRPr="00AC77DF">
        <w:t>120</w:t>
      </w:r>
      <w:r w:rsidRPr="00AC77DF">
        <w:t>件，經調查成立計有</w:t>
      </w:r>
      <w:r w:rsidRPr="00AC77DF">
        <w:t>118</w:t>
      </w:r>
      <w:r w:rsidRPr="00AC77DF">
        <w:t>件，又自</w:t>
      </w:r>
      <w:r w:rsidRPr="00AC77DF">
        <w:t>95</w:t>
      </w:r>
      <w:r w:rsidRPr="00AC77DF">
        <w:t>年至</w:t>
      </w:r>
      <w:r w:rsidRPr="00AC77DF">
        <w:t>102</w:t>
      </w:r>
      <w:r w:rsidRPr="00AC77DF">
        <w:t>年因性侵害案件遭法院判刑者共</w:t>
      </w:r>
      <w:r w:rsidRPr="00AC77DF">
        <w:t>648</w:t>
      </w:r>
      <w:r w:rsidRPr="00AC77DF">
        <w:t>件，顯見軍中性侵害、性騷擾問題仍然嚴重。再者，自</w:t>
      </w:r>
      <w:r w:rsidRPr="00AC77DF">
        <w:t>103</w:t>
      </w:r>
      <w:r w:rsidRPr="00AC77DF">
        <w:t>年</w:t>
      </w:r>
      <w:r w:rsidRPr="00AC77DF">
        <w:t>1</w:t>
      </w:r>
      <w:r w:rsidRPr="00AC77DF">
        <w:t>月</w:t>
      </w:r>
      <w:r w:rsidRPr="00AC77DF">
        <w:t>13</w:t>
      </w:r>
      <w:r w:rsidRPr="00AC77DF">
        <w:t>日以後，現役軍人平時犯罪雖已移由司法機關辦理，但該部對性侵案件移送司法機關後之情形，竟無相關統計，顯見未能落實相關查核及追蹤管考工作，並研擬相關懲處及處遇對策。</w:t>
      </w:r>
    </w:p>
    <w:p w:rsidR="003807A5" w:rsidRPr="00AC77DF" w:rsidRDefault="003807A5" w:rsidP="0091435D">
      <w:pPr>
        <w:pStyle w:val="1---"/>
        <w:spacing w:after="180" w:line="370" w:lineRule="exact"/>
        <w:ind w:firstLine="480"/>
      </w:pPr>
      <w:r w:rsidRPr="00AC77DF">
        <w:t>依據前揭調查意見</w:t>
      </w:r>
      <w:r w:rsidRPr="00AC77DF">
        <w:rPr>
          <w:rStyle w:val="aff2"/>
        </w:rPr>
        <w:footnoteReference w:id="33"/>
      </w:r>
      <w:r w:rsidRPr="00AC77DF">
        <w:t>，監察院</w:t>
      </w:r>
      <w:r w:rsidRPr="00AC77DF">
        <w:rPr>
          <w:rFonts w:eastAsiaTheme="majorEastAsia"/>
        </w:rPr>
        <w:t>依法彈劾王基勝、曾紀群及成遠志，</w:t>
      </w:r>
      <w:r w:rsidRPr="00AC77DF">
        <w:t>並請陸軍司令部確實檢討改進；另糾正國防部。</w:t>
      </w:r>
      <w:r w:rsidRPr="00AC77DF">
        <w:rPr>
          <w:rFonts w:eastAsiaTheme="majorEastAsia"/>
        </w:rPr>
        <w:t>至於</w:t>
      </w:r>
      <w:r w:rsidRPr="00AC77DF">
        <w:rPr>
          <w:rFonts w:eastAsiaTheme="majorEastAsia"/>
        </w:rPr>
        <w:lastRenderedPageBreak/>
        <w:t>勇於檢舉、陳報及反映處置不當之蔣</w:t>
      </w:r>
      <w:r w:rsidRPr="00937E63">
        <w:rPr>
          <w:rFonts w:asciiTheme="majorEastAsia" w:eastAsiaTheme="majorEastAsia" w:hAnsiTheme="majorEastAsia"/>
        </w:rPr>
        <w:t>○○、</w:t>
      </w:r>
      <w:r w:rsidRPr="00AC77DF">
        <w:rPr>
          <w:rFonts w:eastAsiaTheme="majorEastAsia"/>
        </w:rPr>
        <w:t>丁</w:t>
      </w:r>
      <w:r w:rsidR="00721678">
        <w:rPr>
          <w:rFonts w:asciiTheme="majorEastAsia" w:eastAsiaTheme="majorEastAsia" w:hAnsiTheme="majorEastAsia" w:hint="eastAsia"/>
          <w:lang w:eastAsia="zh-TW"/>
        </w:rPr>
        <w:t>建同</w:t>
      </w:r>
      <w:r w:rsidRPr="00937E63">
        <w:rPr>
          <w:rFonts w:asciiTheme="majorEastAsia" w:eastAsiaTheme="majorEastAsia" w:hAnsiTheme="majorEastAsia"/>
        </w:rPr>
        <w:t>、</w:t>
      </w:r>
      <w:r w:rsidRPr="00AC77DF">
        <w:rPr>
          <w:rFonts w:eastAsiaTheme="majorEastAsia"/>
        </w:rPr>
        <w:t>施</w:t>
      </w:r>
      <w:r w:rsidRPr="00937E63">
        <w:rPr>
          <w:rFonts w:asciiTheme="majorEastAsia" w:eastAsiaTheme="majorEastAsia" w:hAnsiTheme="majorEastAsia"/>
        </w:rPr>
        <w:t>○○</w:t>
      </w:r>
      <w:r w:rsidRPr="00AC77DF">
        <w:rPr>
          <w:rFonts w:eastAsiaTheme="majorEastAsia"/>
        </w:rPr>
        <w:t>及聶</w:t>
      </w:r>
      <w:r w:rsidRPr="00937E63">
        <w:rPr>
          <w:rFonts w:asciiTheme="majorEastAsia" w:eastAsiaTheme="majorEastAsia" w:hAnsiTheme="majorEastAsia"/>
        </w:rPr>
        <w:t>○○，</w:t>
      </w:r>
      <w:r w:rsidRPr="00AC77DF">
        <w:rPr>
          <w:rFonts w:eastAsiaTheme="majorEastAsia"/>
        </w:rPr>
        <w:t>建議予以適度之獎勵。</w:t>
      </w:r>
    </w:p>
    <w:p w:rsidR="003807A5" w:rsidRPr="00AC77DF" w:rsidRDefault="00BD4D07" w:rsidP="00BD4D07">
      <w:pPr>
        <w:pStyle w:val="afff1"/>
        <w:spacing w:before="360" w:after="360"/>
      </w:pPr>
      <w:r>
        <w:rPr>
          <w:rFonts w:hint="eastAsia"/>
        </w:rPr>
        <w:t>(三)</w:t>
      </w:r>
      <w:r w:rsidR="003807A5" w:rsidRPr="00AC77DF">
        <w:t>政府機關改善情形</w:t>
      </w:r>
    </w:p>
    <w:p w:rsidR="003807A5" w:rsidRPr="00AC77DF" w:rsidRDefault="003807A5" w:rsidP="007373B4">
      <w:pPr>
        <w:pStyle w:val="1---"/>
        <w:ind w:leftChars="100" w:left="600" w:hangingChars="150" w:hanging="360"/>
      </w:pPr>
      <w:r w:rsidRPr="00AC77DF">
        <w:t>1</w:t>
      </w:r>
      <w:r w:rsidRPr="00AC77DF">
        <w:t>、</w:t>
      </w:r>
      <w:r w:rsidRPr="00AC77DF">
        <w:rPr>
          <w:rFonts w:eastAsiaTheme="majorEastAsia"/>
        </w:rPr>
        <w:t>王基勝</w:t>
      </w:r>
      <w:r w:rsidRPr="00AC77DF">
        <w:t>經</w:t>
      </w:r>
      <w:r>
        <w:rPr>
          <w:rFonts w:hint="eastAsia"/>
        </w:rPr>
        <w:t>公務員懲戒委員會（簡稱公懲會）</w:t>
      </w:r>
      <w:r w:rsidRPr="00AC77DF">
        <w:t>107</w:t>
      </w:r>
      <w:r w:rsidRPr="00AC77DF">
        <w:t>年度鑑字第</w:t>
      </w:r>
      <w:r w:rsidRPr="00AC77DF">
        <w:t>14183</w:t>
      </w:r>
      <w:r w:rsidRPr="00AC77DF">
        <w:t>號判決撤職並停止任用貳年；其直屬上級長官</w:t>
      </w:r>
      <w:r w:rsidRPr="00AC77DF">
        <w:rPr>
          <w:rFonts w:eastAsiaTheme="majorEastAsia"/>
        </w:rPr>
        <w:t>曾紀群</w:t>
      </w:r>
      <w:r w:rsidRPr="00AC77DF">
        <w:t>降壹級改敘、</w:t>
      </w:r>
      <w:r w:rsidRPr="00AC77DF">
        <w:rPr>
          <w:rFonts w:eastAsiaTheme="majorEastAsia"/>
        </w:rPr>
        <w:t>成遠志</w:t>
      </w:r>
      <w:r w:rsidRPr="00AC77DF">
        <w:t>記過貳次。</w:t>
      </w:r>
    </w:p>
    <w:p w:rsidR="003807A5" w:rsidRPr="00AC77DF" w:rsidRDefault="003807A5" w:rsidP="007373B4">
      <w:pPr>
        <w:pStyle w:val="1---"/>
        <w:ind w:leftChars="100" w:left="600" w:hangingChars="150" w:hanging="360"/>
        <w:rPr>
          <w:b/>
        </w:rPr>
      </w:pPr>
      <w:r w:rsidRPr="00AC77DF">
        <w:t>2</w:t>
      </w:r>
      <w:r w:rsidRPr="00AC77DF">
        <w:t>、國防部陸軍司令部對前群士官長葉</w:t>
      </w:r>
      <w:r w:rsidR="00721678">
        <w:rPr>
          <w:rFonts w:asciiTheme="majorEastAsia" w:hAnsiTheme="majorEastAsia" w:hint="eastAsia"/>
          <w:lang w:eastAsia="zh-TW"/>
        </w:rPr>
        <w:t>裕雄</w:t>
      </w:r>
      <w:r w:rsidRPr="00AC77DF">
        <w:t>處罰過輕部分，依陸海空軍懲罰法第</w:t>
      </w:r>
      <w:r w:rsidRPr="00AC77DF">
        <w:t>15</w:t>
      </w:r>
      <w:r w:rsidRPr="00AC77DF">
        <w:t>條第</w:t>
      </w:r>
      <w:r w:rsidRPr="00AC77DF">
        <w:t>2</w:t>
      </w:r>
      <w:r w:rsidRPr="00AC77DF">
        <w:t>款：「不遵法令規定」核予葉</w:t>
      </w:r>
      <w:r w:rsidR="00721678">
        <w:rPr>
          <w:rFonts w:asciiTheme="majorEastAsia" w:hAnsiTheme="majorEastAsia" w:hint="eastAsia"/>
          <w:lang w:eastAsia="zh-TW"/>
        </w:rPr>
        <w:t>裕雄</w:t>
      </w:r>
      <w:r w:rsidRPr="00AC77DF">
        <w:t>申誡兩次處分；另對前指揮官曾紀群上校擔任主官未盡督導之責，依陸海空軍懲罰法第</w:t>
      </w:r>
      <w:r w:rsidRPr="00AC77DF">
        <w:t>15</w:t>
      </w:r>
      <w:r w:rsidRPr="00AC77DF">
        <w:t>條第</w:t>
      </w:r>
      <w:r w:rsidRPr="00AC77DF">
        <w:t>1</w:t>
      </w:r>
      <w:r w:rsidRPr="00AC77DF">
        <w:t>款：「怠忽職責」核予申誡乙次處分；丁</w:t>
      </w:r>
      <w:r w:rsidR="00721678">
        <w:rPr>
          <w:rFonts w:asciiTheme="majorEastAsia" w:hAnsiTheme="majorEastAsia" w:hint="eastAsia"/>
          <w:lang w:eastAsia="zh-TW"/>
        </w:rPr>
        <w:t>建同</w:t>
      </w:r>
      <w:r w:rsidRPr="00AC77DF">
        <w:t>榮獲陸軍績優保防官殊榮，頒發陸軍獎狀乙幀，並晉任軍團少校保防官職務；蔣</w:t>
      </w:r>
      <w:r w:rsidRPr="00937E63">
        <w:rPr>
          <w:rFonts w:asciiTheme="majorEastAsia" w:hAnsiTheme="majorEastAsia"/>
        </w:rPr>
        <w:t>○○、</w:t>
      </w:r>
      <w:r w:rsidRPr="00AC77DF">
        <w:t>施</w:t>
      </w:r>
      <w:r w:rsidRPr="00937E63">
        <w:rPr>
          <w:rFonts w:asciiTheme="majorEastAsia" w:hAnsiTheme="majorEastAsia"/>
        </w:rPr>
        <w:t>○○</w:t>
      </w:r>
      <w:r w:rsidRPr="00AC77DF">
        <w:t>及聶</w:t>
      </w:r>
      <w:r w:rsidRPr="00937E63">
        <w:rPr>
          <w:rFonts w:asciiTheme="majorEastAsia" w:hAnsiTheme="majorEastAsia"/>
        </w:rPr>
        <w:t>○○</w:t>
      </w:r>
      <w:r w:rsidRPr="00AC77DF">
        <w:t>等則分別核予嘉獎</w:t>
      </w:r>
      <w:r w:rsidRPr="00AC77DF">
        <w:t>2</w:t>
      </w:r>
      <w:r w:rsidRPr="00AC77DF">
        <w:t>次。</w:t>
      </w:r>
    </w:p>
    <w:p w:rsidR="003807A5" w:rsidRPr="00AC77DF" w:rsidRDefault="003807A5" w:rsidP="007373B4">
      <w:pPr>
        <w:pStyle w:val="1---"/>
        <w:ind w:leftChars="100" w:left="600" w:hangingChars="150" w:hanging="360"/>
      </w:pPr>
      <w:r w:rsidRPr="00AC77DF">
        <w:t>3</w:t>
      </w:r>
      <w:r w:rsidRPr="00AC77DF">
        <w:t>、國防部依相關調查意見修訂「國軍人員性騷擾處理及性侵害預防實施規定」，惟仍有下列疑點待該部補充說明：</w:t>
      </w:r>
    </w:p>
    <w:p w:rsidR="003807A5" w:rsidRPr="00AC77DF" w:rsidRDefault="003807A5" w:rsidP="00DB32BE">
      <w:pPr>
        <w:pStyle w:val="1---"/>
        <w:ind w:leftChars="200" w:left="1080" w:hangingChars="250" w:hanging="600"/>
      </w:pPr>
      <w:r w:rsidRPr="00AC77DF">
        <w:t>（</w:t>
      </w:r>
      <w:r w:rsidRPr="00AC77DF">
        <w:t>1</w:t>
      </w:r>
      <w:r w:rsidRPr="00AC77DF">
        <w:t>）對於軍中教育單位的教育人員於執行職務時知有疑似性侵害犯罪情事者依法應</w:t>
      </w:r>
      <w:r w:rsidRPr="00DB32BE">
        <w:rPr>
          <w:spacing w:val="-18"/>
        </w:rPr>
        <w:t>負</w:t>
      </w:r>
      <w:r w:rsidRPr="00AC77DF">
        <w:t>2</w:t>
      </w:r>
      <w:r w:rsidRPr="00DB32BE">
        <w:rPr>
          <w:spacing w:val="-18"/>
        </w:rPr>
        <w:t>4</w:t>
      </w:r>
      <w:r w:rsidRPr="00AC77DF">
        <w:t>小時通報義務，亦未加以規定部分，該部表示，已依性別平等教育法（簡稱性教法）之精神，訂定「軍事學校預備學校校園性侵害性騷擾或性霸凌處理要點」，明定軍事學校、預備學校校園性侵害等事件處理機制、程序及救濟方法等規範；依上開要點</w:t>
      </w:r>
      <w:r w:rsidRPr="00DB32BE">
        <w:rPr>
          <w:spacing w:val="-18"/>
        </w:rPr>
        <w:t>第</w:t>
      </w:r>
      <w:r w:rsidRPr="00AC77DF">
        <w:t>1</w:t>
      </w:r>
      <w:r w:rsidRPr="00DB32BE">
        <w:rPr>
          <w:spacing w:val="-18"/>
        </w:rPr>
        <w:t>8</w:t>
      </w:r>
      <w:r w:rsidRPr="00AC77DF">
        <w:t>點學校首長、教師、職員知悉疑似校園性侵害、性騷擾或性霸凌事件時，須於</w:t>
      </w:r>
      <w:r w:rsidRPr="00AC77DF">
        <w:lastRenderedPageBreak/>
        <w:t>2</w:t>
      </w:r>
      <w:r w:rsidRPr="00DB32BE">
        <w:rPr>
          <w:spacing w:val="-18"/>
        </w:rPr>
        <w:t>4</w:t>
      </w:r>
      <w:r w:rsidRPr="00AC77DF">
        <w:t>小時內通報學校受理單位，再由學校受理單位向上級機關及權責單位通報。然上開「軍事學校預備學校校園性侵害性騷擾或性霸凌處理要點」之適用對象為何，有待釐清。</w:t>
      </w:r>
    </w:p>
    <w:p w:rsidR="003807A5" w:rsidRPr="00AC77DF" w:rsidRDefault="003807A5" w:rsidP="006D0DAD">
      <w:pPr>
        <w:pStyle w:val="1---"/>
        <w:ind w:leftChars="200" w:left="1080" w:hangingChars="250" w:hanging="600"/>
      </w:pPr>
      <w:r w:rsidRPr="00AC77DF">
        <w:t>（</w:t>
      </w:r>
      <w:r w:rsidRPr="00AC77DF">
        <w:t>2</w:t>
      </w:r>
      <w:r w:rsidRPr="00AC77DF">
        <w:t>）關於「國軍人員性騷擾處理及性侵害預防實施規定」對於性侵害案件未規定相關處理程序部分，國防部表示，於性騷擾事件調查處理中，倘發現事件涉及性侵害犯罪，即應依「軍事機關處理官兵涉法案件與檢察機關聯繫要點」第</w:t>
      </w:r>
      <w:r w:rsidRPr="00AC77DF">
        <w:t>4</w:t>
      </w:r>
      <w:r w:rsidRPr="00AC77DF">
        <w:t>點，迅速移由具司法警察身分之憲兵隊偵辦。憲兵隊於調查性侵害案件時，悉依「性侵害犯罪防治法」及其相關子法與法規命令辦理。該部規劃將涉及性侵害犯罪時，援引處理之法規名稱，</w:t>
      </w:r>
      <w:r w:rsidR="00391EEA" w:rsidRPr="00DB32BE">
        <w:rPr>
          <w:spacing w:val="2"/>
        </w:rPr>
        <w:t>修訂</w:t>
      </w:r>
      <w:r w:rsidRPr="00DB32BE">
        <w:rPr>
          <w:spacing w:val="2"/>
        </w:rPr>
        <w:t>「國軍人員性騷擾處理及性侵害預防實施規定」。</w:t>
      </w:r>
    </w:p>
    <w:p w:rsidR="003807A5" w:rsidRPr="00AC77DF" w:rsidRDefault="003807A5" w:rsidP="007373B4">
      <w:pPr>
        <w:pStyle w:val="1---"/>
        <w:ind w:leftChars="100" w:left="600" w:hangingChars="150" w:hanging="360"/>
      </w:pPr>
      <w:r w:rsidRPr="00AC77DF">
        <w:t>4</w:t>
      </w:r>
      <w:r w:rsidRPr="00AC77DF">
        <w:t>、關於國防部對性侵案件移送司法機關後之情形未為相關統計部分，該部已協商法務部，請其轉知各地各級檢察署，軍人違法案件請於偵查終結時通知國防部。法務部業於</w:t>
      </w:r>
      <w:r w:rsidRPr="00AC77DF">
        <w:t>103</w:t>
      </w:r>
      <w:r w:rsidRPr="00AC77DF">
        <w:t>年</w:t>
      </w:r>
      <w:r w:rsidRPr="00AC77DF">
        <w:t>12</w:t>
      </w:r>
      <w:r w:rsidRPr="00AC77DF">
        <w:t>月</w:t>
      </w:r>
      <w:r w:rsidRPr="00AC77DF">
        <w:t>19</w:t>
      </w:r>
      <w:r w:rsidRPr="00AC77DF">
        <w:t>日以法檢決字第</w:t>
      </w:r>
      <w:r w:rsidRPr="00AC77DF">
        <w:t>10304556230</w:t>
      </w:r>
      <w:r w:rsidRPr="00AC77DF">
        <w:t>號函通知各地各級檢察署，依上開協商辦理。</w:t>
      </w:r>
    </w:p>
    <w:p w:rsidR="003807A5" w:rsidRPr="00AC77DF" w:rsidRDefault="00BD4D07" w:rsidP="00BD4D07">
      <w:pPr>
        <w:pStyle w:val="afff1"/>
        <w:spacing w:before="360" w:after="360"/>
      </w:pPr>
      <w:r>
        <w:rPr>
          <w:rFonts w:hint="eastAsia"/>
        </w:rPr>
        <w:t>(四)</w:t>
      </w:r>
      <w:r w:rsidR="003807A5" w:rsidRPr="00AC77DF">
        <w:t>案件進展</w:t>
      </w:r>
    </w:p>
    <w:p w:rsidR="003807A5" w:rsidRDefault="00397F9A" w:rsidP="0065623E">
      <w:pPr>
        <w:pStyle w:val="1---"/>
        <w:ind w:firstLine="480"/>
        <w:rPr>
          <w:lang w:eastAsia="zh-TW"/>
        </w:rPr>
      </w:pPr>
      <w:r>
        <w:rPr>
          <w:rFonts w:hint="eastAsia"/>
        </w:rPr>
        <w:t>本案國防部已修正相關規定</w:t>
      </w:r>
      <w:r w:rsidR="003807A5" w:rsidRPr="00AC77DF">
        <w:t>，</w:t>
      </w:r>
      <w:r>
        <w:rPr>
          <w:rFonts w:hint="eastAsia"/>
        </w:rPr>
        <w:t>本案已結案</w:t>
      </w:r>
      <w:r w:rsidR="003807A5" w:rsidRPr="00AC77DF">
        <w:t>。</w:t>
      </w:r>
    </w:p>
    <w:p w:rsidR="00D524F3" w:rsidRDefault="00D524F3" w:rsidP="0065623E">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4560"/>
      </w:tblGrid>
      <w:tr w:rsidR="0065623E" w:rsidTr="0065623E">
        <w:tc>
          <w:tcPr>
            <w:tcW w:w="4560" w:type="dxa"/>
            <w:shd w:val="clear" w:color="auto" w:fill="D9D9D9" w:themeFill="background1" w:themeFillShade="D9"/>
          </w:tcPr>
          <w:p w:rsidR="0065623E" w:rsidRPr="0065623E" w:rsidRDefault="0065623E" w:rsidP="0065623E">
            <w:pPr>
              <w:pStyle w:val="11-"/>
              <w:spacing w:before="72" w:after="108"/>
            </w:pPr>
            <w:bookmarkStart w:id="64" w:name="_Toc535228319"/>
            <w:bookmarkStart w:id="65" w:name="_Toc4058729"/>
            <w:r w:rsidRPr="00AC77DF">
              <w:lastRenderedPageBreak/>
              <w:t>軍方查辦參謀主任強制猥褻事件</w:t>
            </w:r>
            <w:bookmarkEnd w:id="64"/>
            <w:bookmarkEnd w:id="65"/>
          </w:p>
        </w:tc>
      </w:tr>
    </w:tbl>
    <w:p w:rsidR="0065623E" w:rsidRPr="00AC77DF" w:rsidRDefault="0065623E" w:rsidP="0065623E">
      <w:pPr>
        <w:pStyle w:val="1---"/>
        <w:ind w:firstLine="480"/>
        <w:rPr>
          <w:lang w:eastAsia="zh-TW"/>
        </w:rPr>
      </w:pPr>
    </w:p>
    <w:tbl>
      <w:tblPr>
        <w:tblStyle w:val="aff5"/>
        <w:tblW w:w="4777" w:type="pct"/>
        <w:tblInd w:w="113" w:type="dxa"/>
        <w:tblLook w:val="04A0" w:firstRow="1" w:lastRow="0" w:firstColumn="1" w:lastColumn="0" w:noHBand="0" w:noVBand="1"/>
      </w:tblPr>
      <w:tblGrid>
        <w:gridCol w:w="6544"/>
      </w:tblGrid>
      <w:tr w:rsidR="008E4068" w:rsidTr="00D17586">
        <w:tc>
          <w:tcPr>
            <w:tcW w:w="5000" w:type="pct"/>
          </w:tcPr>
          <w:p w:rsidR="008E4068" w:rsidRPr="00AC77DF" w:rsidRDefault="008E4068" w:rsidP="00D17586">
            <w:pPr>
              <w:spacing w:line="360" w:lineRule="exact"/>
              <w:jc w:val="both"/>
              <w:rPr>
                <w:lang w:val="x-none"/>
              </w:rPr>
            </w:pPr>
            <w:r w:rsidRPr="00AC77DF">
              <w:rPr>
                <w:b/>
                <w:lang w:val="x-none"/>
              </w:rPr>
              <w:t>相關國際人權公約：</w:t>
            </w:r>
            <w:r w:rsidRPr="00AC77DF">
              <w:t>公民與政治權利國際公約第</w:t>
            </w:r>
            <w:r w:rsidRPr="00AC77DF">
              <w:t>9</w:t>
            </w:r>
            <w:r w:rsidRPr="00AC77DF">
              <w:t>條、第</w:t>
            </w:r>
            <w:r w:rsidRPr="00AC77DF">
              <w:t>14</w:t>
            </w:r>
            <w:r w:rsidRPr="00AC77DF">
              <w:t>條；公民與政治權利國際公約第</w:t>
            </w:r>
            <w:r w:rsidRPr="00AC77DF">
              <w:t>8</w:t>
            </w:r>
            <w:r w:rsidRPr="00AC77DF">
              <w:t>號一般性意見。</w:t>
            </w:r>
          </w:p>
          <w:p w:rsidR="008E4068" w:rsidRPr="00AC77DF" w:rsidRDefault="008E4068" w:rsidP="00D17586">
            <w:pPr>
              <w:spacing w:line="360" w:lineRule="exact"/>
              <w:jc w:val="both"/>
              <w:rPr>
                <w:b/>
                <w:lang w:val="x-none"/>
              </w:rPr>
            </w:pPr>
            <w:r w:rsidRPr="00AC77DF">
              <w:rPr>
                <w:b/>
              </w:rPr>
              <w:t>公民與政治權利國際公約</w:t>
            </w:r>
            <w:r w:rsidRPr="00AC77DF">
              <w:rPr>
                <w:b/>
                <w:lang w:val="x-none"/>
              </w:rPr>
              <w:t>第</w:t>
            </w:r>
            <w:r w:rsidRPr="00AC77DF">
              <w:rPr>
                <w:b/>
                <w:lang w:val="x-none"/>
              </w:rPr>
              <w:t>9</w:t>
            </w:r>
            <w:r w:rsidRPr="00AC77DF">
              <w:rPr>
                <w:b/>
                <w:lang w:val="x-none"/>
              </w:rPr>
              <w:t>條</w:t>
            </w:r>
          </w:p>
          <w:p w:rsidR="008E4068" w:rsidRPr="00AC77DF" w:rsidRDefault="008E4068" w:rsidP="00563A0B">
            <w:pPr>
              <w:spacing w:line="360" w:lineRule="exact"/>
              <w:ind w:left="480" w:hangingChars="200" w:hanging="480"/>
              <w:jc w:val="both"/>
              <w:rPr>
                <w:lang w:val="x-none"/>
              </w:rPr>
            </w:pPr>
            <w:r w:rsidRPr="00AC77DF">
              <w:rPr>
                <w:lang w:val="x-none"/>
              </w:rPr>
              <w:t>一、人人有權享有身體自由及人身安全。任何人不得無理予以逮捕或拘禁。非依法定理由及程序，不得剝奪任何人之自由。</w:t>
            </w:r>
          </w:p>
          <w:p w:rsidR="008E4068" w:rsidRPr="00AC77DF" w:rsidRDefault="008E4068" w:rsidP="00563A0B">
            <w:pPr>
              <w:spacing w:line="360" w:lineRule="exact"/>
              <w:ind w:left="480" w:hangingChars="200" w:hanging="480"/>
              <w:jc w:val="both"/>
              <w:rPr>
                <w:lang w:val="x-none"/>
              </w:rPr>
            </w:pPr>
            <w:r w:rsidRPr="00AC77DF">
              <w:rPr>
                <w:lang w:val="x-none"/>
              </w:rPr>
              <w:t>二、執行逮捕時，應當場向被捕人宣告逮捕原因，並應隨即告知被控案由。</w:t>
            </w:r>
          </w:p>
          <w:p w:rsidR="008E4068" w:rsidRPr="00AC77DF" w:rsidRDefault="008E4068" w:rsidP="00563A0B">
            <w:pPr>
              <w:spacing w:line="360" w:lineRule="exact"/>
              <w:ind w:left="480" w:hangingChars="200" w:hanging="480"/>
              <w:jc w:val="both"/>
              <w:rPr>
                <w:lang w:val="x-none"/>
              </w:rPr>
            </w:pPr>
            <w:r w:rsidRPr="00AC77DF">
              <w:rPr>
                <w:lang w:val="x-none"/>
              </w:rPr>
              <w:t>三、因刑事罪名而被逮捕或拘禁之人，應迅即解送法官或依法執行司法權力之其他官員，並應於合理期間內審訊或釋放。候訊人通常不得加以羈押，但釋放得令具報，於審訊時，於司法程序之任何其他階段、並於一旦執行判決時，候傳到場。</w:t>
            </w:r>
          </w:p>
          <w:p w:rsidR="008E4068" w:rsidRPr="00AC77DF" w:rsidRDefault="008E4068" w:rsidP="00563A0B">
            <w:pPr>
              <w:spacing w:line="360" w:lineRule="exact"/>
              <w:ind w:left="480" w:hangingChars="200" w:hanging="480"/>
              <w:jc w:val="both"/>
              <w:rPr>
                <w:lang w:val="x-none"/>
              </w:rPr>
            </w:pPr>
            <w:r w:rsidRPr="00AC77DF">
              <w:rPr>
                <w:lang w:val="x-none"/>
              </w:rPr>
              <w:t>四、任何人因逮捕或拘禁而被奪自由時，有權聲請法院提審，以迅速決定其拘禁是否合法，如屬非法，應即令釋放。</w:t>
            </w:r>
          </w:p>
          <w:p w:rsidR="008E4068" w:rsidRPr="00AC77DF" w:rsidRDefault="008E4068" w:rsidP="00563A0B">
            <w:pPr>
              <w:spacing w:line="360" w:lineRule="exact"/>
              <w:ind w:left="480" w:hangingChars="200" w:hanging="480"/>
              <w:jc w:val="both"/>
              <w:rPr>
                <w:lang w:val="x-none"/>
              </w:rPr>
            </w:pPr>
            <w:r w:rsidRPr="00AC77DF">
              <w:rPr>
                <w:lang w:val="x-none"/>
              </w:rPr>
              <w:t>五、任何人受非法逮捕或拘禁者，有權要求執行損害賠償。</w:t>
            </w:r>
          </w:p>
          <w:p w:rsidR="008E4068" w:rsidRPr="00AC77DF" w:rsidRDefault="008E4068" w:rsidP="00D17586">
            <w:pPr>
              <w:spacing w:line="360" w:lineRule="exact"/>
              <w:jc w:val="both"/>
              <w:rPr>
                <w:b/>
                <w:lang w:val="x-none"/>
              </w:rPr>
            </w:pPr>
            <w:r w:rsidRPr="00AC77DF">
              <w:rPr>
                <w:b/>
              </w:rPr>
              <w:t>公民與政治權利國際公約</w:t>
            </w:r>
            <w:r w:rsidRPr="00AC77DF">
              <w:rPr>
                <w:b/>
                <w:lang w:val="x-none"/>
              </w:rPr>
              <w:t>第</w:t>
            </w:r>
            <w:r w:rsidRPr="00AC77DF">
              <w:rPr>
                <w:b/>
                <w:lang w:val="x-none"/>
              </w:rPr>
              <w:t>14</w:t>
            </w:r>
            <w:r w:rsidRPr="00AC77DF">
              <w:rPr>
                <w:b/>
                <w:lang w:val="x-none"/>
              </w:rPr>
              <w:t>條</w:t>
            </w:r>
          </w:p>
          <w:p w:rsidR="008E4068" w:rsidRPr="00AC77DF" w:rsidRDefault="008E4068" w:rsidP="00563A0B">
            <w:pPr>
              <w:spacing w:line="360" w:lineRule="exact"/>
              <w:ind w:left="480" w:hangingChars="200" w:hanging="480"/>
              <w:jc w:val="both"/>
              <w:rPr>
                <w:lang w:val="x-none"/>
              </w:rPr>
            </w:pPr>
            <w:r w:rsidRPr="00AC77DF">
              <w:rPr>
                <w:lang w:val="x-none"/>
              </w:rPr>
              <w:t>一、人人在法院或法庭之前，悉屬平等。任何人受刑事控告或因其權利義務涉訟須予判定時，應有權受獨立無私之法定管轄法庭公正公開審問。法院得因民主社會之風化、公共秩序或國家安全關係，或於保護當事人私生活</w:t>
            </w:r>
            <w:r w:rsidRPr="00AC77DF">
              <w:rPr>
                <w:lang w:val="x-none"/>
              </w:rPr>
              <w:lastRenderedPageBreak/>
              <w:t>有此必要時，或因情形特殊公開審判勢必影響司法而在其認為絕對必要之限度內，禁止新聞界及公眾旁聽審判程序之全部或一部；但除保護少年有此必要，或事關婚姻爭執或子女監護問題外，刑事民事之判決應一律公開宣示。</w:t>
            </w:r>
          </w:p>
          <w:p w:rsidR="008E4068" w:rsidRPr="00AC77DF" w:rsidRDefault="008E4068" w:rsidP="00563A0B">
            <w:pPr>
              <w:spacing w:line="360" w:lineRule="exact"/>
              <w:ind w:left="480" w:hangingChars="200" w:hanging="480"/>
              <w:jc w:val="both"/>
              <w:rPr>
                <w:lang w:val="x-none"/>
              </w:rPr>
            </w:pPr>
            <w:r w:rsidRPr="00AC77DF">
              <w:rPr>
                <w:lang w:val="x-none"/>
              </w:rPr>
              <w:t>二、受刑事控告之人，未經依法確定有罪以前，應假定其無罪。</w:t>
            </w:r>
          </w:p>
          <w:p w:rsidR="008E4068" w:rsidRPr="00AC77DF" w:rsidRDefault="008E4068" w:rsidP="00563A0B">
            <w:pPr>
              <w:spacing w:line="360" w:lineRule="exact"/>
              <w:ind w:left="480" w:hangingChars="200" w:hanging="480"/>
              <w:jc w:val="both"/>
              <w:rPr>
                <w:lang w:val="x-none"/>
              </w:rPr>
            </w:pPr>
            <w:r w:rsidRPr="00AC77DF">
              <w:rPr>
                <w:lang w:val="x-none"/>
              </w:rPr>
              <w:t>三、審判被控刑事罪時，被告一律有權平等享受下列最低限度之保障：</w:t>
            </w:r>
          </w:p>
          <w:p w:rsidR="008E4068" w:rsidRPr="00AC77DF" w:rsidRDefault="00563A0B" w:rsidP="00563A0B">
            <w:pPr>
              <w:spacing w:line="360" w:lineRule="exact"/>
              <w:ind w:left="910" w:hangingChars="379" w:hanging="910"/>
              <w:jc w:val="both"/>
              <w:rPr>
                <w:lang w:val="x-none"/>
              </w:rPr>
            </w:pPr>
            <w:r>
              <w:rPr>
                <w:rFonts w:hint="eastAsia"/>
                <w:lang w:val="x-none"/>
              </w:rPr>
              <w:t xml:space="preserve">　　</w:t>
            </w:r>
            <w:r>
              <w:rPr>
                <w:rFonts w:hint="eastAsia"/>
                <w:lang w:val="x-none"/>
              </w:rPr>
              <w:t>(</w:t>
            </w:r>
            <w:r w:rsidR="008E4068" w:rsidRPr="00AC77DF">
              <w:rPr>
                <w:lang w:val="x-none"/>
              </w:rPr>
              <w:t>一</w:t>
            </w:r>
            <w:r>
              <w:rPr>
                <w:rFonts w:hint="eastAsia"/>
                <w:lang w:val="x-none"/>
              </w:rPr>
              <w:t>)</w:t>
            </w:r>
            <w:r w:rsidR="008E4068" w:rsidRPr="00AC77DF">
              <w:rPr>
                <w:lang w:val="x-none"/>
              </w:rPr>
              <w:t>迅即以其通曉之語言，詳細告知被控罪名及案由；</w:t>
            </w:r>
          </w:p>
          <w:p w:rsidR="008E4068" w:rsidRPr="00AC77DF" w:rsidRDefault="00563A0B" w:rsidP="00563A0B">
            <w:pPr>
              <w:spacing w:line="360" w:lineRule="exact"/>
              <w:ind w:left="910" w:hangingChars="379" w:hanging="910"/>
              <w:jc w:val="both"/>
              <w:rPr>
                <w:lang w:val="x-none"/>
              </w:rPr>
            </w:pPr>
            <w:r>
              <w:rPr>
                <w:rFonts w:hint="eastAsia"/>
                <w:lang w:val="x-none"/>
              </w:rPr>
              <w:t xml:space="preserve">　　</w:t>
            </w:r>
            <w:r>
              <w:rPr>
                <w:rFonts w:hint="eastAsia"/>
                <w:lang w:val="x-none"/>
              </w:rPr>
              <w:t>(</w:t>
            </w:r>
            <w:r w:rsidR="008E4068" w:rsidRPr="00AC77DF">
              <w:rPr>
                <w:lang w:val="x-none"/>
              </w:rPr>
              <w:t>二</w:t>
            </w:r>
            <w:r>
              <w:rPr>
                <w:rFonts w:hint="eastAsia"/>
                <w:lang w:val="x-none"/>
              </w:rPr>
              <w:t>)</w:t>
            </w:r>
            <w:r w:rsidR="008E4068" w:rsidRPr="00AC77DF">
              <w:rPr>
                <w:lang w:val="x-none"/>
              </w:rPr>
              <w:t>給予充分之時間及便利，準備答辯並與其選任之辯護人聯絡；</w:t>
            </w:r>
          </w:p>
          <w:p w:rsidR="008E4068" w:rsidRPr="00AC77DF" w:rsidRDefault="00563A0B" w:rsidP="00563A0B">
            <w:pPr>
              <w:spacing w:line="360" w:lineRule="exact"/>
              <w:ind w:left="910" w:hangingChars="379" w:hanging="910"/>
              <w:jc w:val="both"/>
              <w:rPr>
                <w:lang w:val="x-none"/>
              </w:rPr>
            </w:pPr>
            <w:r>
              <w:rPr>
                <w:rFonts w:hint="eastAsia"/>
                <w:lang w:val="x-none"/>
              </w:rPr>
              <w:t xml:space="preserve">　　</w:t>
            </w:r>
            <w:r>
              <w:rPr>
                <w:rFonts w:hint="eastAsia"/>
                <w:lang w:val="x-none"/>
              </w:rPr>
              <w:t>(</w:t>
            </w:r>
            <w:r w:rsidR="008E4068" w:rsidRPr="00AC77DF">
              <w:rPr>
                <w:lang w:val="x-none"/>
              </w:rPr>
              <w:t>三</w:t>
            </w:r>
            <w:r>
              <w:rPr>
                <w:rFonts w:hint="eastAsia"/>
                <w:lang w:val="x-none"/>
              </w:rPr>
              <w:t>)</w:t>
            </w:r>
            <w:r w:rsidR="008E4068" w:rsidRPr="00AC77DF">
              <w:rPr>
                <w:lang w:val="x-none"/>
              </w:rPr>
              <w:t>立即受審，不得無故稽延；</w:t>
            </w:r>
          </w:p>
          <w:p w:rsidR="008E4068" w:rsidRPr="00AC77DF" w:rsidRDefault="00563A0B" w:rsidP="00CD4B54">
            <w:pPr>
              <w:spacing w:line="360" w:lineRule="exact"/>
              <w:ind w:left="910" w:hangingChars="379" w:hanging="910"/>
              <w:jc w:val="both"/>
              <w:rPr>
                <w:lang w:val="x-none"/>
              </w:rPr>
            </w:pPr>
            <w:r>
              <w:rPr>
                <w:rFonts w:hint="eastAsia"/>
                <w:lang w:val="x-none"/>
              </w:rPr>
              <w:t xml:space="preserve">　　</w:t>
            </w:r>
            <w:r>
              <w:rPr>
                <w:rFonts w:hint="eastAsia"/>
                <w:lang w:val="x-none"/>
              </w:rPr>
              <w:t>(</w:t>
            </w:r>
            <w:r w:rsidR="008E4068" w:rsidRPr="00AC77DF">
              <w:rPr>
                <w:lang w:val="x-none"/>
              </w:rPr>
              <w:t>四</w:t>
            </w:r>
            <w:r>
              <w:rPr>
                <w:rFonts w:hint="eastAsia"/>
                <w:lang w:val="x-none"/>
              </w:rPr>
              <w:t>)</w:t>
            </w:r>
            <w:r w:rsidR="008E4068" w:rsidRPr="00AC77DF">
              <w:rPr>
                <w:lang w:val="x-none"/>
              </w:rPr>
              <w:t>到庭受審，及親自答辯或由其選任辯護人答辯；未經選任辯護人者，應告以有此權利；法院認為審判有此必要時，應為其指定公設辯護人，如被告無資力酬償，得免付之；</w:t>
            </w:r>
          </w:p>
          <w:p w:rsidR="008E4068" w:rsidRPr="00AC77DF" w:rsidRDefault="00563A0B" w:rsidP="00563A0B">
            <w:pPr>
              <w:spacing w:line="360" w:lineRule="exact"/>
              <w:ind w:left="910" w:hangingChars="379" w:hanging="910"/>
              <w:jc w:val="both"/>
              <w:rPr>
                <w:lang w:val="x-none"/>
              </w:rPr>
            </w:pPr>
            <w:r>
              <w:rPr>
                <w:rFonts w:hint="eastAsia"/>
                <w:lang w:val="x-none"/>
              </w:rPr>
              <w:t xml:space="preserve">　　</w:t>
            </w:r>
            <w:r>
              <w:rPr>
                <w:rFonts w:hint="eastAsia"/>
                <w:lang w:val="x-none"/>
              </w:rPr>
              <w:t>(</w:t>
            </w:r>
            <w:r w:rsidR="008E4068" w:rsidRPr="00AC77DF">
              <w:rPr>
                <w:lang w:val="x-none"/>
              </w:rPr>
              <w:t>五</w:t>
            </w:r>
            <w:r>
              <w:rPr>
                <w:rFonts w:hint="eastAsia"/>
                <w:lang w:val="x-none"/>
              </w:rPr>
              <w:t>)</w:t>
            </w:r>
            <w:r w:rsidR="008E4068" w:rsidRPr="00AC77DF">
              <w:rPr>
                <w:lang w:val="x-none"/>
              </w:rPr>
              <w:t>得親自或間接詰問他造證人，並得聲請法院傳喚其證人在與他造證人同等條件下出庭作證；</w:t>
            </w:r>
          </w:p>
          <w:p w:rsidR="008E4068" w:rsidRPr="00AC77DF" w:rsidRDefault="00563A0B" w:rsidP="00563A0B">
            <w:pPr>
              <w:spacing w:line="360" w:lineRule="exact"/>
              <w:ind w:left="910" w:hangingChars="379" w:hanging="910"/>
              <w:jc w:val="both"/>
              <w:rPr>
                <w:lang w:val="x-none"/>
              </w:rPr>
            </w:pPr>
            <w:r>
              <w:rPr>
                <w:rFonts w:hint="eastAsia"/>
                <w:lang w:val="x-none"/>
              </w:rPr>
              <w:t xml:space="preserve">　　</w:t>
            </w:r>
            <w:r>
              <w:rPr>
                <w:rFonts w:hint="eastAsia"/>
                <w:lang w:val="x-none"/>
              </w:rPr>
              <w:t>(</w:t>
            </w:r>
            <w:r w:rsidR="008E4068" w:rsidRPr="00AC77DF">
              <w:rPr>
                <w:lang w:val="x-none"/>
              </w:rPr>
              <w:t>六</w:t>
            </w:r>
            <w:r>
              <w:rPr>
                <w:rFonts w:hint="eastAsia"/>
                <w:lang w:val="x-none"/>
              </w:rPr>
              <w:t>)</w:t>
            </w:r>
            <w:r w:rsidR="008E4068" w:rsidRPr="00AC77DF">
              <w:rPr>
                <w:lang w:val="x-none"/>
              </w:rPr>
              <w:t>如不通曉或不能使用法院所用之語言，應免費為備通譯協助之；</w:t>
            </w:r>
          </w:p>
          <w:p w:rsidR="008E4068" w:rsidRPr="00AC77DF" w:rsidRDefault="00563A0B" w:rsidP="00563A0B">
            <w:pPr>
              <w:spacing w:line="360" w:lineRule="exact"/>
              <w:ind w:left="910" w:hangingChars="379" w:hanging="910"/>
              <w:jc w:val="both"/>
              <w:rPr>
                <w:lang w:val="x-none"/>
              </w:rPr>
            </w:pPr>
            <w:r>
              <w:rPr>
                <w:rFonts w:hint="eastAsia"/>
                <w:lang w:val="x-none"/>
              </w:rPr>
              <w:t xml:space="preserve">　　</w:t>
            </w:r>
            <w:r>
              <w:rPr>
                <w:rFonts w:hint="eastAsia"/>
                <w:lang w:val="x-none"/>
              </w:rPr>
              <w:t>(</w:t>
            </w:r>
            <w:r w:rsidR="008E4068" w:rsidRPr="00AC77DF">
              <w:rPr>
                <w:lang w:val="x-none"/>
              </w:rPr>
              <w:t>七</w:t>
            </w:r>
            <w:r>
              <w:rPr>
                <w:rFonts w:hint="eastAsia"/>
                <w:lang w:val="x-none"/>
              </w:rPr>
              <w:t>)</w:t>
            </w:r>
            <w:r w:rsidR="008E4068" w:rsidRPr="00AC77DF">
              <w:rPr>
                <w:lang w:val="x-none"/>
              </w:rPr>
              <w:t>不得強迫被告自供或認罪。</w:t>
            </w:r>
          </w:p>
          <w:p w:rsidR="008E4068" w:rsidRPr="00AC77DF" w:rsidRDefault="008E4068" w:rsidP="00563A0B">
            <w:pPr>
              <w:spacing w:line="360" w:lineRule="exact"/>
              <w:ind w:left="480" w:hangingChars="200" w:hanging="480"/>
              <w:jc w:val="both"/>
              <w:rPr>
                <w:lang w:val="x-none"/>
              </w:rPr>
            </w:pPr>
            <w:r w:rsidRPr="00AC77DF">
              <w:rPr>
                <w:lang w:val="x-none"/>
              </w:rPr>
              <w:t>四、少年之審判，應顧念被告年齡及宜使其重適社會生活，而酌定程序。</w:t>
            </w:r>
          </w:p>
          <w:p w:rsidR="008E4068" w:rsidRPr="00AC77DF" w:rsidRDefault="008E4068" w:rsidP="00563A0B">
            <w:pPr>
              <w:spacing w:line="360" w:lineRule="exact"/>
              <w:ind w:left="480" w:hangingChars="200" w:hanging="480"/>
              <w:jc w:val="both"/>
              <w:rPr>
                <w:lang w:val="x-none"/>
              </w:rPr>
            </w:pPr>
            <w:r w:rsidRPr="00AC77DF">
              <w:rPr>
                <w:lang w:val="x-none"/>
              </w:rPr>
              <w:t>五、經判定犯罪者，有權聲請上級法院依法覆判其有罪判決</w:t>
            </w:r>
            <w:r w:rsidRPr="00AC77DF">
              <w:rPr>
                <w:lang w:val="x-none"/>
              </w:rPr>
              <w:lastRenderedPageBreak/>
              <w:t>及所科刑罰。</w:t>
            </w:r>
          </w:p>
          <w:p w:rsidR="008E4068" w:rsidRPr="00AC77DF" w:rsidRDefault="008E4068" w:rsidP="00563A0B">
            <w:pPr>
              <w:spacing w:line="360" w:lineRule="exact"/>
              <w:ind w:left="480" w:hangingChars="200" w:hanging="480"/>
              <w:jc w:val="both"/>
              <w:rPr>
                <w:lang w:val="x-none"/>
              </w:rPr>
            </w:pPr>
            <w:r w:rsidRPr="00AC77DF">
              <w:rPr>
                <w:lang w:val="x-none"/>
              </w:rPr>
              <w:t>六、經終局判決判定犯罪，如後因提出新證據或因發見新證據，確實證明原判錯誤而經撤銷原判或免刑者，除經證明有關證據之未能及時披露，應由其本人全部或局部負責者外，因此判決而服刑之人應依法受損害賠償。</w:t>
            </w:r>
          </w:p>
          <w:p w:rsidR="008E4068" w:rsidRDefault="008E4068" w:rsidP="00563A0B">
            <w:pPr>
              <w:spacing w:line="360" w:lineRule="exact"/>
              <w:ind w:left="480" w:hangingChars="200" w:hanging="480"/>
              <w:jc w:val="both"/>
            </w:pPr>
            <w:r w:rsidRPr="00AC77DF">
              <w:rPr>
                <w:lang w:val="x-none"/>
              </w:rPr>
              <w:t>七、任何人依一國法律及刑事程序經終局判決判定有罪或無罪開釋者，不得就同一罪名再予審判或科刑。</w:t>
            </w:r>
          </w:p>
        </w:tc>
      </w:tr>
    </w:tbl>
    <w:p w:rsidR="006D2BAD" w:rsidRPr="006D2BAD" w:rsidRDefault="006D2BAD" w:rsidP="006D2BAD">
      <w:pPr>
        <w:pStyle w:val="1---"/>
        <w:ind w:firstLine="480"/>
        <w:rPr>
          <w:lang w:eastAsia="zh-TW"/>
        </w:rPr>
      </w:pPr>
    </w:p>
    <w:p w:rsidR="003807A5" w:rsidRPr="00AC77DF" w:rsidRDefault="006D2BAD" w:rsidP="006D2BAD">
      <w:pPr>
        <w:pStyle w:val="afff1"/>
        <w:spacing w:before="360" w:after="360"/>
        <w:rPr>
          <w:color w:val="000000"/>
          <w:lang w:val="x-none"/>
        </w:rPr>
      </w:pPr>
      <w:r>
        <w:rPr>
          <w:rFonts w:hint="eastAsia"/>
        </w:rPr>
        <w:t>(一)</w:t>
      </w:r>
      <w:r w:rsidR="003807A5" w:rsidRPr="00AC77DF">
        <w:t>案情簡述</w:t>
      </w:r>
    </w:p>
    <w:p w:rsidR="003807A5" w:rsidRPr="00AC77DF" w:rsidRDefault="003807A5" w:rsidP="00274413">
      <w:pPr>
        <w:pStyle w:val="1---"/>
        <w:spacing w:after="180"/>
        <w:ind w:firstLine="480"/>
      </w:pPr>
      <w:r w:rsidRPr="00AC77DF">
        <w:t>國防部陸軍司令部陸軍第十軍團指揮部</w:t>
      </w:r>
      <w:r w:rsidRPr="00AC77DF">
        <w:t>104</w:t>
      </w:r>
      <w:r w:rsidRPr="00AC77DF">
        <w:t>旅前上校參謀主任仲崇嶠身為高階軍官，竟在該旅貴賓室對女性部</w:t>
      </w:r>
      <w:r w:rsidRPr="0067637A">
        <w:rPr>
          <w:spacing w:val="-10"/>
        </w:rPr>
        <w:t>屬</w:t>
      </w:r>
      <w:r w:rsidRPr="0067637A">
        <w:rPr>
          <w:spacing w:val="-10"/>
        </w:rPr>
        <w:t>A</w:t>
      </w:r>
      <w:r w:rsidRPr="00AC77DF">
        <w:t>女有強吻及撫摸胸部行為，嗣於</w:t>
      </w:r>
      <w:r w:rsidRPr="00AC77DF">
        <w:t>A</w:t>
      </w:r>
      <w:r w:rsidRPr="00AC77DF">
        <w:t>女提出告訴時，竟對</w:t>
      </w:r>
      <w:r w:rsidRPr="00AC77DF">
        <w:t>A</w:t>
      </w:r>
      <w:r w:rsidRPr="00AC77DF">
        <w:t>女提出誣告等罪之告訴。十軍團處理過程疑涉違反偵查不公開、保密規定及不當發布新聞，爰</w:t>
      </w:r>
      <w:r w:rsidR="00721678">
        <w:rPr>
          <w:rFonts w:hint="eastAsia"/>
          <w:lang w:eastAsia="zh-TW"/>
        </w:rPr>
        <w:t>經</w:t>
      </w:r>
      <w:r w:rsidRPr="00AC77DF">
        <w:t>監察委員立案調查。</w:t>
      </w:r>
    </w:p>
    <w:p w:rsidR="003807A5" w:rsidRPr="00AC77DF" w:rsidRDefault="006D2BAD" w:rsidP="006D2BAD">
      <w:pPr>
        <w:pStyle w:val="afff1"/>
        <w:spacing w:before="360" w:after="360"/>
      </w:pPr>
      <w:r>
        <w:rPr>
          <w:rFonts w:hint="eastAsia"/>
        </w:rPr>
        <w:t>(二)</w:t>
      </w:r>
      <w:r w:rsidR="003807A5" w:rsidRPr="00AC77DF">
        <w:t>監察院調查發現與建議</w:t>
      </w:r>
    </w:p>
    <w:p w:rsidR="003807A5" w:rsidRPr="00AC77DF" w:rsidRDefault="00682251" w:rsidP="00145E05">
      <w:pPr>
        <w:pStyle w:val="1--13"/>
        <w:spacing w:before="180" w:after="180"/>
      </w:pPr>
      <w:r w:rsidRPr="008E1832">
        <w:rPr>
          <w:rFonts w:hint="eastAsia"/>
        </w:rPr>
        <w:t>˙</w:t>
      </w:r>
      <w:r w:rsidR="003807A5" w:rsidRPr="00AC77DF">
        <w:t>上司對下屬涉有性騷擾行為</w:t>
      </w:r>
    </w:p>
    <w:p w:rsidR="003807A5" w:rsidRDefault="003807A5" w:rsidP="002B4E20">
      <w:pPr>
        <w:pStyle w:val="1---"/>
        <w:ind w:firstLine="480"/>
        <w:rPr>
          <w:lang w:eastAsia="zh-TW"/>
        </w:rPr>
      </w:pPr>
      <w:r w:rsidRPr="00AC77DF">
        <w:t>仲員於</w:t>
      </w:r>
      <w:r w:rsidRPr="00AC77DF">
        <w:t>104</w:t>
      </w:r>
      <w:r w:rsidRPr="00AC77DF">
        <w:t>年</w:t>
      </w:r>
      <w:r w:rsidRPr="00AC77DF">
        <w:t>7</w:t>
      </w:r>
      <w:r w:rsidRPr="00AC77DF">
        <w:t>月間，在十軍團</w:t>
      </w:r>
      <w:r w:rsidRPr="00AC77DF">
        <w:t>104</w:t>
      </w:r>
      <w:r w:rsidRPr="00AC77DF">
        <w:t>旅之貴賓室內，對上士部屬</w:t>
      </w:r>
      <w:r w:rsidRPr="00AC77DF">
        <w:t>A</w:t>
      </w:r>
      <w:r w:rsidRPr="00AC77DF">
        <w:t>女有擁抱、強吻及撫摸胸部等行為，經臺灣高等法院臺中分院判決成立強制猥褻罪刑確定在案。</w:t>
      </w:r>
    </w:p>
    <w:p w:rsidR="00721678" w:rsidRPr="00AC77DF" w:rsidRDefault="00721678" w:rsidP="002B4E20">
      <w:pPr>
        <w:pStyle w:val="1---"/>
        <w:ind w:firstLine="480"/>
        <w:rPr>
          <w:lang w:eastAsia="zh-TW"/>
        </w:rPr>
      </w:pPr>
    </w:p>
    <w:p w:rsidR="003807A5" w:rsidRPr="00AC77DF" w:rsidRDefault="00682251" w:rsidP="00145E05">
      <w:pPr>
        <w:pStyle w:val="1--13"/>
        <w:spacing w:before="180" w:after="180"/>
      </w:pPr>
      <w:r w:rsidRPr="008E1832">
        <w:rPr>
          <w:rFonts w:hint="eastAsia"/>
        </w:rPr>
        <w:lastRenderedPageBreak/>
        <w:t>˙</w:t>
      </w:r>
      <w:r w:rsidR="003807A5" w:rsidRPr="00AC77DF">
        <w:t>誣告受害女性</w:t>
      </w:r>
    </w:p>
    <w:p w:rsidR="003807A5" w:rsidRPr="00AC77DF" w:rsidRDefault="003807A5" w:rsidP="002B4E20">
      <w:pPr>
        <w:pStyle w:val="1---"/>
        <w:ind w:firstLine="480"/>
      </w:pPr>
      <w:r w:rsidRPr="00AC77DF">
        <w:t>仲員明</w:t>
      </w:r>
      <w:r w:rsidRPr="0067637A">
        <w:rPr>
          <w:spacing w:val="-10"/>
        </w:rPr>
        <w:t>知</w:t>
      </w:r>
      <w:r w:rsidRPr="0067637A">
        <w:rPr>
          <w:spacing w:val="-10"/>
        </w:rPr>
        <w:t>A</w:t>
      </w:r>
      <w:r w:rsidRPr="00AC77DF">
        <w:t>女提出性騷擾及強制猥褻之告訴並非捏造，卻分別向臺中憲兵隊及</w:t>
      </w:r>
      <w:r w:rsidRPr="0025002C">
        <w:rPr>
          <w:rFonts w:hint="eastAsia"/>
        </w:rPr>
        <w:t>臺灣臺中地方檢察署（簡稱臺中地檢署）</w:t>
      </w:r>
      <w:r w:rsidRPr="0067637A">
        <w:rPr>
          <w:spacing w:val="-10"/>
        </w:rPr>
        <w:t>對</w:t>
      </w:r>
      <w:r w:rsidRPr="0067637A">
        <w:rPr>
          <w:spacing w:val="-10"/>
        </w:rPr>
        <w:t>A</w:t>
      </w:r>
      <w:r w:rsidRPr="00AC77DF">
        <w:t>女提出誣告、誹謗及妨害名譽之告訴，案經臺中地檢署偵結為不起訴處分。核其所為，已構成誣告罪。該署亦</w:t>
      </w:r>
      <w:r w:rsidRPr="0067637A">
        <w:rPr>
          <w:spacing w:val="-10"/>
        </w:rPr>
        <w:t>於</w:t>
      </w:r>
      <w:r w:rsidRPr="00AC77DF">
        <w:t>10</w:t>
      </w:r>
      <w:r w:rsidRPr="0067637A">
        <w:rPr>
          <w:spacing w:val="-10"/>
        </w:rPr>
        <w:t>6</w:t>
      </w:r>
      <w:r w:rsidRPr="00AC77DF">
        <w:t>年</w:t>
      </w:r>
      <w:r w:rsidRPr="00AC77DF">
        <w:t>3</w:t>
      </w:r>
      <w:r w:rsidRPr="00AC77DF">
        <w:t>月</w:t>
      </w:r>
      <w:r w:rsidRPr="00AC77DF">
        <w:t>18</w:t>
      </w:r>
      <w:r w:rsidRPr="00AC77DF">
        <w:t>日對仲員以涉犯誣告罪嫌提起公訴。</w:t>
      </w:r>
    </w:p>
    <w:p w:rsidR="003807A5" w:rsidRPr="00AC77DF" w:rsidRDefault="00682251" w:rsidP="00145E05">
      <w:pPr>
        <w:pStyle w:val="1--13"/>
        <w:spacing w:before="180" w:after="180"/>
      </w:pPr>
      <w:r w:rsidRPr="008E1832">
        <w:rPr>
          <w:rFonts w:hint="eastAsia"/>
        </w:rPr>
        <w:t>˙</w:t>
      </w:r>
      <w:r w:rsidR="003807A5" w:rsidRPr="00AC77DF">
        <w:t>軍方處理不當</w:t>
      </w:r>
    </w:p>
    <w:p w:rsidR="003807A5" w:rsidRPr="00AC77DF" w:rsidRDefault="003807A5" w:rsidP="002B4E20">
      <w:pPr>
        <w:pStyle w:val="1---"/>
        <w:ind w:firstLine="480"/>
        <w:rPr>
          <w:b/>
        </w:rPr>
      </w:pPr>
      <w:r w:rsidRPr="00AC77DF">
        <w:t>仲員於</w:t>
      </w:r>
      <w:r w:rsidRPr="00AC77DF">
        <w:t>105</w:t>
      </w:r>
      <w:r w:rsidRPr="00AC77DF">
        <w:t>年</w:t>
      </w:r>
      <w:r w:rsidRPr="00AC77DF">
        <w:t>4</w:t>
      </w:r>
      <w:r w:rsidRPr="00AC77DF">
        <w:t>月</w:t>
      </w:r>
      <w:r w:rsidRPr="00AC77DF">
        <w:t>26</w:t>
      </w:r>
      <w:r w:rsidRPr="00AC77DF">
        <w:t>日向陸軍司令部申請退伍時，該部明知臺中地檢署已於</w:t>
      </w:r>
      <w:r w:rsidRPr="00AC77DF">
        <w:t>105</w:t>
      </w:r>
      <w:r w:rsidRPr="00AC77DF">
        <w:t>年</w:t>
      </w:r>
      <w:r w:rsidRPr="00AC77DF">
        <w:t>3</w:t>
      </w:r>
      <w:r w:rsidRPr="00AC77DF">
        <w:t>月</w:t>
      </w:r>
      <w:r w:rsidRPr="00AC77DF">
        <w:t>1</w:t>
      </w:r>
      <w:r w:rsidRPr="00AC77DF">
        <w:t>日對其因涉犯強制猥褻罪提起公訴，卻未依當時公務員懲戒法第</w:t>
      </w:r>
      <w:r w:rsidRPr="00AC77DF">
        <w:t>2</w:t>
      </w:r>
      <w:r w:rsidRPr="00AC77DF">
        <w:t>條規定將其送請監察院審查並先行停止職務，竟於短短</w:t>
      </w:r>
      <w:r w:rsidRPr="00AC77DF">
        <w:t>3</w:t>
      </w:r>
      <w:r w:rsidRPr="00AC77DF">
        <w:t>日即火速核定其退伍，遲至其退伍後始核定記「大過兩次」懲罰。</w:t>
      </w:r>
    </w:p>
    <w:p w:rsidR="003807A5" w:rsidRPr="00AC77DF" w:rsidRDefault="003807A5" w:rsidP="002B4E20">
      <w:pPr>
        <w:pStyle w:val="1---"/>
        <w:ind w:firstLine="480"/>
        <w:rPr>
          <w:b/>
        </w:rPr>
      </w:pPr>
      <w:r w:rsidRPr="00AC77DF">
        <w:t>十軍團受</w:t>
      </w:r>
      <w:r w:rsidRPr="0067637A">
        <w:rPr>
          <w:spacing w:val="-10"/>
        </w:rPr>
        <w:t>理</w:t>
      </w:r>
      <w:r w:rsidRPr="0067637A">
        <w:rPr>
          <w:spacing w:val="-10"/>
        </w:rPr>
        <w:t>A</w:t>
      </w:r>
      <w:r w:rsidRPr="00AC77DF">
        <w:t>女性騷擾申訴後，明知臺中憲兵隊已將仲員以涉犯強制觸摸罪嫌函送臺中地檢署偵辦，卻於後續性騷擾申覆會，草率認定性騷擾不成立。嗣經臺中地檢署提起公訴後，十軍團雖撤銷原性騷擾申訴決定，卻未重為決定，遲</w:t>
      </w:r>
      <w:r w:rsidRPr="0067637A">
        <w:rPr>
          <w:spacing w:val="-10"/>
        </w:rPr>
        <w:t>至</w:t>
      </w:r>
      <w:r w:rsidRPr="00AC77DF">
        <w:t>10</w:t>
      </w:r>
      <w:r w:rsidRPr="0067637A">
        <w:rPr>
          <w:spacing w:val="-10"/>
        </w:rPr>
        <w:t>6</w:t>
      </w:r>
      <w:r w:rsidRPr="00AC77DF">
        <w:t>年</w:t>
      </w:r>
      <w:r w:rsidRPr="00AC77DF">
        <w:t>6</w:t>
      </w:r>
      <w:r w:rsidRPr="00AC77DF">
        <w:t>月</w:t>
      </w:r>
      <w:r w:rsidRPr="00AC77DF">
        <w:t>6</w:t>
      </w:r>
      <w:r w:rsidRPr="00AC77DF">
        <w:t>日始重新作成性騷擾成立之決議。</w:t>
      </w:r>
    </w:p>
    <w:p w:rsidR="003807A5" w:rsidRPr="00AC77DF" w:rsidRDefault="003807A5" w:rsidP="002B4E20">
      <w:pPr>
        <w:pStyle w:val="1---"/>
        <w:ind w:firstLine="480"/>
      </w:pPr>
      <w:r w:rsidRPr="00AC77DF">
        <w:t>十軍團</w:t>
      </w:r>
      <w:r w:rsidRPr="0067637A">
        <w:rPr>
          <w:spacing w:val="-10"/>
        </w:rPr>
        <w:t>於</w:t>
      </w:r>
      <w:r w:rsidRPr="0067637A">
        <w:rPr>
          <w:spacing w:val="-10"/>
        </w:rPr>
        <w:t>A</w:t>
      </w:r>
      <w:r w:rsidRPr="00AC77DF">
        <w:t>女提出性騷擾申訴後，未徵詢其意願，竟將其由</w:t>
      </w:r>
      <w:r w:rsidRPr="00AC77DF">
        <w:t>104</w:t>
      </w:r>
      <w:r w:rsidRPr="00AC77DF">
        <w:t>旅調職，違反性別工作平等法第</w:t>
      </w:r>
      <w:r w:rsidRPr="00AC77DF">
        <w:t>36</w:t>
      </w:r>
      <w:r w:rsidRPr="00AC77DF">
        <w:t>條之規定。又十軍團</w:t>
      </w:r>
      <w:r w:rsidRPr="00AC77DF">
        <w:t>104</w:t>
      </w:r>
      <w:r w:rsidRPr="00AC77DF">
        <w:t>旅忽</w:t>
      </w:r>
      <w:r w:rsidRPr="0067637A">
        <w:rPr>
          <w:spacing w:val="-10"/>
        </w:rPr>
        <w:t>視</w:t>
      </w:r>
      <w:r w:rsidRPr="0067637A">
        <w:rPr>
          <w:spacing w:val="-10"/>
        </w:rPr>
        <w:t>A</w:t>
      </w:r>
      <w:r w:rsidRPr="00AC77DF">
        <w:t>女孕後照顧幼兒之需求，未協助其找到適當代理人並完成請假手續，且於其得到科長准假離營後，以科長無核假權限為由將其緊急召回，並核予「申誡乙次」處分，嗣後更加重為「記過乙次」處分。又</w:t>
      </w:r>
      <w:r w:rsidRPr="00AC77DF">
        <w:t>A</w:t>
      </w:r>
      <w:r w:rsidRPr="00AC77DF">
        <w:t>女之配偶</w:t>
      </w:r>
      <w:r w:rsidRPr="00AC77DF">
        <w:t>B</w:t>
      </w:r>
      <w:r w:rsidRPr="00AC77DF">
        <w:t>男依體制內申訴途</w:t>
      </w:r>
      <w:r w:rsidRPr="00AC77DF">
        <w:lastRenderedPageBreak/>
        <w:t>徑為</w:t>
      </w:r>
      <w:r w:rsidRPr="00AC77DF">
        <w:t>A</w:t>
      </w:r>
      <w:r w:rsidRPr="00AC77DF">
        <w:t>女申訴，卻遭十軍團</w:t>
      </w:r>
      <w:r w:rsidRPr="00AC77DF">
        <w:t>104</w:t>
      </w:r>
      <w:r w:rsidRPr="00AC77DF">
        <w:t>旅給予記過處分，限制其言論自由，實已侵害其捍衛家人之權益。</w:t>
      </w:r>
    </w:p>
    <w:p w:rsidR="003807A5" w:rsidRPr="00AC77DF" w:rsidRDefault="00682251" w:rsidP="00145E05">
      <w:pPr>
        <w:pStyle w:val="1--13"/>
        <w:spacing w:before="180" w:after="180"/>
      </w:pPr>
      <w:r w:rsidRPr="008E1832">
        <w:rPr>
          <w:rFonts w:hint="eastAsia"/>
        </w:rPr>
        <w:t>˙</w:t>
      </w:r>
      <w:r w:rsidR="003807A5" w:rsidRPr="00AC77DF">
        <w:t>軍職人員相關規範有待檢討</w:t>
      </w:r>
    </w:p>
    <w:p w:rsidR="003807A5" w:rsidRPr="00AC77DF" w:rsidRDefault="003807A5" w:rsidP="002B4E20">
      <w:pPr>
        <w:pStyle w:val="1---"/>
        <w:ind w:firstLine="480"/>
        <w:rPr>
          <w:b/>
        </w:rPr>
      </w:pPr>
      <w:r w:rsidRPr="00AC77DF">
        <w:t>公務人員退休法第</w:t>
      </w:r>
      <w:r w:rsidRPr="00AC77DF">
        <w:t>21</w:t>
      </w:r>
      <w:r w:rsidRPr="00AC77DF">
        <w:t>條第</w:t>
      </w:r>
      <w:r w:rsidRPr="00AC77DF">
        <w:t>1</w:t>
      </w:r>
      <w:r w:rsidRPr="00AC77DF">
        <w:t>項規定公務人員於停職期間、送監察院審查中或有該項其他各款情事者，其申請退休即應不予受理。惟軍職人員未有類似之規定，致常衍生爭議。又依</w:t>
      </w:r>
      <w:r w:rsidRPr="00AC77DF">
        <w:t>105</w:t>
      </w:r>
      <w:r w:rsidRPr="00AC77DF">
        <w:t>年</w:t>
      </w:r>
      <w:r w:rsidRPr="00AC77DF">
        <w:t>6</w:t>
      </w:r>
      <w:r w:rsidRPr="00AC77DF">
        <w:t>月</w:t>
      </w:r>
      <w:r w:rsidRPr="00AC77DF">
        <w:t>6</w:t>
      </w:r>
      <w:r w:rsidRPr="00AC77DF">
        <w:t>日修正施行之「國軍人員性騷擾處理及性侵害預防實施規定」，造成申訴會與申復會之委員得重覆情形，故欲由原審理單位同一批委員受理申復案件後去推翻其前次所為之申訴決議，無異緣木求魚；另該實施規定</w:t>
      </w:r>
      <w:r w:rsidRPr="0067637A">
        <w:rPr>
          <w:spacing w:val="-10"/>
        </w:rPr>
        <w:t>第</w:t>
      </w:r>
      <w:r w:rsidRPr="00AC77DF">
        <w:t>2</w:t>
      </w:r>
      <w:r w:rsidRPr="0067637A">
        <w:rPr>
          <w:spacing w:val="-10"/>
        </w:rPr>
        <w:t>5</w:t>
      </w:r>
      <w:r w:rsidRPr="00AC77DF">
        <w:t>點第</w:t>
      </w:r>
      <w:r w:rsidRPr="00AC77DF">
        <w:t>1</w:t>
      </w:r>
      <w:r w:rsidRPr="00AC77DF">
        <w:t>項及</w:t>
      </w:r>
      <w:r w:rsidRPr="0067637A">
        <w:rPr>
          <w:spacing w:val="-10"/>
        </w:rPr>
        <w:t>第</w:t>
      </w:r>
      <w:r w:rsidRPr="00AC77DF">
        <w:t>28</w:t>
      </w:r>
      <w:r w:rsidRPr="00AC77DF">
        <w:t>點中使用「申覆」文字，應與「申復」用語一致，故請國防部一併檢討改進。</w:t>
      </w:r>
    </w:p>
    <w:p w:rsidR="003807A5" w:rsidRPr="00AC77DF" w:rsidRDefault="003807A5" w:rsidP="002B4E20">
      <w:pPr>
        <w:pStyle w:val="1---"/>
        <w:ind w:firstLine="480"/>
      </w:pPr>
      <w:r w:rsidRPr="00AC77DF">
        <w:t>依據本案調查意見</w:t>
      </w:r>
      <w:r w:rsidRPr="00F9266D">
        <w:rPr>
          <w:rStyle w:val="aff2"/>
          <w:rFonts w:eastAsiaTheme="minorEastAsia"/>
        </w:rPr>
        <w:footnoteReference w:id="34"/>
      </w:r>
      <w:r w:rsidRPr="00AC77DF">
        <w:t>，監察院彈劾仲員，並糾正國防部，函請行政院督飭所屬檢討改進。</w:t>
      </w:r>
    </w:p>
    <w:p w:rsidR="003807A5" w:rsidRPr="00AC77DF" w:rsidRDefault="006D2BAD" w:rsidP="006D2BAD">
      <w:pPr>
        <w:pStyle w:val="afff1"/>
        <w:spacing w:before="360" w:after="360"/>
      </w:pPr>
      <w:r>
        <w:rPr>
          <w:rFonts w:hint="eastAsia"/>
        </w:rPr>
        <w:t>(三)</w:t>
      </w:r>
      <w:r w:rsidR="003807A5" w:rsidRPr="00AC77DF">
        <w:t>政府機關改善情形</w:t>
      </w:r>
    </w:p>
    <w:p w:rsidR="003807A5" w:rsidRPr="00AC77DF" w:rsidRDefault="003807A5" w:rsidP="007373B4">
      <w:pPr>
        <w:pStyle w:val="1---"/>
        <w:ind w:leftChars="100" w:left="600" w:hangingChars="150" w:hanging="360"/>
      </w:pPr>
      <w:r w:rsidRPr="00AC77DF">
        <w:t>1</w:t>
      </w:r>
      <w:r w:rsidRPr="00AC77DF">
        <w:t>、仲員經</w:t>
      </w:r>
      <w:r>
        <w:rPr>
          <w:rFonts w:hint="eastAsia"/>
        </w:rPr>
        <w:t>公懲會</w:t>
      </w:r>
      <w:r w:rsidRPr="00AC77DF">
        <w:t>106</w:t>
      </w:r>
      <w:r w:rsidRPr="00AC77DF">
        <w:t>年度鑑字第</w:t>
      </w:r>
      <w:r w:rsidRPr="00AC77DF">
        <w:t>14049</w:t>
      </w:r>
      <w:r w:rsidRPr="00AC77DF">
        <w:t>號判決撤職並停止任用壹年。誣告案部分因與</w:t>
      </w:r>
      <w:r w:rsidRPr="00AC77DF">
        <w:t>A</w:t>
      </w:r>
      <w:r w:rsidRPr="00AC77DF">
        <w:t>女達成和解，經</w:t>
      </w:r>
      <w:r w:rsidR="000D44A5">
        <w:rPr>
          <w:rFonts w:hint="eastAsia"/>
        </w:rPr>
        <w:t>臺灣</w:t>
      </w:r>
      <w:r w:rsidRPr="00AC77DF">
        <w:t>臺中地方法院</w:t>
      </w:r>
      <w:r w:rsidRPr="00AC77DF">
        <w:t>106</w:t>
      </w:r>
      <w:r w:rsidRPr="00AC77DF">
        <w:t>年度訴字第</w:t>
      </w:r>
      <w:r w:rsidRPr="00AC77DF">
        <w:t>892</w:t>
      </w:r>
      <w:r w:rsidRPr="00AC77DF">
        <w:t>號刑事判決有期徒刑二月。</w:t>
      </w:r>
    </w:p>
    <w:p w:rsidR="003807A5" w:rsidRPr="00AC77DF" w:rsidRDefault="003807A5" w:rsidP="007373B4">
      <w:pPr>
        <w:pStyle w:val="1---"/>
        <w:ind w:leftChars="100" w:left="600" w:hangingChars="150" w:hanging="360"/>
      </w:pPr>
      <w:r w:rsidRPr="00AC77DF">
        <w:t>2</w:t>
      </w:r>
      <w:r w:rsidRPr="00AC77DF">
        <w:t>、仲員核准退伍經過之缺失，國防部已要求各部隊落實「罰即當時」之軍紀要求。如遇爭議性、敏感性案件申請退伍</w:t>
      </w:r>
      <w:r w:rsidRPr="00AC77DF">
        <w:lastRenderedPageBreak/>
        <w:t>時，審慎研處，依法辦理，待法院回函敘明辦理退伍不影響案件審理後，再據以退伍准否決定。</w:t>
      </w:r>
    </w:p>
    <w:p w:rsidR="003807A5" w:rsidRPr="00AC77DF" w:rsidRDefault="003807A5" w:rsidP="007373B4">
      <w:pPr>
        <w:pStyle w:val="1---"/>
        <w:ind w:leftChars="100" w:left="600" w:hangingChars="150" w:hanging="360"/>
      </w:pPr>
      <w:r w:rsidRPr="00AC77DF">
        <w:t>3</w:t>
      </w:r>
      <w:r w:rsidRPr="00AC77DF">
        <w:t>、對於本案所生之性騷擾申訴受理、調查程序及當事人權益維護等，國防部已重新檢討並正確適用性別工作平等法處理，並援引為案例宣導週知，以建立正確法治觀念，自</w:t>
      </w:r>
      <w:r w:rsidRPr="00AC77DF">
        <w:t>105</w:t>
      </w:r>
      <w:r w:rsidRPr="00AC77DF">
        <w:t>年迄</w:t>
      </w:r>
      <w:r w:rsidRPr="00AC77DF">
        <w:t>106</w:t>
      </w:r>
      <w:r w:rsidRPr="00AC77DF">
        <w:t>年</w:t>
      </w:r>
      <w:r w:rsidRPr="00AC77DF">
        <w:t>10</w:t>
      </w:r>
      <w:r w:rsidRPr="00AC77DF">
        <w:t>月</w:t>
      </w:r>
      <w:r w:rsidRPr="00AC77DF">
        <w:t>31</w:t>
      </w:r>
      <w:r w:rsidRPr="00AC77DF">
        <w:t>日共辦理性別座談計</w:t>
      </w:r>
      <w:r w:rsidRPr="00AC77DF">
        <w:t>966</w:t>
      </w:r>
      <w:r w:rsidRPr="00AC77DF">
        <w:t>場次，參加人次計</w:t>
      </w:r>
      <w:r w:rsidRPr="00AC77DF">
        <w:t>165,067</w:t>
      </w:r>
      <w:r w:rsidRPr="00AC77DF">
        <w:t>人次。另於</w:t>
      </w:r>
      <w:r w:rsidRPr="00AC77DF">
        <w:t>106</w:t>
      </w:r>
      <w:r w:rsidRPr="00AC77DF">
        <w:t>年</w:t>
      </w:r>
      <w:r w:rsidRPr="00AC77DF">
        <w:t>4</w:t>
      </w:r>
      <w:r w:rsidRPr="00AC77DF">
        <w:t>月</w:t>
      </w:r>
      <w:r w:rsidRPr="00AC77DF">
        <w:t>26</w:t>
      </w:r>
      <w:r w:rsidRPr="00AC77DF">
        <w:t>日註銷</w:t>
      </w:r>
      <w:r w:rsidRPr="00AC77DF">
        <w:t>A</w:t>
      </w:r>
      <w:r w:rsidRPr="00AC77DF">
        <w:t>女記過乙次懲罰。</w:t>
      </w:r>
    </w:p>
    <w:p w:rsidR="003807A5" w:rsidRPr="00AC77DF" w:rsidRDefault="003807A5" w:rsidP="007373B4">
      <w:pPr>
        <w:pStyle w:val="1---"/>
        <w:ind w:leftChars="100" w:left="600" w:hangingChars="150" w:hanging="360"/>
      </w:pPr>
      <w:r w:rsidRPr="00AC77DF">
        <w:t>4</w:t>
      </w:r>
      <w:r w:rsidRPr="00AC77DF">
        <w:t>、</w:t>
      </w:r>
      <w:r w:rsidRPr="00AC77DF">
        <w:rPr>
          <w:rFonts w:eastAsiaTheme="minorEastAsia"/>
        </w:rPr>
        <w:t>國</w:t>
      </w:r>
      <w:r w:rsidRPr="00AC77DF">
        <w:t>防部業已將「國軍人員性騷擾處理及性侵害預防實施規定」之「申覆」文字統一用語為「申復」一詞。至於申訴會與申復會之委員由不同層級或人員組成，已規劃納入修訂範圍。</w:t>
      </w:r>
    </w:p>
    <w:p w:rsidR="003807A5" w:rsidRPr="00AC77DF" w:rsidRDefault="003807A5" w:rsidP="007373B4">
      <w:pPr>
        <w:pStyle w:val="1---"/>
        <w:ind w:leftChars="100" w:left="600" w:hangingChars="150" w:hanging="360"/>
      </w:pPr>
      <w:r w:rsidRPr="00AC77DF">
        <w:t>5</w:t>
      </w:r>
      <w:r w:rsidRPr="00AC77DF">
        <w:t>、國防部刻正修正「陸海空軍軍官士官服役條例」，增訂第</w:t>
      </w:r>
      <w:r w:rsidRPr="00AC77DF">
        <w:t>15</w:t>
      </w:r>
      <w:r w:rsidRPr="00AC77DF">
        <w:t>條之</w:t>
      </w:r>
      <w:r w:rsidRPr="00AC77DF">
        <w:t>1</w:t>
      </w:r>
      <w:r w:rsidRPr="00AC77DF">
        <w:t>明定常備軍士官因相關違失行為不得申請退伍之限制條件。</w:t>
      </w:r>
    </w:p>
    <w:p w:rsidR="003807A5" w:rsidRPr="00AC77DF" w:rsidRDefault="006D2BAD" w:rsidP="006D2BAD">
      <w:pPr>
        <w:pStyle w:val="afff1"/>
        <w:spacing w:before="360" w:after="360"/>
      </w:pPr>
      <w:r>
        <w:rPr>
          <w:rFonts w:hint="eastAsia"/>
        </w:rPr>
        <w:t>(四)</w:t>
      </w:r>
      <w:r w:rsidR="003807A5" w:rsidRPr="00AC77DF">
        <w:t>案件進展</w:t>
      </w:r>
    </w:p>
    <w:p w:rsidR="003807A5" w:rsidRDefault="003807A5" w:rsidP="002B4E20">
      <w:pPr>
        <w:pStyle w:val="1---"/>
        <w:ind w:firstLine="480"/>
        <w:rPr>
          <w:lang w:eastAsia="zh-TW"/>
        </w:rPr>
      </w:pPr>
      <w:r w:rsidRPr="00AC77DF">
        <w:t>本案</w:t>
      </w:r>
      <w:r w:rsidR="007837E8">
        <w:rPr>
          <w:rFonts w:hint="eastAsia"/>
        </w:rPr>
        <w:t>國防部已檢討並修正</w:t>
      </w:r>
      <w:r w:rsidR="007837E8" w:rsidRPr="007837E8">
        <w:rPr>
          <w:rFonts w:hint="eastAsia"/>
        </w:rPr>
        <w:t>「陸海空軍軍官士官服役條例」</w:t>
      </w:r>
      <w:r w:rsidR="007837E8">
        <w:rPr>
          <w:rFonts w:hint="eastAsia"/>
        </w:rPr>
        <w:t>等規定，爰已結案</w:t>
      </w:r>
      <w:r w:rsidRPr="00AC77DF">
        <w:t>。</w:t>
      </w:r>
    </w:p>
    <w:p w:rsidR="00CC6C8C" w:rsidRDefault="00CC6C8C" w:rsidP="002B4E20">
      <w:pPr>
        <w:pStyle w:val="1---"/>
        <w:ind w:firstLine="480"/>
        <w:rPr>
          <w:lang w:eastAsia="zh-TW"/>
        </w:rPr>
      </w:pPr>
    </w:p>
    <w:p w:rsidR="00721678" w:rsidRDefault="00721678" w:rsidP="002B4E20">
      <w:pPr>
        <w:pStyle w:val="1---"/>
        <w:ind w:firstLine="480"/>
        <w:rPr>
          <w:lang w:eastAsia="zh-TW"/>
        </w:rPr>
      </w:pPr>
    </w:p>
    <w:p w:rsidR="00721678" w:rsidRDefault="00721678" w:rsidP="002B4E20">
      <w:pPr>
        <w:pStyle w:val="1---"/>
        <w:ind w:firstLine="480"/>
        <w:rPr>
          <w:lang w:eastAsia="zh-TW"/>
        </w:rPr>
      </w:pPr>
    </w:p>
    <w:p w:rsidR="00721678" w:rsidRDefault="00721678" w:rsidP="002B4E20">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5552"/>
      </w:tblGrid>
      <w:tr w:rsidR="008267E1" w:rsidTr="007B2CA1">
        <w:tc>
          <w:tcPr>
            <w:tcW w:w="5552" w:type="dxa"/>
            <w:shd w:val="clear" w:color="auto" w:fill="D9D9D9" w:themeFill="background1" w:themeFillShade="D9"/>
          </w:tcPr>
          <w:p w:rsidR="008267E1" w:rsidRDefault="007B2CA1" w:rsidP="007B2CA1">
            <w:pPr>
              <w:pStyle w:val="11-"/>
              <w:spacing w:before="72" w:after="108"/>
              <w:rPr>
                <w:lang w:eastAsia="zh-TW"/>
              </w:rPr>
            </w:pPr>
            <w:bookmarkStart w:id="66" w:name="_Toc535228320"/>
            <w:bookmarkStart w:id="67" w:name="_Toc4058730"/>
            <w:r w:rsidRPr="00AC77DF">
              <w:lastRenderedPageBreak/>
              <w:t>校園性侵害案件違失查究及被害人權益</w:t>
            </w:r>
            <w:bookmarkEnd w:id="66"/>
            <w:bookmarkEnd w:id="67"/>
          </w:p>
        </w:tc>
      </w:tr>
    </w:tbl>
    <w:p w:rsidR="00CC6C8C" w:rsidRPr="00AC77DF" w:rsidRDefault="00CC6C8C" w:rsidP="002B4E20">
      <w:pPr>
        <w:pStyle w:val="1---"/>
        <w:ind w:firstLine="480"/>
        <w:rPr>
          <w:lang w:eastAsia="zh-TW"/>
        </w:rPr>
      </w:pPr>
    </w:p>
    <w:tbl>
      <w:tblPr>
        <w:tblStyle w:val="aff5"/>
        <w:tblW w:w="4673" w:type="pct"/>
        <w:tblInd w:w="113" w:type="dxa"/>
        <w:tblLook w:val="04A0" w:firstRow="1" w:lastRow="0" w:firstColumn="1" w:lastColumn="0" w:noHBand="0" w:noVBand="1"/>
      </w:tblPr>
      <w:tblGrid>
        <w:gridCol w:w="6402"/>
      </w:tblGrid>
      <w:tr w:rsidR="007837E8" w:rsidTr="007B2CA1">
        <w:tc>
          <w:tcPr>
            <w:tcW w:w="5000" w:type="pct"/>
          </w:tcPr>
          <w:p w:rsidR="007837E8" w:rsidRPr="00AC77DF" w:rsidRDefault="007837E8" w:rsidP="007B2CA1">
            <w:pPr>
              <w:spacing w:line="360" w:lineRule="exact"/>
              <w:jc w:val="both"/>
            </w:pPr>
            <w:r w:rsidRPr="00AC77DF">
              <w:rPr>
                <w:b/>
                <w:lang w:val="x-none"/>
              </w:rPr>
              <w:t>相關國際人權公約：</w:t>
            </w:r>
            <w:r w:rsidRPr="00AC77DF">
              <w:rPr>
                <w:lang w:val="x-none"/>
              </w:rPr>
              <w:t>經濟社會文化權利國際公約第</w:t>
            </w:r>
            <w:r w:rsidRPr="00AC77DF">
              <w:rPr>
                <w:lang w:val="x-none"/>
              </w:rPr>
              <w:t>3</w:t>
            </w:r>
            <w:r w:rsidRPr="00AC77DF">
              <w:rPr>
                <w:lang w:val="x-none"/>
              </w:rPr>
              <w:t>條；兒童權利公約第</w:t>
            </w:r>
            <w:r w:rsidRPr="00AC77DF">
              <w:rPr>
                <w:lang w:val="x-none"/>
              </w:rPr>
              <w:t>2</w:t>
            </w:r>
            <w:r w:rsidRPr="00AC77DF">
              <w:rPr>
                <w:lang w:val="x-none"/>
              </w:rPr>
              <w:t>條、第</w:t>
            </w:r>
            <w:r w:rsidRPr="00AC77DF">
              <w:rPr>
                <w:lang w:val="x-none"/>
              </w:rPr>
              <w:t>3</w:t>
            </w:r>
            <w:r w:rsidRPr="00AC77DF">
              <w:rPr>
                <w:lang w:val="x-none"/>
              </w:rPr>
              <w:t>條、第</w:t>
            </w:r>
            <w:r w:rsidRPr="00AC77DF">
              <w:rPr>
                <w:lang w:val="x-none"/>
              </w:rPr>
              <w:t>6</w:t>
            </w:r>
            <w:r w:rsidRPr="00AC77DF">
              <w:rPr>
                <w:lang w:val="x-none"/>
              </w:rPr>
              <w:t>條；消除對婦女一切形式歧視公約第</w:t>
            </w:r>
            <w:r w:rsidRPr="00AC77DF">
              <w:rPr>
                <w:lang w:val="x-none"/>
              </w:rPr>
              <w:t>3</w:t>
            </w:r>
            <w:r w:rsidRPr="00AC77DF">
              <w:rPr>
                <w:lang w:val="x-none"/>
              </w:rPr>
              <w:t>條</w:t>
            </w:r>
          </w:p>
        </w:tc>
      </w:tr>
    </w:tbl>
    <w:p w:rsidR="003807A5" w:rsidRPr="00AC77DF" w:rsidRDefault="007B2CA1" w:rsidP="00721678">
      <w:pPr>
        <w:pStyle w:val="afff1"/>
        <w:spacing w:beforeLines="150" w:before="540" w:after="360"/>
      </w:pPr>
      <w:r>
        <w:rPr>
          <w:rFonts w:hint="eastAsia"/>
        </w:rPr>
        <w:t>(一)</w:t>
      </w:r>
      <w:r w:rsidR="003807A5" w:rsidRPr="00AC77DF">
        <w:t>案情簡述</w:t>
      </w:r>
    </w:p>
    <w:p w:rsidR="00B10B14" w:rsidRDefault="003807A5" w:rsidP="00B10B14">
      <w:pPr>
        <w:pStyle w:val="1---"/>
        <w:spacing w:line="380" w:lineRule="exact"/>
        <w:ind w:firstLine="480"/>
        <w:rPr>
          <w:lang w:eastAsia="zh-TW"/>
        </w:rPr>
      </w:pPr>
      <w:r w:rsidRPr="00AC77DF">
        <w:t>某大學於</w:t>
      </w:r>
      <w:r w:rsidRPr="00AC77DF">
        <w:t>104</w:t>
      </w:r>
      <w:r w:rsidRPr="00AC77DF">
        <w:t>年</w:t>
      </w:r>
      <w:r w:rsidRPr="00AC77DF">
        <w:t>6</w:t>
      </w:r>
      <w:r w:rsidRPr="00AC77DF">
        <w:t>月發生校園性侵害事件，時任該校社會科學院（簡稱社科院）夏院長卻於</w:t>
      </w:r>
      <w:r w:rsidRPr="00AC77DF">
        <w:t>104</w:t>
      </w:r>
      <w:r w:rsidRPr="00AC77DF">
        <w:t>年</w:t>
      </w:r>
      <w:r w:rsidRPr="00AC77DF">
        <w:t>7</w:t>
      </w:r>
      <w:r w:rsidRPr="00AC77DF">
        <w:t>月</w:t>
      </w:r>
      <w:r w:rsidRPr="00AC77DF">
        <w:t>13</w:t>
      </w:r>
      <w:r w:rsidRPr="00AC77DF">
        <w:t>日被害人及其男友面談時說出「不要站在一個受害者的位置」等語；時任心理系何姓系主任於</w:t>
      </w:r>
      <w:r w:rsidRPr="00AC77DF">
        <w:t>105</w:t>
      </w:r>
      <w:r w:rsidRPr="00AC77DF">
        <w:t>年</w:t>
      </w:r>
      <w:r w:rsidRPr="00AC77DF">
        <w:t>3</w:t>
      </w:r>
      <w:r w:rsidRPr="00AC77DF">
        <w:t>月</w:t>
      </w:r>
      <w:r w:rsidRPr="00AC77DF">
        <w:t>8</w:t>
      </w:r>
      <w:r w:rsidRPr="00AC77DF">
        <w:t>日發電子郵件指責被害女學生</w:t>
      </w:r>
      <w:r w:rsidRPr="00AC77DF">
        <w:t>PO</w:t>
      </w:r>
      <w:r w:rsidRPr="00AC77DF">
        <w:t>文不當並要求撤掉，行為人王姓學生又拒絕道歉，被害人及其男友心理遭受創傷，被害女學生因而於</w:t>
      </w:r>
      <w:r w:rsidRPr="00AC77DF">
        <w:t>105</w:t>
      </w:r>
      <w:r w:rsidRPr="00AC77DF">
        <w:t>年</w:t>
      </w:r>
      <w:r w:rsidRPr="00AC77DF">
        <w:t>3</w:t>
      </w:r>
      <w:r w:rsidRPr="00AC77DF">
        <w:t>月間有自殘行為，其男友遂於</w:t>
      </w:r>
      <w:r w:rsidRPr="00AC77DF">
        <w:t>105</w:t>
      </w:r>
      <w:r w:rsidRPr="00AC77DF">
        <w:t>年</w:t>
      </w:r>
      <w:r w:rsidRPr="00AC77DF">
        <w:t>5</w:t>
      </w:r>
      <w:r w:rsidRPr="00AC77DF">
        <w:t>月</w:t>
      </w:r>
      <w:r w:rsidRPr="00AC77DF">
        <w:t>29</w:t>
      </w:r>
      <w:r w:rsidRPr="00AC77DF">
        <w:t>日在臉書</w:t>
      </w:r>
      <w:r w:rsidRPr="00AC77DF">
        <w:t>PO</w:t>
      </w:r>
      <w:r w:rsidRPr="00AC77DF">
        <w:t>文指控夏院長及工作小組有息事寧人或吃案情事，引起媒體報導及爭議。該校於同年</w:t>
      </w:r>
      <w:r w:rsidRPr="00AC77DF">
        <w:t>6</w:t>
      </w:r>
      <w:r w:rsidRPr="00AC77DF">
        <w:t>月</w:t>
      </w:r>
      <w:r w:rsidRPr="00AC77DF">
        <w:t>2</w:t>
      </w:r>
      <w:r w:rsidRPr="00AC77DF">
        <w:t>日即函請心理系依法保護受害者隱私，夏院長卻於</w:t>
      </w:r>
      <w:r w:rsidRPr="00AC77DF">
        <w:t>6</w:t>
      </w:r>
      <w:r w:rsidRPr="00AC77DF">
        <w:t>月</w:t>
      </w:r>
      <w:r w:rsidRPr="00AC77DF">
        <w:t>7</w:t>
      </w:r>
      <w:r w:rsidRPr="00AC77DF">
        <w:t>日上午召開「真相還原記者會</w:t>
      </w:r>
      <w:r w:rsidRPr="00064813">
        <w:rPr>
          <w:spacing w:val="-30"/>
        </w:rPr>
        <w:t>」</w:t>
      </w:r>
      <w:r w:rsidRPr="00AC77DF">
        <w:t>，心理系當晚召開討論會，該會演變為公審會，違反該校公函及保密規定，對被害女學生及其男友造成壓力、恐懼及傷害，該校於</w:t>
      </w:r>
      <w:r w:rsidRPr="00AC77DF">
        <w:t>6</w:t>
      </w:r>
      <w:r w:rsidRPr="00AC77DF">
        <w:t>月</w:t>
      </w:r>
      <w:r w:rsidRPr="00AC77DF">
        <w:t>24</w:t>
      </w:r>
      <w:r w:rsidRPr="00AC77DF">
        <w:t>日解除何</w:t>
      </w:r>
      <w:r w:rsidR="00021D2E">
        <w:rPr>
          <w:rFonts w:asciiTheme="majorEastAsia" w:eastAsiaTheme="majorEastAsia" w:hAnsiTheme="majorEastAsia" w:hint="eastAsia"/>
        </w:rPr>
        <w:t>姓</w:t>
      </w:r>
      <w:r w:rsidRPr="00AC77DF">
        <w:t>系主任職務。夏院長於</w:t>
      </w:r>
      <w:r w:rsidRPr="00AC77DF">
        <w:t>105</w:t>
      </w:r>
      <w:r w:rsidRPr="00AC77DF">
        <w:t>年</w:t>
      </w:r>
      <w:r w:rsidRPr="00AC77DF">
        <w:t>8</w:t>
      </w:r>
      <w:r w:rsidRPr="00AC77DF">
        <w:t>月</w:t>
      </w:r>
      <w:r w:rsidRPr="00AC77DF">
        <w:t>13</w:t>
      </w:r>
      <w:r w:rsidRPr="00AC77DF">
        <w:t>日</w:t>
      </w:r>
      <w:r w:rsidRPr="00AC77DF">
        <w:t>PO</w:t>
      </w:r>
      <w:r w:rsidRPr="00AC77DF">
        <w:t>文指責，被害女學生希望結束爭鬥而於同年</w:t>
      </w:r>
      <w:r w:rsidRPr="00AC77DF">
        <w:t>9</w:t>
      </w:r>
      <w:r w:rsidRPr="00AC77DF">
        <w:t>月</w:t>
      </w:r>
      <w:r w:rsidRPr="00AC77DF">
        <w:t>21</w:t>
      </w:r>
      <w:r w:rsidRPr="00AC77DF">
        <w:t>日臉書發表道歉文，再度引發網友批判。該校</w:t>
      </w:r>
      <w:r w:rsidRPr="0025002C">
        <w:rPr>
          <w:rFonts w:hint="eastAsia"/>
        </w:rPr>
        <w:t>性別平等教育委員會（簡稱性平會）</w:t>
      </w:r>
      <w:r w:rsidRPr="00AC77DF">
        <w:t>遂於</w:t>
      </w:r>
      <w:r w:rsidRPr="00AC77DF">
        <w:lastRenderedPageBreak/>
        <w:t>9</w:t>
      </w:r>
      <w:r w:rsidRPr="00AC77DF">
        <w:t>月</w:t>
      </w:r>
      <w:r w:rsidRPr="00AC77DF">
        <w:t>22</w:t>
      </w:r>
      <w:r w:rsidRPr="00AC77DF">
        <w:t>日決議暫停夏</w:t>
      </w:r>
      <w:r w:rsidR="00021D2E">
        <w:rPr>
          <w:rFonts w:asciiTheme="majorEastAsia" w:eastAsiaTheme="majorEastAsia" w:hAnsiTheme="majorEastAsia" w:hint="eastAsia"/>
        </w:rPr>
        <w:t>院長</w:t>
      </w:r>
      <w:r w:rsidRPr="00AC77DF">
        <w:t>之社科院院長職務。嗣夏</w:t>
      </w:r>
      <w:r w:rsidRPr="00937E63">
        <w:rPr>
          <w:rFonts w:asciiTheme="majorEastAsia" w:eastAsiaTheme="majorEastAsia" w:hAnsiTheme="majorEastAsia"/>
        </w:rPr>
        <w:t>○○</w:t>
      </w:r>
      <w:r w:rsidRPr="00AC77DF">
        <w:t>除於同年</w:t>
      </w:r>
      <w:r w:rsidRPr="00AC77DF">
        <w:t>9</w:t>
      </w:r>
      <w:r w:rsidRPr="00AC77DF">
        <w:t>月</w:t>
      </w:r>
      <w:r w:rsidRPr="00AC77DF">
        <w:t>26</w:t>
      </w:r>
      <w:r w:rsidRPr="00AC77DF">
        <w:t>日晚間參加</w:t>
      </w:r>
      <w:r w:rsidR="00F57E51">
        <w:rPr>
          <w:rFonts w:hint="eastAsia"/>
        </w:rPr>
        <w:t>《</w:t>
      </w:r>
      <w:r w:rsidRPr="00AC77DF">
        <w:t>新聞面對面》節目外，仍透過臉書陸續</w:t>
      </w:r>
      <w:r w:rsidRPr="00AC77DF">
        <w:t>PO</w:t>
      </w:r>
      <w:r w:rsidRPr="00AC77DF">
        <w:t>文，校方遂做成停聘夏教授</w:t>
      </w:r>
      <w:r w:rsidRPr="00AC77DF">
        <w:t>1</w:t>
      </w:r>
      <w:r w:rsidRPr="00AC77DF">
        <w:t>年之處分，教育部於</w:t>
      </w:r>
      <w:r w:rsidRPr="00AC77DF">
        <w:t>106</w:t>
      </w:r>
      <w:r w:rsidRPr="00AC77DF">
        <w:t>年</w:t>
      </w:r>
      <w:r w:rsidRPr="00AC77DF">
        <w:t>5</w:t>
      </w:r>
      <w:r w:rsidRPr="00AC77DF">
        <w:t>月</w:t>
      </w:r>
      <w:r w:rsidRPr="00AC77DF">
        <w:t>12</w:t>
      </w:r>
      <w:r w:rsidRPr="00AC77DF">
        <w:t>日核定同意該處分，究該校有無依法通報？成立工作小組、調查程序懲處方式適法與否？有無造成被害人二度傷害？被害人道歉有無受到不當引導或脅迫？教育部介入處理是否妥適？教育機關對私立學校處理性平事件有無善盡督導之責？社政機關有無依法科處罰鍰？教育及社政機關對被害人是否給予心輔及其他扶助？相關政策法規有無修正必要？均有深入瞭解必要，爰經監察委員立案調查。</w:t>
      </w:r>
    </w:p>
    <w:p w:rsidR="003807A5" w:rsidRPr="00AC77DF" w:rsidRDefault="00064813" w:rsidP="00064813">
      <w:pPr>
        <w:pStyle w:val="afff1"/>
        <w:spacing w:before="360" w:after="360"/>
      </w:pPr>
      <w:r>
        <w:rPr>
          <w:rFonts w:hint="eastAsia"/>
        </w:rPr>
        <w:t>(二)</w:t>
      </w:r>
      <w:r w:rsidR="003807A5" w:rsidRPr="00AC77DF">
        <w:t>監察院調查發現與建議</w:t>
      </w:r>
    </w:p>
    <w:p w:rsidR="003807A5" w:rsidRPr="00AC77DF" w:rsidRDefault="00682251" w:rsidP="00145E05">
      <w:pPr>
        <w:pStyle w:val="1--13"/>
        <w:spacing w:before="180" w:after="180"/>
      </w:pPr>
      <w:r w:rsidRPr="008E1832">
        <w:rPr>
          <w:rFonts w:hint="eastAsia"/>
        </w:rPr>
        <w:t>˙</w:t>
      </w:r>
      <w:r w:rsidR="003807A5" w:rsidRPr="00AC77DF">
        <w:t>未依規定通報</w:t>
      </w:r>
    </w:p>
    <w:p w:rsidR="003807A5" w:rsidRPr="00AC77DF" w:rsidRDefault="003807A5" w:rsidP="002B4E20">
      <w:pPr>
        <w:pStyle w:val="1---"/>
        <w:ind w:firstLine="480"/>
      </w:pPr>
      <w:r w:rsidRPr="00AC77DF">
        <w:t>該校從副校長到生活輔導組長，有多位教育人員知悉本件性侵害後，未依性侵害犯罪防治法及性教法規定，於</w:t>
      </w:r>
      <w:r w:rsidRPr="00AC77DF">
        <w:t>24</w:t>
      </w:r>
      <w:r w:rsidRPr="00AC77DF">
        <w:t>小時內通報社政機關，教育部迄今未依性教法規定給予裁罰。</w:t>
      </w:r>
    </w:p>
    <w:p w:rsidR="003807A5" w:rsidRPr="00AC77DF" w:rsidRDefault="00682251" w:rsidP="00145E05">
      <w:pPr>
        <w:pStyle w:val="1--13"/>
        <w:spacing w:before="180" w:after="180"/>
      </w:pPr>
      <w:r w:rsidRPr="008E1832">
        <w:rPr>
          <w:rFonts w:hint="eastAsia"/>
        </w:rPr>
        <w:t>˙</w:t>
      </w:r>
      <w:r w:rsidR="003807A5" w:rsidRPr="00AC77DF">
        <w:t>校方處理程序失當</w:t>
      </w:r>
    </w:p>
    <w:p w:rsidR="003807A5" w:rsidRPr="00AC77DF" w:rsidRDefault="003807A5" w:rsidP="002B4E20">
      <w:pPr>
        <w:pStyle w:val="1---"/>
        <w:ind w:firstLine="480"/>
        <w:rPr>
          <w:i/>
        </w:rPr>
      </w:pPr>
      <w:r w:rsidRPr="00AC77DF">
        <w:t>校方處理過程中，未積極聯繫被害人，亦未依法主動檢舉、介入關懷；其知悉心理系工作小組違反「輔導人員應迴避事件調查」規定後，未提出任何究責、糾正及補救措施；未依調查報告建議對當事人予以諮商輔導等。該校因處理缺失而遭教育部扣減</w:t>
      </w:r>
      <w:r w:rsidRPr="00AC77DF">
        <w:t>400</w:t>
      </w:r>
      <w:r w:rsidRPr="00AC77DF">
        <w:t>萬元補助款，教育部應督導該校檢討改善。</w:t>
      </w:r>
    </w:p>
    <w:p w:rsidR="003807A5" w:rsidRPr="00AC77DF" w:rsidRDefault="00682251" w:rsidP="00145E05">
      <w:pPr>
        <w:pStyle w:val="1--13"/>
        <w:spacing w:before="180" w:after="180"/>
      </w:pPr>
      <w:r w:rsidRPr="008E1832">
        <w:rPr>
          <w:rFonts w:hint="eastAsia"/>
        </w:rPr>
        <w:lastRenderedPageBreak/>
        <w:t>˙</w:t>
      </w:r>
      <w:r w:rsidR="003807A5" w:rsidRPr="00AC77DF">
        <w:t>對被害人保護不周</w:t>
      </w:r>
    </w:p>
    <w:p w:rsidR="003807A5" w:rsidRPr="00AC77DF" w:rsidRDefault="003807A5" w:rsidP="002B4E20">
      <w:pPr>
        <w:pStyle w:val="1---"/>
        <w:ind w:firstLine="480"/>
        <w:rPr>
          <w:i/>
        </w:rPr>
      </w:pPr>
      <w:r w:rsidRPr="00AC77DF">
        <w:t>被害女學生及其男友都有創傷後壓力症候群，夏</w:t>
      </w:r>
      <w:r w:rsidRPr="00937E63">
        <w:rPr>
          <w:rFonts w:asciiTheme="majorEastAsia" w:eastAsiaTheme="majorEastAsia" w:hAnsiTheme="majorEastAsia"/>
        </w:rPr>
        <w:t>○○、</w:t>
      </w:r>
      <w:r w:rsidRPr="00AC77DF">
        <w:t>何</w:t>
      </w:r>
      <w:r w:rsidRPr="00937E63">
        <w:rPr>
          <w:rFonts w:asciiTheme="majorEastAsia" w:eastAsiaTheme="majorEastAsia" w:hAnsiTheme="majorEastAsia"/>
        </w:rPr>
        <w:t>○○</w:t>
      </w:r>
      <w:r w:rsidRPr="00AC77DF">
        <w:t>及工作小組均未認知此事實，所以沒有與被害人及其男友建立信任關係，也沒有對被害人及其男友評估創傷後提供專業輔導，在被害人及其男友提出質疑及反彈後，又未以溫和方式化解紛爭，卻採取公開反擊及責備方式，因而引發網路論戰，夏院長及何主任均遭懲處，重創該校聲譽。</w:t>
      </w:r>
    </w:p>
    <w:p w:rsidR="003807A5" w:rsidRPr="00AC77DF" w:rsidRDefault="003807A5" w:rsidP="002B4E20">
      <w:pPr>
        <w:pStyle w:val="1---"/>
        <w:ind w:firstLine="480"/>
        <w:rPr>
          <w:i/>
        </w:rPr>
      </w:pPr>
      <w:r w:rsidRPr="00AC77DF">
        <w:t>依據本案相關調查意見</w:t>
      </w:r>
      <w:r w:rsidRPr="00C13BF4">
        <w:rPr>
          <w:rStyle w:val="aff2"/>
        </w:rPr>
        <w:footnoteReference w:id="35"/>
      </w:r>
      <w:r w:rsidRPr="00AC77DF">
        <w:t>，監察院糾正教育部，並請</w:t>
      </w:r>
      <w:r w:rsidRPr="00AC77DF">
        <w:rPr>
          <w:bCs/>
        </w:rPr>
        <w:t>行政院轉飭所屬確實檢討改善；另</w:t>
      </w:r>
      <w:r w:rsidRPr="00AC77DF">
        <w:t>函請教育部督導該校檢討改進暨函請衛福部研處辦理見復。</w:t>
      </w:r>
    </w:p>
    <w:p w:rsidR="003807A5" w:rsidRPr="00AC77DF" w:rsidRDefault="006D0DAD" w:rsidP="006D0DAD">
      <w:pPr>
        <w:pStyle w:val="afff1"/>
        <w:spacing w:before="360" w:after="360"/>
      </w:pPr>
      <w:r>
        <w:rPr>
          <w:rFonts w:hint="eastAsia"/>
        </w:rPr>
        <w:t>(三)</w:t>
      </w:r>
      <w:r w:rsidR="003807A5" w:rsidRPr="00AC77DF">
        <w:t>機關改善情形</w:t>
      </w:r>
    </w:p>
    <w:p w:rsidR="003807A5" w:rsidRPr="00AC77DF" w:rsidRDefault="003807A5" w:rsidP="006D0DAD">
      <w:pPr>
        <w:pStyle w:val="1----"/>
        <w:ind w:left="600" w:hanging="360"/>
      </w:pPr>
      <w:r w:rsidRPr="00AC77DF">
        <w:t>1</w:t>
      </w:r>
      <w:r w:rsidRPr="00AC77DF">
        <w:t>、校方部分</w:t>
      </w:r>
    </w:p>
    <w:p w:rsidR="003807A5" w:rsidRPr="00AC77DF" w:rsidRDefault="003807A5" w:rsidP="006D0DAD">
      <w:pPr>
        <w:pStyle w:val="1---"/>
        <w:ind w:leftChars="200" w:left="1080" w:hangingChars="250" w:hanging="600"/>
      </w:pPr>
      <w:r w:rsidRPr="00AC77DF">
        <w:t>（</w:t>
      </w:r>
      <w:r w:rsidRPr="00AC77DF">
        <w:t>1</w:t>
      </w:r>
      <w:r w:rsidRPr="00AC77DF">
        <w:t>）該校性平會已決議未來有類似重大案件（如性侵害、師對生等）發生時，即刻以檢舉方式交由性平會依法調查處理。</w:t>
      </w:r>
    </w:p>
    <w:p w:rsidR="003807A5" w:rsidRPr="00AC77DF" w:rsidRDefault="003807A5" w:rsidP="006D0DAD">
      <w:pPr>
        <w:pStyle w:val="1---"/>
        <w:ind w:leftChars="200" w:left="1080" w:hangingChars="250" w:hanging="600"/>
      </w:pPr>
      <w:r w:rsidRPr="00AC77DF">
        <w:t>（</w:t>
      </w:r>
      <w:r w:rsidRPr="00AC77DF">
        <w:t>2</w:t>
      </w:r>
      <w:r w:rsidRPr="00AC77DF">
        <w:t>）該校遲至受理該案申請調查期間始知此事，亦難辭督導不周之責。該校除先後將該系主任何</w:t>
      </w:r>
      <w:r w:rsidRPr="00937E63">
        <w:rPr>
          <w:rFonts w:asciiTheme="majorEastAsia" w:eastAsiaTheme="majorEastAsia" w:hAnsiTheme="majorEastAsia"/>
        </w:rPr>
        <w:t>○○</w:t>
      </w:r>
      <w:r w:rsidRPr="00AC77DF">
        <w:t>副教授及社科院院長夏</w:t>
      </w:r>
      <w:r w:rsidRPr="00937E63">
        <w:rPr>
          <w:rFonts w:asciiTheme="majorEastAsia" w:eastAsiaTheme="majorEastAsia" w:hAnsiTheme="majorEastAsia"/>
        </w:rPr>
        <w:t>○○</w:t>
      </w:r>
      <w:r w:rsidRPr="00AC77DF">
        <w:t>教授予以免</w:t>
      </w:r>
      <w:r w:rsidR="00584ACF">
        <w:rPr>
          <w:rFonts w:hint="eastAsia"/>
        </w:rPr>
        <w:t>兼行政</w:t>
      </w:r>
      <w:r w:rsidRPr="00AC77DF">
        <w:t>職外，並經教評會審議通過及教育部核定將夏教授停聘</w:t>
      </w:r>
      <w:r w:rsidRPr="00AC77DF">
        <w:t>1</w:t>
      </w:r>
      <w:r w:rsidRPr="00AC77DF">
        <w:t>年。此外，尚依教育部調查報告要求將相關疑似違反「性侵害犯罪防治法」之心理系相關人等，向臺北市家庭暴力及</w:t>
      </w:r>
      <w:r w:rsidRPr="00AC77DF">
        <w:lastRenderedPageBreak/>
        <w:t>性侵害防治中心提出檢舉在案，該校實無授權或包庇該系進行違法行為。</w:t>
      </w:r>
    </w:p>
    <w:p w:rsidR="003807A5" w:rsidRPr="00AC77DF" w:rsidRDefault="003807A5" w:rsidP="005E177E">
      <w:pPr>
        <w:pStyle w:val="1--1"/>
        <w:ind w:left="1080" w:hanging="600"/>
      </w:pPr>
      <w:r w:rsidRPr="00AC77DF">
        <w:t>（</w:t>
      </w:r>
      <w:r w:rsidRPr="00AC77DF">
        <w:t>3</w:t>
      </w:r>
      <w:r w:rsidRPr="00AC77DF">
        <w:t>）另針對該系空間管理不善，該校已責成總務處進行空間盤點，並要求心理系制定「群體關係與社會互動實驗室（</w:t>
      </w:r>
      <w:r w:rsidRPr="00AC77DF">
        <w:t>SF851</w:t>
      </w:r>
      <w:r w:rsidRPr="00AC77DF">
        <w:t>）管理與使用規則」，以加強管理。</w:t>
      </w:r>
    </w:p>
    <w:p w:rsidR="003807A5" w:rsidRPr="00AC77DF" w:rsidRDefault="003807A5" w:rsidP="006D0DAD">
      <w:pPr>
        <w:pStyle w:val="1----"/>
        <w:ind w:left="600" w:hanging="360"/>
      </w:pPr>
      <w:r w:rsidRPr="00AC77DF">
        <w:t>2</w:t>
      </w:r>
      <w:r w:rsidRPr="00AC77DF">
        <w:t>、教育部檢視及督導方面</w:t>
      </w:r>
    </w:p>
    <w:p w:rsidR="003807A5" w:rsidRPr="00AC77DF" w:rsidRDefault="003807A5" w:rsidP="006D0DAD">
      <w:pPr>
        <w:pStyle w:val="1---"/>
        <w:ind w:leftChars="200" w:left="1080" w:hangingChars="250" w:hanging="600"/>
      </w:pPr>
      <w:r w:rsidRPr="00AC77DF">
        <w:t>（</w:t>
      </w:r>
      <w:r w:rsidRPr="00AC77DF">
        <w:t>1</w:t>
      </w:r>
      <w:r w:rsidRPr="00AC77DF">
        <w:t>）該校尊重被害人意願未依前開規定進行通報，致未能依據性教法規定調查處理，對於校園性侵害或性騷擾防治準則第</w:t>
      </w:r>
      <w:r w:rsidRPr="00AC77DF">
        <w:t>2</w:t>
      </w:r>
      <w:r w:rsidRPr="00AC77DF">
        <w:t>條第</w:t>
      </w:r>
      <w:r w:rsidRPr="00AC77DF">
        <w:t>5</w:t>
      </w:r>
      <w:r w:rsidRPr="00AC77DF">
        <w:t>項規定「鼓勵校園性侵害、性騷擾及性霸凌事件被害人或檢舉人儘早申請調查或檢舉，以利蒐證及調查處理」未積極落實，應具體改進。</w:t>
      </w:r>
    </w:p>
    <w:p w:rsidR="003807A5" w:rsidRPr="00AC77DF" w:rsidRDefault="003807A5" w:rsidP="005E177E">
      <w:pPr>
        <w:pStyle w:val="1--1"/>
        <w:ind w:left="1080" w:hanging="600"/>
      </w:pPr>
      <w:r w:rsidRPr="00AC77DF">
        <w:t>（</w:t>
      </w:r>
      <w:r w:rsidRPr="00AC77DF">
        <w:t>2</w:t>
      </w:r>
      <w:r w:rsidRPr="00AC77DF">
        <w:t>）對於該校違法不當作為，教育部於</w:t>
      </w:r>
      <w:r w:rsidRPr="00AC77DF">
        <w:t>106</w:t>
      </w:r>
      <w:r w:rsidRPr="00AC77DF">
        <w:t>年</w:t>
      </w:r>
      <w:r w:rsidRPr="00AC77DF">
        <w:t>5</w:t>
      </w:r>
      <w:r w:rsidRPr="00AC77DF">
        <w:t>月</w:t>
      </w:r>
      <w:r w:rsidRPr="00AC77DF">
        <w:t>1</w:t>
      </w:r>
      <w:r w:rsidRPr="00AC77DF">
        <w:t>日對該校扣減</w:t>
      </w:r>
      <w:r w:rsidRPr="00AC77DF">
        <w:t>400</w:t>
      </w:r>
      <w:r w:rsidRPr="00AC77DF">
        <w:t>萬元補助款在案；並於</w:t>
      </w:r>
      <w:r w:rsidRPr="00AC77DF">
        <w:t>105</w:t>
      </w:r>
      <w:r w:rsidRPr="00AC77DF">
        <w:t>年</w:t>
      </w:r>
      <w:r w:rsidRPr="00AC77DF">
        <w:t>11</w:t>
      </w:r>
      <w:r w:rsidRPr="00AC77DF">
        <w:t>月</w:t>
      </w:r>
      <w:r w:rsidRPr="00AC77DF">
        <w:t>30</w:t>
      </w:r>
      <w:r w:rsidRPr="00AC77DF">
        <w:t>日以臺教學（三）字第</w:t>
      </w:r>
      <w:r w:rsidRPr="00AC77DF">
        <w:t>1050165071A</w:t>
      </w:r>
      <w:r w:rsidRPr="00AC77DF">
        <w:t>號函周知全國各級學校，應於校內防治規定定明通報、輔導或協助支持之權責。另將本案形成教材，據以宣達督促各公私立大專校院借鏡。</w:t>
      </w:r>
    </w:p>
    <w:p w:rsidR="003807A5" w:rsidRPr="00AC77DF" w:rsidRDefault="003807A5" w:rsidP="006D0DAD">
      <w:pPr>
        <w:pStyle w:val="1----"/>
        <w:ind w:left="600" w:hanging="360"/>
        <w:rPr>
          <w:b/>
          <w:i/>
        </w:rPr>
      </w:pPr>
      <w:r w:rsidRPr="00AC77DF">
        <w:t>3</w:t>
      </w:r>
      <w:r w:rsidRPr="00AC77DF">
        <w:t>、衛福部方面：修訂性侵害防治社工人員訓練計畫、</w:t>
      </w:r>
      <w:r w:rsidRPr="00AC77DF">
        <w:t>106</w:t>
      </w:r>
      <w:r w:rsidRPr="00AC77DF">
        <w:t>年起運用公益彩券回饋金補助民間團體辦理「性侵害被害者創傷復原中心建置推動計畫」等</w:t>
      </w:r>
      <w:r w:rsidRPr="00AC77DF">
        <w:t>2</w:t>
      </w:r>
      <w:r w:rsidRPr="00AC77DF">
        <w:t>點具體策進作為及改善措施，以提升性侵害個案之處遇服務品質，進而協助被害人走出創傷。</w:t>
      </w:r>
    </w:p>
    <w:p w:rsidR="00721678" w:rsidRDefault="00721678">
      <w:pPr>
        <w:widowControl/>
        <w:snapToGrid/>
        <w:rPr>
          <w:rFonts w:ascii="華康魏碑體" w:eastAsia="華康魏碑體" w:hAnsi="細明體" w:cs="細明體"/>
          <w:kern w:val="0"/>
          <w:sz w:val="34"/>
          <w:szCs w:val="32"/>
        </w:rPr>
      </w:pPr>
      <w:r>
        <w:br w:type="page"/>
      </w:r>
    </w:p>
    <w:p w:rsidR="003807A5" w:rsidRPr="00AC77DF" w:rsidRDefault="006D0DAD" w:rsidP="006D0DAD">
      <w:pPr>
        <w:pStyle w:val="afff1"/>
        <w:spacing w:before="360" w:after="360"/>
      </w:pPr>
      <w:r>
        <w:rPr>
          <w:rFonts w:hint="eastAsia"/>
        </w:rPr>
        <w:lastRenderedPageBreak/>
        <w:t>(四)</w:t>
      </w:r>
      <w:r w:rsidR="003807A5" w:rsidRPr="00AC77DF">
        <w:t>案件進展</w:t>
      </w:r>
    </w:p>
    <w:p w:rsidR="003807A5" w:rsidRDefault="003807A5" w:rsidP="002B4E20">
      <w:pPr>
        <w:pStyle w:val="1---"/>
        <w:ind w:firstLine="480"/>
        <w:rPr>
          <w:rFonts w:eastAsiaTheme="minorEastAsia"/>
          <w:lang w:eastAsia="zh-TW"/>
        </w:rPr>
      </w:pPr>
      <w:r w:rsidRPr="00AC77DF">
        <w:t>監察院持續追蹤相關機關及學校檢討改進情形，以保障並維護被害人合法權益及人性尊嚴</w:t>
      </w:r>
      <w:r w:rsidRPr="00AC77DF">
        <w:rPr>
          <w:rFonts w:eastAsiaTheme="minorEastAsia"/>
        </w:rPr>
        <w:t>。</w:t>
      </w:r>
    </w:p>
    <w:p w:rsidR="006D4F0C" w:rsidRDefault="006D4F0C" w:rsidP="002B4E20">
      <w:pPr>
        <w:pStyle w:val="1---"/>
        <w:ind w:firstLine="480"/>
        <w:rPr>
          <w:rFonts w:eastAsiaTheme="minorEastAsia"/>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4276"/>
      </w:tblGrid>
      <w:tr w:rsidR="006D4F0C" w:rsidTr="006D4F0C">
        <w:tc>
          <w:tcPr>
            <w:tcW w:w="4276" w:type="dxa"/>
            <w:shd w:val="clear" w:color="auto" w:fill="D9D9D9" w:themeFill="background1" w:themeFillShade="D9"/>
          </w:tcPr>
          <w:p w:rsidR="006D4F0C" w:rsidRDefault="006D4F0C" w:rsidP="006D4F0C">
            <w:pPr>
              <w:pStyle w:val="11-"/>
              <w:spacing w:before="72" w:after="108"/>
              <w:rPr>
                <w:rFonts w:eastAsiaTheme="minorEastAsia"/>
                <w:i/>
                <w:lang w:eastAsia="zh-TW"/>
              </w:rPr>
            </w:pPr>
            <w:bookmarkStart w:id="68" w:name="_Toc535228321"/>
            <w:bookmarkStart w:id="69" w:name="_Toc4058731"/>
            <w:r w:rsidRPr="00AC77DF">
              <w:t>迎新活動引發性騷擾之疑慮案</w:t>
            </w:r>
            <w:bookmarkEnd w:id="68"/>
            <w:bookmarkEnd w:id="69"/>
          </w:p>
        </w:tc>
      </w:tr>
    </w:tbl>
    <w:p w:rsidR="006D4F0C" w:rsidRPr="00AC77DF" w:rsidRDefault="006D4F0C" w:rsidP="002B4E20">
      <w:pPr>
        <w:pStyle w:val="1---"/>
        <w:ind w:firstLine="480"/>
        <w:rPr>
          <w:rFonts w:eastAsiaTheme="minorEastAsia"/>
          <w:i/>
          <w:lang w:eastAsia="zh-TW"/>
        </w:rPr>
      </w:pPr>
    </w:p>
    <w:tbl>
      <w:tblPr>
        <w:tblStyle w:val="aff5"/>
        <w:tblW w:w="4777" w:type="pct"/>
        <w:tblInd w:w="113" w:type="dxa"/>
        <w:tblLook w:val="04A0" w:firstRow="1" w:lastRow="0" w:firstColumn="1" w:lastColumn="0" w:noHBand="0" w:noVBand="1"/>
      </w:tblPr>
      <w:tblGrid>
        <w:gridCol w:w="6544"/>
      </w:tblGrid>
      <w:tr w:rsidR="008E4068" w:rsidTr="00E54C99">
        <w:tc>
          <w:tcPr>
            <w:tcW w:w="5000" w:type="pct"/>
          </w:tcPr>
          <w:p w:rsidR="008E4068" w:rsidRPr="00AC77DF" w:rsidRDefault="008E4068" w:rsidP="00E54C99">
            <w:pPr>
              <w:spacing w:line="360" w:lineRule="exact"/>
              <w:jc w:val="both"/>
              <w:rPr>
                <w:b/>
                <w:lang w:val="x-none"/>
              </w:rPr>
            </w:pPr>
            <w:r w:rsidRPr="00AC77DF">
              <w:rPr>
                <w:b/>
                <w:lang w:val="x-none"/>
              </w:rPr>
              <w:t>相關國際人權公約：</w:t>
            </w:r>
            <w:r w:rsidRPr="00AC77DF">
              <w:rPr>
                <w:lang w:val="x-none"/>
              </w:rPr>
              <w:t>經濟社會文化權利國際公約第</w:t>
            </w:r>
            <w:r w:rsidRPr="00AC77DF">
              <w:rPr>
                <w:lang w:val="x-none"/>
              </w:rPr>
              <w:t>3</w:t>
            </w:r>
            <w:r w:rsidRPr="00AC77DF">
              <w:rPr>
                <w:lang w:val="x-none"/>
              </w:rPr>
              <w:t>條</w:t>
            </w:r>
            <w:r w:rsidRPr="00AC77DF">
              <w:t>；</w:t>
            </w:r>
            <w:r w:rsidRPr="00AC77DF">
              <w:rPr>
                <w:lang w:val="x-none"/>
              </w:rPr>
              <w:t>兒童權利公約第</w:t>
            </w:r>
            <w:r w:rsidRPr="00AC77DF">
              <w:rPr>
                <w:lang w:val="x-none"/>
              </w:rPr>
              <w:t>2</w:t>
            </w:r>
            <w:r w:rsidRPr="00AC77DF">
              <w:rPr>
                <w:lang w:val="x-none"/>
              </w:rPr>
              <w:t>條、第</w:t>
            </w:r>
            <w:r w:rsidRPr="00AC77DF">
              <w:rPr>
                <w:lang w:val="x-none"/>
              </w:rPr>
              <w:t>3</w:t>
            </w:r>
            <w:r w:rsidRPr="00AC77DF">
              <w:rPr>
                <w:lang w:val="x-none"/>
              </w:rPr>
              <w:t>條、第</w:t>
            </w:r>
            <w:r w:rsidRPr="00AC77DF">
              <w:rPr>
                <w:lang w:val="x-none"/>
              </w:rPr>
              <w:t>6</w:t>
            </w:r>
            <w:r w:rsidRPr="00AC77DF">
              <w:rPr>
                <w:lang w:val="x-none"/>
              </w:rPr>
              <w:t>條；消除對婦女一切形式歧視公約第</w:t>
            </w:r>
            <w:r w:rsidRPr="00AC77DF">
              <w:rPr>
                <w:lang w:val="x-none"/>
              </w:rPr>
              <w:t>3</w:t>
            </w:r>
            <w:r w:rsidRPr="00AC77DF">
              <w:rPr>
                <w:lang w:val="x-none"/>
              </w:rPr>
              <w:t>條</w:t>
            </w:r>
          </w:p>
          <w:p w:rsidR="008E4068" w:rsidRPr="00AC77DF" w:rsidRDefault="008E4068" w:rsidP="00E54C99">
            <w:pPr>
              <w:spacing w:line="360" w:lineRule="exact"/>
              <w:jc w:val="both"/>
              <w:rPr>
                <w:b/>
              </w:rPr>
            </w:pPr>
            <w:r w:rsidRPr="00AC77DF">
              <w:rPr>
                <w:b/>
              </w:rPr>
              <w:t>經濟社會文化權利國際公約第</w:t>
            </w:r>
            <w:r w:rsidRPr="00AC77DF">
              <w:rPr>
                <w:b/>
                <w:lang w:val="x-none"/>
              </w:rPr>
              <w:t>3</w:t>
            </w:r>
            <w:r w:rsidRPr="00AC77DF">
              <w:rPr>
                <w:b/>
              </w:rPr>
              <w:t>條</w:t>
            </w:r>
          </w:p>
          <w:p w:rsidR="008E4068" w:rsidRPr="00AC77DF" w:rsidRDefault="008E4068" w:rsidP="00E54C99">
            <w:pPr>
              <w:pStyle w:val="1---"/>
              <w:ind w:firstLineChars="0" w:firstLine="0"/>
              <w:rPr>
                <w:rFonts w:eastAsia="標楷體"/>
              </w:rPr>
            </w:pPr>
            <w:r w:rsidRPr="00AC77DF">
              <w:rPr>
                <w:rFonts w:eastAsia="標楷體"/>
              </w:rPr>
              <w:t>本公約締約國承允確保本公約所載一切經濟社會文化權利之享受，男女權利一律平等。</w:t>
            </w:r>
          </w:p>
          <w:p w:rsidR="008E4068" w:rsidRPr="00AC77DF" w:rsidRDefault="008E4068" w:rsidP="00E54C99">
            <w:pPr>
              <w:spacing w:line="360" w:lineRule="exact"/>
              <w:jc w:val="both"/>
              <w:rPr>
                <w:b/>
              </w:rPr>
            </w:pPr>
            <w:r w:rsidRPr="00AC77DF">
              <w:rPr>
                <w:b/>
              </w:rPr>
              <w:t>兒童權利公約第</w:t>
            </w:r>
            <w:r w:rsidRPr="00AC77DF">
              <w:rPr>
                <w:b/>
              </w:rPr>
              <w:t>2</w:t>
            </w:r>
            <w:r w:rsidRPr="00AC77DF">
              <w:rPr>
                <w:b/>
              </w:rPr>
              <w:t>條</w:t>
            </w:r>
          </w:p>
          <w:p w:rsidR="008E4068" w:rsidRPr="00AC77DF" w:rsidRDefault="008E4068" w:rsidP="00DF60F3">
            <w:pPr>
              <w:pStyle w:val="a2"/>
              <w:spacing w:line="360" w:lineRule="exact"/>
              <w:ind w:hangingChars="200" w:hanging="480"/>
              <w:jc w:val="both"/>
            </w:pPr>
            <w:r w:rsidRPr="00AC77DF">
              <w:t>一、締約國應尊重本公約所揭櫫之權利，確保其管轄範圍內的每一兒童均享有此等權利，不因兒童、父母或法定監護人之種族、膚色、性別、語言、宗教、政治或其他主張、國籍、族裔或社會背景、財產、身心障礙、出生或其他身分地位之不同而有所歧視。</w:t>
            </w:r>
          </w:p>
          <w:p w:rsidR="008E4068" w:rsidRPr="00AC77DF" w:rsidRDefault="008E4068" w:rsidP="00DF60F3">
            <w:pPr>
              <w:pStyle w:val="a2"/>
              <w:spacing w:line="360" w:lineRule="exact"/>
              <w:ind w:hangingChars="200" w:hanging="480"/>
              <w:jc w:val="both"/>
              <w:rPr>
                <w:b/>
              </w:rPr>
            </w:pPr>
            <w:r w:rsidRPr="00AC77DF">
              <w:t>二、締約國應採取一切適當措施確保兒童得到保護，免於因兒童父母、法定監護人或家庭成員之身分、行為、意見或信念之關係而遭受到一切形式的歧視或懲罰。</w:t>
            </w:r>
          </w:p>
          <w:p w:rsidR="008E4068" w:rsidRPr="00AC77DF" w:rsidRDefault="008E4068" w:rsidP="00E54C99">
            <w:pPr>
              <w:spacing w:line="360" w:lineRule="exact"/>
              <w:jc w:val="both"/>
            </w:pPr>
            <w:r w:rsidRPr="00AC77DF">
              <w:rPr>
                <w:b/>
              </w:rPr>
              <w:t>兒童權利公約第</w:t>
            </w:r>
            <w:r w:rsidRPr="00AC77DF">
              <w:rPr>
                <w:b/>
              </w:rPr>
              <w:t>6</w:t>
            </w:r>
            <w:r w:rsidRPr="00AC77DF">
              <w:rPr>
                <w:b/>
              </w:rPr>
              <w:t>條</w:t>
            </w:r>
          </w:p>
          <w:p w:rsidR="008E4068" w:rsidRPr="00AC77DF" w:rsidRDefault="008E4068" w:rsidP="00E54C99">
            <w:pPr>
              <w:spacing w:line="360" w:lineRule="exact"/>
              <w:jc w:val="both"/>
            </w:pPr>
            <w:r w:rsidRPr="00AC77DF">
              <w:t>一、締約國承認兒童有與生俱來之生命權。</w:t>
            </w:r>
          </w:p>
          <w:p w:rsidR="008E4068" w:rsidRPr="00AC77DF" w:rsidRDefault="008E4068" w:rsidP="00E54C99">
            <w:pPr>
              <w:spacing w:line="360" w:lineRule="exact"/>
              <w:jc w:val="both"/>
            </w:pPr>
            <w:r w:rsidRPr="00AC77DF">
              <w:lastRenderedPageBreak/>
              <w:t>二、締約國應盡最大可能確保兒童的生存與發展。</w:t>
            </w:r>
          </w:p>
          <w:p w:rsidR="008E4068" w:rsidRPr="00AC77DF" w:rsidRDefault="008E4068" w:rsidP="00E54C99">
            <w:pPr>
              <w:spacing w:line="360" w:lineRule="exact"/>
              <w:jc w:val="both"/>
              <w:rPr>
                <w:b/>
                <w:lang w:val="x-none"/>
              </w:rPr>
            </w:pPr>
            <w:r w:rsidRPr="00AC77DF">
              <w:rPr>
                <w:b/>
                <w:lang w:val="x-none"/>
              </w:rPr>
              <w:t>消除對婦女一切形式歧視公約第</w:t>
            </w:r>
            <w:r w:rsidRPr="00AC77DF">
              <w:rPr>
                <w:b/>
                <w:lang w:val="x-none"/>
              </w:rPr>
              <w:t>3</w:t>
            </w:r>
            <w:r w:rsidRPr="00AC77DF">
              <w:rPr>
                <w:b/>
                <w:lang w:val="x-none"/>
              </w:rPr>
              <w:t>條</w:t>
            </w:r>
          </w:p>
          <w:p w:rsidR="008E4068" w:rsidRDefault="008E4068" w:rsidP="00E54C99">
            <w:pPr>
              <w:spacing w:line="360" w:lineRule="exact"/>
              <w:jc w:val="both"/>
            </w:pPr>
            <w:r w:rsidRPr="00AC77DF">
              <w:rPr>
                <w:lang w:val="x-none"/>
              </w:rPr>
              <w:t>締約各國應承擔在所有領域，特別是在政治、社會、經濟、文化領域，採取一切適當措施，包括制定法律，保證婦女得到充分發展和進步，以確保婦女在與男子平等的基礎上，行使和享有人權和基本自由。</w:t>
            </w:r>
          </w:p>
        </w:tc>
      </w:tr>
    </w:tbl>
    <w:p w:rsidR="003807A5" w:rsidRPr="00AC77DF" w:rsidRDefault="00DF60F3" w:rsidP="00F63040">
      <w:pPr>
        <w:pStyle w:val="afff1"/>
        <w:spacing w:beforeLines="150" w:before="540" w:after="360"/>
      </w:pPr>
      <w:r>
        <w:rPr>
          <w:rFonts w:hint="eastAsia"/>
        </w:rPr>
        <w:lastRenderedPageBreak/>
        <w:t>(一)</w:t>
      </w:r>
      <w:r w:rsidR="003807A5" w:rsidRPr="00AC77DF">
        <w:t>案情簡述</w:t>
      </w:r>
    </w:p>
    <w:p w:rsidR="003807A5" w:rsidRPr="00AC77DF" w:rsidRDefault="003807A5" w:rsidP="002B4E20">
      <w:pPr>
        <w:pStyle w:val="1---"/>
        <w:ind w:firstLine="480"/>
      </w:pPr>
      <w:r w:rsidRPr="00AC77DF">
        <w:t>據悉，公私立大學舉辦迎新活動，部分活動內容引發性騷擾或性霸凌之疑慮。究公私立大學校方有無依法提供防治措施與申訴管道，處理相關申訴案件與輔導措施是否妥適？權責機關有無制定相關規範並善盡督導責任，均有深入瞭解之必要，爰經監察委員立案調查。</w:t>
      </w:r>
    </w:p>
    <w:p w:rsidR="003807A5" w:rsidRPr="00AC77DF" w:rsidRDefault="00A13595" w:rsidP="00A13595">
      <w:pPr>
        <w:pStyle w:val="afff1"/>
        <w:spacing w:before="360" w:after="360"/>
      </w:pPr>
      <w:r>
        <w:rPr>
          <w:rFonts w:hint="eastAsia"/>
        </w:rPr>
        <w:t>(二)</w:t>
      </w:r>
      <w:r w:rsidR="003807A5" w:rsidRPr="00AC77DF">
        <w:t>監察院調查發現與建議</w:t>
      </w:r>
    </w:p>
    <w:p w:rsidR="003807A5" w:rsidRPr="00AC77DF" w:rsidRDefault="00682251" w:rsidP="00145E05">
      <w:pPr>
        <w:pStyle w:val="1--13"/>
        <w:spacing w:before="180" w:after="180"/>
      </w:pPr>
      <w:r w:rsidRPr="008E1832">
        <w:rPr>
          <w:rFonts w:hint="eastAsia"/>
        </w:rPr>
        <w:t>˙</w:t>
      </w:r>
      <w:r w:rsidR="003807A5" w:rsidRPr="00AC77DF">
        <w:t>迎新活動不當，受理申訴未通報究責</w:t>
      </w:r>
    </w:p>
    <w:p w:rsidR="003807A5" w:rsidRPr="00AC77DF" w:rsidRDefault="003807A5" w:rsidP="002B4E20">
      <w:pPr>
        <w:pStyle w:val="1---"/>
        <w:ind w:firstLine="480"/>
        <w:rPr>
          <w:i/>
        </w:rPr>
      </w:pPr>
      <w:r w:rsidRPr="00AC77DF">
        <w:t>甲科大之</w:t>
      </w:r>
      <w:r w:rsidRPr="00AC77DF">
        <w:t>105</w:t>
      </w:r>
      <w:r w:rsidRPr="00AC77DF">
        <w:t>年迎新活動，出現咬腋毛、脫內衣內褲、用嘴咬放在胸部之鈕釦等遊戲，涉及性騷擾，不少新生向導師哭訴，該校卻未依法於</w:t>
      </w:r>
      <w:r w:rsidRPr="00AC77DF">
        <w:t>24</w:t>
      </w:r>
      <w:r w:rsidRPr="00AC77DF">
        <w:t>小時內通報，教育部亦未究責。</w:t>
      </w:r>
    </w:p>
    <w:p w:rsidR="003807A5" w:rsidRPr="00AC77DF" w:rsidRDefault="003807A5" w:rsidP="002B4E20">
      <w:pPr>
        <w:pStyle w:val="1---"/>
        <w:ind w:firstLine="480"/>
        <w:rPr>
          <w:i/>
        </w:rPr>
      </w:pPr>
      <w:r w:rsidRPr="00AC77DF">
        <w:t>乙科大於</w:t>
      </w:r>
      <w:r w:rsidRPr="00AC77DF">
        <w:t>105</w:t>
      </w:r>
      <w:r w:rsidRPr="00AC77DF">
        <w:t>年之迎新活動，亦出現內褲脫到膝下、女生含口水吐在男生嘴裡、舔異性耳朵等遊戲，涉及性騷擾。該校未依法於知悉</w:t>
      </w:r>
      <w:r w:rsidRPr="00AC77DF">
        <w:t>24</w:t>
      </w:r>
      <w:r w:rsidRPr="00AC77DF">
        <w:t>小時內及知悉媒體報導後</w:t>
      </w:r>
      <w:r w:rsidRPr="00AC77DF">
        <w:t>2</w:t>
      </w:r>
      <w:r w:rsidRPr="00AC77DF">
        <w:t>小時內通報，且教</w:t>
      </w:r>
      <w:r w:rsidRPr="00AC77DF">
        <w:lastRenderedPageBreak/>
        <w:t>育部未予究責。又該校性平會未查明真相，調查報告未經訪談委員署名即草率做成性騷擾不成立決議，教育部均未督導改</w:t>
      </w:r>
      <w:r w:rsidR="002D1DDB">
        <w:rPr>
          <w:rFonts w:hint="eastAsia"/>
          <w:lang w:eastAsia="zh-TW"/>
        </w:rPr>
        <w:t xml:space="preserve">  </w:t>
      </w:r>
      <w:r w:rsidRPr="00AC77DF">
        <w:t>善。</w:t>
      </w:r>
    </w:p>
    <w:p w:rsidR="003807A5" w:rsidRPr="00AC77DF" w:rsidRDefault="00682251" w:rsidP="00145E05">
      <w:pPr>
        <w:pStyle w:val="1--13"/>
        <w:spacing w:before="180" w:after="180"/>
      </w:pPr>
      <w:r w:rsidRPr="008E1832">
        <w:rPr>
          <w:rFonts w:hint="eastAsia"/>
        </w:rPr>
        <w:t>˙</w:t>
      </w:r>
      <w:r w:rsidR="003807A5" w:rsidRPr="00AC77DF">
        <w:t>活動涉及性騷擾</w:t>
      </w:r>
    </w:p>
    <w:p w:rsidR="003807A5" w:rsidRPr="00AC77DF" w:rsidRDefault="003807A5" w:rsidP="002B4E20">
      <w:pPr>
        <w:pStyle w:val="1---"/>
        <w:ind w:firstLine="480"/>
      </w:pPr>
      <w:r w:rsidRPr="00AC77DF">
        <w:t>除上開</w:t>
      </w:r>
      <w:r w:rsidRPr="00AC77DF">
        <w:t>2</w:t>
      </w:r>
      <w:r w:rsidRPr="00AC77DF">
        <w:t>大學外，自</w:t>
      </w:r>
      <w:r w:rsidRPr="00AC77DF">
        <w:t>102</w:t>
      </w:r>
      <w:r w:rsidRPr="00AC77DF">
        <w:t>年至</w:t>
      </w:r>
      <w:r w:rsidRPr="00AC77DF">
        <w:t>106</w:t>
      </w:r>
      <w:r w:rsidRPr="00AC77DF">
        <w:t>年止，共有</w:t>
      </w:r>
      <w:r w:rsidRPr="00AC77DF">
        <w:t>9</w:t>
      </w:r>
      <w:r w:rsidRPr="00AC77DF">
        <w:t>所大學之迎新活動，分別有脫下內褲將白紙夾進屁股、隊呼「屁股開開快跪地</w:t>
      </w:r>
      <w:r w:rsidRPr="002D1DDB">
        <w:rPr>
          <w:spacing w:val="-30"/>
        </w:rPr>
        <w:t>」、</w:t>
      </w:r>
      <w:r w:rsidRPr="00AC77DF">
        <w:t>「無套中出你最行」及「你們這些老處女，奶小無腦又沒料</w:t>
      </w:r>
      <w:r w:rsidRPr="002D1DDB">
        <w:rPr>
          <w:spacing w:val="-30"/>
        </w:rPr>
        <w:t>」</w:t>
      </w:r>
      <w:r w:rsidRPr="00AC77DF">
        <w:t>、脫內褲內衣、吸別人的腳趾、只穿內褲揹著女同學跑步、海報以「工廷計女」為標題、營地宣誓要求學員被做不道德行為時要悶不吭聲、玩到只穿一件內褲等脫序行為，涉及性騷擾，教育部卻未積極查明實際案情及件數。又其中</w:t>
      </w:r>
      <w:r w:rsidRPr="00AC77DF">
        <w:t>3</w:t>
      </w:r>
      <w:r w:rsidRPr="00AC77DF">
        <w:t>所學校延遲校安通報，</w:t>
      </w:r>
      <w:r w:rsidRPr="00AC77DF">
        <w:t>8</w:t>
      </w:r>
      <w:r w:rsidRPr="00AC77DF">
        <w:t>所學校之校安通報類別錯誤，</w:t>
      </w:r>
      <w:r w:rsidRPr="00AC77DF">
        <w:t>3</w:t>
      </w:r>
      <w:r w:rsidRPr="00AC77DF">
        <w:t>所學校未依法將案件交性平會調查處理，</w:t>
      </w:r>
      <w:r w:rsidRPr="00AC77DF">
        <w:t>3</w:t>
      </w:r>
      <w:r w:rsidRPr="00AC77DF">
        <w:t>所學校未依法成立調查小組，</w:t>
      </w:r>
      <w:r w:rsidRPr="00AC77DF">
        <w:t>3</w:t>
      </w:r>
      <w:r w:rsidRPr="00AC77DF">
        <w:t>所學校未依法提出調查報告，教育部均未究責或督導改善。</w:t>
      </w:r>
    </w:p>
    <w:p w:rsidR="003807A5" w:rsidRPr="00AC77DF" w:rsidRDefault="003807A5" w:rsidP="002B4E20">
      <w:pPr>
        <w:pStyle w:val="1---"/>
        <w:ind w:firstLine="480"/>
        <w:rPr>
          <w:i/>
        </w:rPr>
      </w:pPr>
      <w:r w:rsidRPr="00AC77DF">
        <w:t>依據本案研究意見</w:t>
      </w:r>
      <w:r w:rsidRPr="00C13BF4">
        <w:rPr>
          <w:rStyle w:val="aff2"/>
        </w:rPr>
        <w:footnoteReference w:id="36"/>
      </w:r>
      <w:r w:rsidRPr="00AC77DF">
        <w:t>，監察院糾正教育部，並請該部檢討改進見復。</w:t>
      </w:r>
    </w:p>
    <w:p w:rsidR="003807A5" w:rsidRPr="00AC77DF" w:rsidRDefault="002D1DDB" w:rsidP="002D1DDB">
      <w:pPr>
        <w:pStyle w:val="afff1"/>
        <w:spacing w:before="360" w:after="360"/>
      </w:pPr>
      <w:r>
        <w:rPr>
          <w:rFonts w:hint="eastAsia"/>
        </w:rPr>
        <w:t>(三)</w:t>
      </w:r>
      <w:r w:rsidR="003807A5" w:rsidRPr="00AC77DF">
        <w:t>政府機關改善情形</w:t>
      </w:r>
    </w:p>
    <w:p w:rsidR="003807A5" w:rsidRPr="00AC77DF" w:rsidRDefault="003807A5" w:rsidP="007373B4">
      <w:pPr>
        <w:pStyle w:val="1---"/>
        <w:ind w:leftChars="100" w:left="600" w:hangingChars="150" w:hanging="360"/>
      </w:pPr>
      <w:r w:rsidRPr="00AC77DF">
        <w:t>1</w:t>
      </w:r>
      <w:r w:rsidRPr="00AC77DF">
        <w:t>、教育部督導各公私立大專校院落實相關學生活動之事前教育宣導</w:t>
      </w:r>
    </w:p>
    <w:p w:rsidR="003807A5" w:rsidRPr="00AC77DF" w:rsidRDefault="003807A5" w:rsidP="00CA5F9E">
      <w:pPr>
        <w:pStyle w:val="1--1"/>
        <w:ind w:left="1080" w:hanging="600"/>
      </w:pPr>
      <w:r w:rsidRPr="00AC77DF">
        <w:t>（</w:t>
      </w:r>
      <w:r w:rsidRPr="00AC77DF">
        <w:t>1</w:t>
      </w:r>
      <w:r w:rsidRPr="00AC77DF">
        <w:t>）加強學校性平會教育宣導之功能：該部將通函責成各</w:t>
      </w:r>
      <w:r w:rsidRPr="00AC77DF">
        <w:lastRenderedPageBreak/>
        <w:t>公立大專校院之性平會，於性平會會議務必列入提案討論「學校規劃辦理科系迎新或社團集訓等活動前，應安排課程或講習，向相關學生幹部進行校園性侵害、性騷擾或性霸凌事件防治宣導，並鼓勵學生間相互提醒監督」，並將其辦理情形提報學校性平會核備。</w:t>
      </w:r>
    </w:p>
    <w:p w:rsidR="003807A5" w:rsidRPr="00AC77DF" w:rsidRDefault="003807A5" w:rsidP="00CA5F9E">
      <w:pPr>
        <w:pStyle w:val="1--1"/>
        <w:ind w:left="1080" w:hanging="600"/>
        <w:rPr>
          <w:i/>
        </w:rPr>
      </w:pPr>
      <w:r w:rsidRPr="00AC77DF">
        <w:t>（</w:t>
      </w:r>
      <w:r w:rsidRPr="00AC77DF">
        <w:t>2</w:t>
      </w:r>
      <w:r w:rsidRPr="00AC77DF">
        <w:t>）加強對學生社團或系（所）學會之教育宣導：有關</w:t>
      </w:r>
      <w:r w:rsidRPr="00AC77DF">
        <w:t>106</w:t>
      </w:r>
      <w:r w:rsidRPr="00AC77DF">
        <w:t>學年度學生社團寒假集訓部分，</w:t>
      </w:r>
      <w:r w:rsidR="00BB0F17">
        <w:rPr>
          <w:rFonts w:hint="eastAsia"/>
        </w:rPr>
        <w:t>已</w:t>
      </w:r>
      <w:r w:rsidRPr="00AC77DF">
        <w:t>於</w:t>
      </w:r>
      <w:r w:rsidRPr="00AC77DF">
        <w:t>107</w:t>
      </w:r>
      <w:r w:rsidRPr="00AC77DF">
        <w:t>年</w:t>
      </w:r>
      <w:r w:rsidRPr="00AC77DF">
        <w:t>1</w:t>
      </w:r>
      <w:r w:rsidRPr="00AC77DF">
        <w:t>月</w:t>
      </w:r>
      <w:r w:rsidRPr="00AC77DF">
        <w:t>31</w:t>
      </w:r>
      <w:r w:rsidRPr="00AC77DF">
        <w:t>日前督導各校完成並報部備查，至迎新活動部分將配合學年度時程，於</w:t>
      </w:r>
      <w:r w:rsidRPr="00AC77DF">
        <w:t>107</w:t>
      </w:r>
      <w:r w:rsidRPr="00AC77DF">
        <w:t>年</w:t>
      </w:r>
      <w:r w:rsidRPr="00AC77DF">
        <w:t>9</w:t>
      </w:r>
      <w:r w:rsidRPr="00AC77DF">
        <w:t>月</w:t>
      </w:r>
      <w:r w:rsidRPr="00AC77DF">
        <w:t>30</w:t>
      </w:r>
      <w:r w:rsidRPr="00AC77DF">
        <w:t>日前督導各校完成</w:t>
      </w:r>
      <w:r w:rsidR="00D82D41">
        <w:rPr>
          <w:rFonts w:hint="eastAsia"/>
        </w:rPr>
        <w:t>及</w:t>
      </w:r>
      <w:r w:rsidRPr="00AC77DF">
        <w:t>報該部備查，並持續列為學校常態性工作，由學校性平會列管追蹤辦理情形，定期報該部備查。</w:t>
      </w:r>
    </w:p>
    <w:p w:rsidR="003807A5" w:rsidRPr="00AC77DF" w:rsidRDefault="003807A5" w:rsidP="007373B4">
      <w:pPr>
        <w:pStyle w:val="1---"/>
        <w:ind w:leftChars="100" w:left="600" w:hangingChars="150" w:hanging="360"/>
      </w:pPr>
      <w:r w:rsidRPr="00AC77DF">
        <w:t>2</w:t>
      </w:r>
      <w:r w:rsidRPr="00AC77DF">
        <w:t>、該部制</w:t>
      </w:r>
      <w:r w:rsidR="00BE02FC">
        <w:rPr>
          <w:rFonts w:hint="eastAsia"/>
        </w:rPr>
        <w:t>定</w:t>
      </w:r>
      <w:r w:rsidRPr="00AC77DF">
        <w:t>有關處理迎新活動發生疑似涉及校園性別事件之工作注意事項，函知各公私立大專校院據以辦理：</w:t>
      </w:r>
    </w:p>
    <w:p w:rsidR="003807A5" w:rsidRPr="00AC77DF" w:rsidRDefault="003807A5" w:rsidP="00CA5F9E">
      <w:pPr>
        <w:pStyle w:val="1--1"/>
        <w:ind w:left="1080" w:hanging="600"/>
        <w:rPr>
          <w:i/>
        </w:rPr>
      </w:pPr>
      <w:r w:rsidRPr="00AC77DF">
        <w:t>（</w:t>
      </w:r>
      <w:r w:rsidRPr="00AC77DF">
        <w:t>1</w:t>
      </w:r>
      <w:r w:rsidRPr="00AC77DF">
        <w:t>）案內各事件部分係經媒體報導而視同檢舉，惟部分學校以查無被害人申請調查或參與調查程序為由，致後續相關法定程序發生違失。該部將邀請學者專家及學校代表召開專案會議，</w:t>
      </w:r>
      <w:r w:rsidR="001B7615">
        <w:t>制定</w:t>
      </w:r>
      <w:r w:rsidRPr="00AC77DF">
        <w:t>有關通報、受理、調查處理程序及完成調查報告之工作注意事項，通函請學校據以辦理。</w:t>
      </w:r>
    </w:p>
    <w:p w:rsidR="003807A5" w:rsidRPr="00AC77DF" w:rsidRDefault="003807A5" w:rsidP="00CA5F9E">
      <w:pPr>
        <w:pStyle w:val="1--1"/>
        <w:ind w:left="1080" w:hanging="600"/>
        <w:rPr>
          <w:i/>
        </w:rPr>
      </w:pPr>
      <w:r w:rsidRPr="00AC77DF">
        <w:t>（</w:t>
      </w:r>
      <w:r w:rsidRPr="00AC77DF">
        <w:t>2</w:t>
      </w:r>
      <w:r w:rsidRPr="00AC77DF">
        <w:t>）爾後學校如未依程序辦理且該校再度發生事件，除違反性教法相關規定依該法處罰外，將以相關措施促請學校限期改善，包括依違失情節循私立學校法</w:t>
      </w:r>
      <w:r w:rsidRPr="00CA5F9E">
        <w:rPr>
          <w:spacing w:val="-20"/>
        </w:rPr>
        <w:t>第</w:t>
      </w:r>
      <w:r w:rsidRPr="00AC77DF">
        <w:t>55</w:t>
      </w:r>
      <w:r w:rsidRPr="00AC77DF">
        <w:t>條或「教育部獎勵補助私立技專校院整體發展經費核配及申請要點」規定，扣減該校獎補助款等。</w:t>
      </w:r>
    </w:p>
    <w:p w:rsidR="003807A5" w:rsidRPr="00AC77DF" w:rsidRDefault="003807A5" w:rsidP="007373B4">
      <w:pPr>
        <w:pStyle w:val="1---"/>
        <w:ind w:leftChars="100" w:left="600" w:hangingChars="150" w:hanging="360"/>
      </w:pPr>
      <w:r w:rsidRPr="00AC77DF">
        <w:t>3</w:t>
      </w:r>
      <w:r w:rsidRPr="00AC77DF">
        <w:t>、</w:t>
      </w:r>
      <w:r w:rsidRPr="00AC77DF">
        <w:t>107</w:t>
      </w:r>
      <w:r w:rsidRPr="00AC77DF">
        <w:t>年研訂相關行動策略，推動強化大專校院情感教育計</w:t>
      </w:r>
      <w:r w:rsidRPr="00AC77DF">
        <w:lastRenderedPageBreak/>
        <w:t>畫。</w:t>
      </w:r>
    </w:p>
    <w:p w:rsidR="003807A5" w:rsidRPr="00AC77DF" w:rsidRDefault="003807A5" w:rsidP="007373B4">
      <w:pPr>
        <w:pStyle w:val="1---"/>
        <w:ind w:leftChars="100" w:left="600" w:hangingChars="150" w:hanging="360"/>
      </w:pPr>
      <w:r w:rsidRPr="00AC77DF">
        <w:t>4</w:t>
      </w:r>
      <w:r w:rsidRPr="00AC77DF">
        <w:t>、針對案內學校個案持續督導後續改善情形。</w:t>
      </w:r>
    </w:p>
    <w:p w:rsidR="003807A5" w:rsidRPr="00AC77DF" w:rsidRDefault="00CA5F9E" w:rsidP="00CA5F9E">
      <w:pPr>
        <w:pStyle w:val="afff1"/>
        <w:spacing w:before="360" w:after="360"/>
      </w:pPr>
      <w:r>
        <w:rPr>
          <w:rFonts w:hint="eastAsia"/>
        </w:rPr>
        <w:t>(四)</w:t>
      </w:r>
      <w:r w:rsidR="003807A5" w:rsidRPr="00AC77DF">
        <w:t>案件進展</w:t>
      </w:r>
    </w:p>
    <w:p w:rsidR="003807A5" w:rsidRDefault="007837E8" w:rsidP="002B4E20">
      <w:pPr>
        <w:pStyle w:val="1---"/>
        <w:ind w:firstLine="480"/>
        <w:rPr>
          <w:rFonts w:eastAsiaTheme="minorEastAsia"/>
          <w:lang w:eastAsia="zh-TW"/>
        </w:rPr>
      </w:pPr>
      <w:r w:rsidRPr="007837E8">
        <w:rPr>
          <w:rFonts w:hint="eastAsia"/>
        </w:rPr>
        <w:t>教育部業依</w:t>
      </w:r>
      <w:r>
        <w:rPr>
          <w:rFonts w:hint="eastAsia"/>
        </w:rPr>
        <w:t>監察</w:t>
      </w:r>
      <w:r w:rsidRPr="007837E8">
        <w:rPr>
          <w:rFonts w:hint="eastAsia"/>
        </w:rPr>
        <w:t>院調查意見檢討改善，並函頒「大專校院處理學生辦理活動發生疑似校園性侵害、性騷擾或性霸凌事件注意事項」</w:t>
      </w:r>
      <w:r>
        <w:rPr>
          <w:rFonts w:hint="eastAsia"/>
        </w:rPr>
        <w:t>，</w:t>
      </w:r>
      <w:r w:rsidR="00F63040">
        <w:rPr>
          <w:rFonts w:hint="eastAsia"/>
          <w:lang w:eastAsia="zh-TW"/>
        </w:rPr>
        <w:t>本案已</w:t>
      </w:r>
      <w:r>
        <w:rPr>
          <w:rFonts w:hint="eastAsia"/>
        </w:rPr>
        <w:t>請該部</w:t>
      </w:r>
      <w:r w:rsidRPr="007837E8">
        <w:rPr>
          <w:rFonts w:hint="eastAsia"/>
        </w:rPr>
        <w:t>自行列管</w:t>
      </w:r>
      <w:r w:rsidR="003807A5" w:rsidRPr="00AC77DF">
        <w:rPr>
          <w:rFonts w:eastAsiaTheme="minorEastAsia"/>
        </w:rPr>
        <w:t>。</w:t>
      </w:r>
    </w:p>
    <w:p w:rsidR="00A04E8B" w:rsidRDefault="00A04E8B" w:rsidP="00A04E8B">
      <w:pPr>
        <w:pStyle w:val="1---"/>
        <w:ind w:firstLine="480"/>
        <w:rPr>
          <w:lang w:eastAsia="zh-TW"/>
        </w:rPr>
      </w:pPr>
      <w:bookmarkStart w:id="70" w:name="_Toc535228322"/>
      <w:bookmarkStart w:id="71" w:name="_Toc4058732"/>
    </w:p>
    <w:tbl>
      <w:tblPr>
        <w:tblStyle w:val="aff5"/>
        <w:tblW w:w="0" w:type="auto"/>
        <w:tblInd w:w="113" w:type="dxa"/>
        <w:shd w:val="clear" w:color="auto" w:fill="D9D9D9" w:themeFill="background1" w:themeFillShade="D9"/>
        <w:tblLook w:val="04A0" w:firstRow="1" w:lastRow="0" w:firstColumn="1" w:lastColumn="0" w:noHBand="0" w:noVBand="1"/>
      </w:tblPr>
      <w:tblGrid>
        <w:gridCol w:w="3397"/>
      </w:tblGrid>
      <w:tr w:rsidR="00A04E8B" w:rsidTr="00A04E8B">
        <w:tc>
          <w:tcPr>
            <w:tcW w:w="3397" w:type="dxa"/>
            <w:shd w:val="clear" w:color="auto" w:fill="D9D9D9" w:themeFill="background1" w:themeFillShade="D9"/>
          </w:tcPr>
          <w:p w:rsidR="00A04E8B" w:rsidRDefault="00A04E8B" w:rsidP="00A04E8B">
            <w:pPr>
              <w:pStyle w:val="11-"/>
              <w:spacing w:before="72" w:after="108"/>
              <w:rPr>
                <w:lang w:eastAsia="zh-TW"/>
              </w:rPr>
            </w:pPr>
            <w:r w:rsidRPr="00AC77DF">
              <w:t>涉案榮民就養金合法</w:t>
            </w:r>
            <w:r w:rsidRPr="00AC77DF">
              <w:rPr>
                <w:lang w:eastAsia="zh-HK"/>
              </w:rPr>
              <w:t>性</w:t>
            </w:r>
          </w:p>
        </w:tc>
      </w:tr>
    </w:tbl>
    <w:p w:rsidR="00A04E8B" w:rsidRDefault="00A04E8B" w:rsidP="00A04E8B">
      <w:pPr>
        <w:pStyle w:val="1---"/>
        <w:ind w:firstLine="480"/>
        <w:rPr>
          <w:lang w:eastAsia="zh-TW"/>
        </w:rPr>
      </w:pPr>
    </w:p>
    <w:tbl>
      <w:tblPr>
        <w:tblStyle w:val="aff5"/>
        <w:tblW w:w="4756" w:type="pct"/>
        <w:tblInd w:w="113" w:type="dxa"/>
        <w:tblLook w:val="04A0" w:firstRow="1" w:lastRow="0" w:firstColumn="1" w:lastColumn="0" w:noHBand="0" w:noVBand="1"/>
      </w:tblPr>
      <w:tblGrid>
        <w:gridCol w:w="6516"/>
      </w:tblGrid>
      <w:tr w:rsidR="00DA7A7D" w:rsidTr="00A04E8B">
        <w:tc>
          <w:tcPr>
            <w:tcW w:w="5000" w:type="pct"/>
          </w:tcPr>
          <w:bookmarkEnd w:id="70"/>
          <w:bookmarkEnd w:id="71"/>
          <w:p w:rsidR="00DA7A7D" w:rsidRPr="00AC77DF" w:rsidRDefault="00DA7A7D" w:rsidP="00A04E8B">
            <w:pPr>
              <w:spacing w:line="360" w:lineRule="exact"/>
              <w:jc w:val="both"/>
              <w:rPr>
                <w:b/>
                <w:lang w:val="x-none"/>
              </w:rPr>
            </w:pPr>
            <w:r w:rsidRPr="00A04E8B">
              <w:rPr>
                <w:b/>
                <w:spacing w:val="-2"/>
                <w:lang w:val="x-none"/>
              </w:rPr>
              <w:t>相關國際人權公約：</w:t>
            </w:r>
            <w:r w:rsidRPr="00A04E8B">
              <w:rPr>
                <w:spacing w:val="-2"/>
                <w:lang w:val="x-none"/>
              </w:rPr>
              <w:t>公民與政治權利國際公約第</w:t>
            </w:r>
            <w:r w:rsidRPr="00A04E8B">
              <w:rPr>
                <w:spacing w:val="-2"/>
                <w:lang w:val="x-none"/>
              </w:rPr>
              <w:t>2</w:t>
            </w:r>
            <w:r w:rsidRPr="00A04E8B">
              <w:rPr>
                <w:spacing w:val="-2"/>
                <w:lang w:val="x-none"/>
              </w:rPr>
              <w:t>條、</w:t>
            </w:r>
            <w:r w:rsidRPr="00A04E8B">
              <w:rPr>
                <w:spacing w:val="-2"/>
                <w:lang w:val="x-none" w:eastAsia="zh-HK"/>
              </w:rPr>
              <w:t>第</w:t>
            </w:r>
            <w:r w:rsidRPr="00A04E8B">
              <w:rPr>
                <w:spacing w:val="-2"/>
                <w:lang w:val="x-none" w:eastAsia="zh-HK"/>
              </w:rPr>
              <w:t>26</w:t>
            </w:r>
            <w:r w:rsidRPr="00AC77DF">
              <w:rPr>
                <w:lang w:val="x-none" w:eastAsia="zh-HK"/>
              </w:rPr>
              <w:t>條</w:t>
            </w:r>
          </w:p>
          <w:p w:rsidR="00DA7A7D" w:rsidRPr="00AC77DF" w:rsidRDefault="00DA7A7D" w:rsidP="00A04E8B">
            <w:pPr>
              <w:spacing w:line="360" w:lineRule="exact"/>
              <w:jc w:val="both"/>
              <w:rPr>
                <w:b/>
                <w:lang w:val="x-none"/>
              </w:rPr>
            </w:pPr>
            <w:r w:rsidRPr="00AC77DF">
              <w:rPr>
                <w:b/>
                <w:lang w:val="x-none"/>
              </w:rPr>
              <w:t>公民與政治權利國際公約第</w:t>
            </w:r>
            <w:r w:rsidRPr="00AC77DF">
              <w:rPr>
                <w:b/>
                <w:lang w:val="x-none"/>
              </w:rPr>
              <w:t>2</w:t>
            </w:r>
            <w:r w:rsidRPr="00AC77DF">
              <w:rPr>
                <w:b/>
                <w:lang w:val="x-none"/>
              </w:rPr>
              <w:t>條</w:t>
            </w:r>
          </w:p>
          <w:p w:rsidR="00DA7A7D" w:rsidRPr="00AC77DF" w:rsidRDefault="00DA7A7D" w:rsidP="00A04E8B">
            <w:pPr>
              <w:pStyle w:val="a2"/>
              <w:spacing w:line="360" w:lineRule="exact"/>
              <w:ind w:hangingChars="200" w:hanging="480"/>
              <w:jc w:val="both"/>
            </w:pPr>
            <w:r w:rsidRPr="00AC77DF">
              <w:rPr>
                <w:lang w:val="x-none"/>
              </w:rPr>
              <w:t>一、</w:t>
            </w:r>
            <w:r w:rsidRPr="00AC77DF">
              <w:t>本公約締約國承允尊重並確保所有境內受其管轄之人，無分種族、膚色、性別、語言、宗教、政見或其他主張民族本源或社會階級、財產、出生或其他身分等等，一律享受本公約所確認之權利。</w:t>
            </w:r>
          </w:p>
          <w:p w:rsidR="00DA7A7D" w:rsidRPr="00AC77DF" w:rsidRDefault="00DA7A7D" w:rsidP="00A04E8B">
            <w:pPr>
              <w:pStyle w:val="a2"/>
              <w:spacing w:line="360" w:lineRule="exact"/>
              <w:ind w:hangingChars="200" w:hanging="480"/>
              <w:jc w:val="both"/>
            </w:pPr>
            <w:r w:rsidRPr="00AC77DF">
              <w:t>二、本公約締約國承允遇現行立法或其他措詞尚無規定時，各依本國憲法程序，並遵照本公約規定，採取必要步驟，制定必要之立法或其他措施，以實現本公約所確認之權利。</w:t>
            </w:r>
          </w:p>
          <w:p w:rsidR="00DA7A7D" w:rsidRPr="00AC77DF" w:rsidRDefault="00DA7A7D" w:rsidP="00A04E8B">
            <w:pPr>
              <w:pStyle w:val="a2"/>
              <w:spacing w:line="360" w:lineRule="exact"/>
              <w:ind w:left="0"/>
              <w:jc w:val="both"/>
              <w:rPr>
                <w:lang w:val="x-none"/>
              </w:rPr>
            </w:pPr>
            <w:r w:rsidRPr="00AC77DF">
              <w:t>三、本</w:t>
            </w:r>
            <w:r w:rsidRPr="00AC77DF">
              <w:rPr>
                <w:lang w:val="x-none"/>
              </w:rPr>
              <w:t>公約締約國承允：</w:t>
            </w:r>
          </w:p>
          <w:p w:rsidR="00DA7A7D" w:rsidRPr="00AC77DF" w:rsidRDefault="00CD4B54" w:rsidP="00CD4B54">
            <w:pPr>
              <w:spacing w:line="360" w:lineRule="exact"/>
              <w:ind w:left="910" w:hangingChars="379" w:hanging="910"/>
              <w:jc w:val="both"/>
              <w:rPr>
                <w:lang w:val="x-none"/>
              </w:rPr>
            </w:pPr>
            <w:r>
              <w:rPr>
                <w:rFonts w:hint="eastAsia"/>
                <w:lang w:val="x-none"/>
              </w:rPr>
              <w:t xml:space="preserve">　　</w:t>
            </w:r>
            <w:r>
              <w:rPr>
                <w:rFonts w:hint="eastAsia"/>
                <w:lang w:val="x-none"/>
              </w:rPr>
              <w:t>(</w:t>
            </w:r>
            <w:r w:rsidR="00DA7A7D" w:rsidRPr="00AC77DF">
              <w:rPr>
                <w:lang w:val="x-none"/>
              </w:rPr>
              <w:t>一</w:t>
            </w:r>
            <w:r>
              <w:rPr>
                <w:rFonts w:hint="eastAsia"/>
                <w:lang w:val="x-none"/>
              </w:rPr>
              <w:t>)</w:t>
            </w:r>
            <w:r w:rsidR="00DA7A7D" w:rsidRPr="00AC77DF">
              <w:rPr>
                <w:lang w:val="x-none"/>
              </w:rPr>
              <w:t>確保任何人所享本公約確認之權利或自由如遭受侵</w:t>
            </w:r>
            <w:r w:rsidR="00DA7A7D" w:rsidRPr="00AC77DF">
              <w:rPr>
                <w:lang w:val="x-none"/>
              </w:rPr>
              <w:lastRenderedPageBreak/>
              <w:t>害，均獲有效之救濟，公務員執行職務所犯之侵權行為，亦不例外；</w:t>
            </w:r>
          </w:p>
          <w:p w:rsidR="00DA7A7D" w:rsidRPr="00AC77DF" w:rsidRDefault="00CD4B54" w:rsidP="00167156">
            <w:pPr>
              <w:spacing w:line="360" w:lineRule="exact"/>
              <w:ind w:left="910" w:hangingChars="379" w:hanging="910"/>
              <w:jc w:val="both"/>
              <w:rPr>
                <w:lang w:val="x-none"/>
              </w:rPr>
            </w:pPr>
            <w:r>
              <w:rPr>
                <w:rFonts w:hint="eastAsia"/>
                <w:lang w:val="x-none"/>
              </w:rPr>
              <w:t xml:space="preserve">　　</w:t>
            </w:r>
            <w:r>
              <w:rPr>
                <w:rFonts w:hint="eastAsia"/>
                <w:lang w:val="x-none"/>
              </w:rPr>
              <w:t>(</w:t>
            </w:r>
            <w:r w:rsidR="00DA7A7D" w:rsidRPr="00AC77DF">
              <w:rPr>
                <w:lang w:val="x-none"/>
              </w:rPr>
              <w:t>二</w:t>
            </w:r>
            <w:r>
              <w:rPr>
                <w:rFonts w:hint="eastAsia"/>
                <w:lang w:val="x-none"/>
              </w:rPr>
              <w:t>)</w:t>
            </w:r>
            <w:r w:rsidR="00DA7A7D" w:rsidRPr="00AC77DF">
              <w:rPr>
                <w:lang w:val="x-none"/>
              </w:rPr>
              <w:t>確保上項救濟聲請人之救濟權利，由主管司法、行政或立法當局裁定，或由該國法律制度規定之其他主管當局裁定，並推廣司法救濟之機會；</w:t>
            </w:r>
          </w:p>
          <w:p w:rsidR="00DA7A7D" w:rsidRPr="00AC77DF" w:rsidRDefault="00CD4B54" w:rsidP="00A04E8B">
            <w:pPr>
              <w:spacing w:line="360" w:lineRule="exact"/>
              <w:jc w:val="both"/>
              <w:rPr>
                <w:b/>
                <w:lang w:val="x-none"/>
              </w:rPr>
            </w:pPr>
            <w:r>
              <w:rPr>
                <w:rFonts w:hint="eastAsia"/>
                <w:lang w:val="x-none"/>
              </w:rPr>
              <w:t xml:space="preserve">　　</w:t>
            </w:r>
            <w:r>
              <w:rPr>
                <w:rFonts w:hint="eastAsia"/>
                <w:lang w:val="x-none"/>
              </w:rPr>
              <w:t>(</w:t>
            </w:r>
            <w:r w:rsidR="00DA7A7D" w:rsidRPr="00AC77DF">
              <w:rPr>
                <w:lang w:val="x-none"/>
              </w:rPr>
              <w:t>三</w:t>
            </w:r>
            <w:r>
              <w:rPr>
                <w:rFonts w:hint="eastAsia"/>
                <w:lang w:val="x-none"/>
              </w:rPr>
              <w:t>)</w:t>
            </w:r>
            <w:r w:rsidR="00DA7A7D" w:rsidRPr="00AC77DF">
              <w:rPr>
                <w:lang w:val="x-none"/>
              </w:rPr>
              <w:t>確保上項救濟一經核准，主管當局概予執行。</w:t>
            </w:r>
          </w:p>
          <w:p w:rsidR="00DA7A7D" w:rsidRPr="00AC77DF" w:rsidRDefault="00DA7A7D" w:rsidP="00A04E8B">
            <w:pPr>
              <w:spacing w:line="360" w:lineRule="exact"/>
              <w:jc w:val="both"/>
              <w:rPr>
                <w:b/>
                <w:lang w:val="x-none"/>
              </w:rPr>
            </w:pPr>
            <w:r w:rsidRPr="00AC77DF">
              <w:rPr>
                <w:b/>
                <w:lang w:val="x-none"/>
              </w:rPr>
              <w:t>公民與政治權利國際公約第</w:t>
            </w:r>
            <w:r w:rsidRPr="00AC77DF">
              <w:rPr>
                <w:b/>
                <w:lang w:val="x-none"/>
              </w:rPr>
              <w:t>26</w:t>
            </w:r>
            <w:r w:rsidRPr="00AC77DF">
              <w:rPr>
                <w:b/>
                <w:lang w:val="x-none"/>
              </w:rPr>
              <w:t>條</w:t>
            </w:r>
          </w:p>
          <w:p w:rsidR="00DA7A7D" w:rsidRPr="00DA7A7D" w:rsidRDefault="00DA7A7D" w:rsidP="00A04E8B">
            <w:pPr>
              <w:spacing w:line="360" w:lineRule="exact"/>
              <w:jc w:val="both"/>
              <w:rPr>
                <w:lang w:val="x-none"/>
              </w:rPr>
            </w:pPr>
            <w:r w:rsidRPr="00AC77DF">
              <w:rPr>
                <w:lang w:val="x-none"/>
              </w:rPr>
              <w:t>人人在法律上一律平等，且應受法律平等保護，無所歧視。在此方面，法律應禁止任何歧視，並保證人人享受平等而有效之保護，以防因種族、膚色、性別、語言、宗教、政見或其他主張、民族本源或社會階級、財產、出生或其他身分而生之歧視。</w:t>
            </w:r>
          </w:p>
        </w:tc>
      </w:tr>
    </w:tbl>
    <w:p w:rsidR="003807A5" w:rsidRPr="00AC77DF" w:rsidRDefault="00CD4B54" w:rsidP="00157F92">
      <w:pPr>
        <w:pStyle w:val="afff1"/>
        <w:spacing w:beforeLines="150" w:before="540" w:after="360"/>
      </w:pPr>
      <w:r>
        <w:rPr>
          <w:rFonts w:hint="eastAsia"/>
        </w:rPr>
        <w:lastRenderedPageBreak/>
        <w:t>(一)</w:t>
      </w:r>
      <w:r w:rsidR="003807A5" w:rsidRPr="00AC77DF">
        <w:t>案情簡述</w:t>
      </w:r>
    </w:p>
    <w:p w:rsidR="003807A5" w:rsidRPr="00AC77DF" w:rsidRDefault="003807A5" w:rsidP="002B4E20">
      <w:pPr>
        <w:pStyle w:val="1---"/>
        <w:ind w:firstLine="480"/>
      </w:pPr>
      <w:r w:rsidRPr="00AC77DF">
        <w:t>據陳</w:t>
      </w:r>
      <w:r w:rsidRPr="00937E63">
        <w:rPr>
          <w:rFonts w:asciiTheme="majorEastAsia" w:eastAsiaTheme="majorEastAsia" w:hAnsiTheme="majorEastAsia"/>
        </w:rPr>
        <w:t>○○</w:t>
      </w:r>
      <w:r w:rsidRPr="00AC77DF">
        <w:t>君訴，其服役時因觸犯內亂罪入獄，嗣依據「戒嚴時期不當叛亂暨匪諜審判案件補償條例」，經</w:t>
      </w:r>
      <w:r w:rsidRPr="00CF2F28">
        <w:rPr>
          <w:rFonts w:hint="eastAsia"/>
        </w:rPr>
        <w:t>國軍退除役官兵輔導委員會（簡稱退輔會）</w:t>
      </w:r>
      <w:r w:rsidRPr="00AC77DF">
        <w:t>核准，恢復榮民身分並領取就養金。然該會又以其曾犯內亂罪為由，取消榮譽國民證並追繳領取之就養金，損及權益。案經監察委員認有進一步瞭解之必要，而立案調查。</w:t>
      </w:r>
    </w:p>
    <w:p w:rsidR="00157F92" w:rsidRDefault="00157F92">
      <w:pPr>
        <w:widowControl/>
        <w:snapToGrid/>
        <w:rPr>
          <w:rFonts w:ascii="華康魏碑體" w:eastAsia="華康魏碑體" w:hAnsi="細明體" w:cs="細明體"/>
          <w:kern w:val="0"/>
          <w:sz w:val="34"/>
          <w:szCs w:val="32"/>
        </w:rPr>
      </w:pPr>
      <w:r>
        <w:br w:type="page"/>
      </w:r>
    </w:p>
    <w:p w:rsidR="003807A5" w:rsidRPr="00AC77DF" w:rsidRDefault="00CD4B54" w:rsidP="00CD4B54">
      <w:pPr>
        <w:pStyle w:val="afff1"/>
        <w:spacing w:before="360" w:after="360"/>
      </w:pPr>
      <w:r>
        <w:rPr>
          <w:rFonts w:hint="eastAsia"/>
        </w:rPr>
        <w:lastRenderedPageBreak/>
        <w:t>(二)</w:t>
      </w:r>
      <w:r w:rsidR="003807A5" w:rsidRPr="00AC77DF">
        <w:t>監察院調查發現與建議</w:t>
      </w:r>
    </w:p>
    <w:p w:rsidR="003807A5" w:rsidRPr="00AC77DF" w:rsidRDefault="00682251" w:rsidP="00145E05">
      <w:pPr>
        <w:pStyle w:val="1--13"/>
        <w:spacing w:before="180" w:after="180"/>
      </w:pPr>
      <w:r w:rsidRPr="008E1832">
        <w:rPr>
          <w:rFonts w:hint="eastAsia"/>
        </w:rPr>
        <w:t>˙</w:t>
      </w:r>
      <w:r w:rsidR="003807A5" w:rsidRPr="00AC77DF">
        <w:t>未落實覈實驗證</w:t>
      </w:r>
    </w:p>
    <w:p w:rsidR="003807A5" w:rsidRPr="00AC77DF" w:rsidRDefault="003807A5" w:rsidP="00CD4B54">
      <w:pPr>
        <w:pStyle w:val="1---"/>
        <w:ind w:firstLine="480"/>
      </w:pPr>
      <w:r w:rsidRPr="00AC77DF">
        <w:t>退輔會未詳查陳訴人資格，竟於</w:t>
      </w:r>
      <w:r w:rsidRPr="00AC77DF">
        <w:t>85</w:t>
      </w:r>
      <w:r w:rsidRPr="00AC77DF">
        <w:t>年</w:t>
      </w:r>
      <w:r w:rsidRPr="00AC77DF">
        <w:t>6</w:t>
      </w:r>
      <w:r w:rsidRPr="00AC77DF">
        <w:t>月</w:t>
      </w:r>
      <w:r w:rsidRPr="00AC77DF">
        <w:t>18</w:t>
      </w:r>
      <w:r w:rsidRPr="00AC77DF">
        <w:t>日發給榮譽國民證，並准於自</w:t>
      </w:r>
      <w:r w:rsidRPr="00AC77DF">
        <w:t>86</w:t>
      </w:r>
      <w:r w:rsidRPr="00AC77DF">
        <w:t>年</w:t>
      </w:r>
      <w:r w:rsidRPr="00AC77DF">
        <w:t>10</w:t>
      </w:r>
      <w:r w:rsidRPr="00AC77DF">
        <w:t>月</w:t>
      </w:r>
      <w:r w:rsidRPr="00AC77DF">
        <w:t>1</w:t>
      </w:r>
      <w:r w:rsidRPr="00AC77DF">
        <w:t>日核予就養，遲至陳訴</w:t>
      </w:r>
      <w:r w:rsidRPr="00CD4B54">
        <w:rPr>
          <w:spacing w:val="-20"/>
        </w:rPr>
        <w:t>人</w:t>
      </w:r>
      <w:r w:rsidRPr="00AC77DF">
        <w:t>10</w:t>
      </w:r>
      <w:r w:rsidRPr="00CD4B54">
        <w:rPr>
          <w:spacing w:val="-20"/>
        </w:rPr>
        <w:t>4</w:t>
      </w:r>
      <w:r w:rsidRPr="00CD4B54">
        <w:rPr>
          <w:spacing w:val="-20"/>
        </w:rPr>
        <w:t>年</w:t>
      </w:r>
      <w:r w:rsidRPr="00AC77DF">
        <w:t>1</w:t>
      </w:r>
      <w:r w:rsidRPr="00CD4B54">
        <w:rPr>
          <w:spacing w:val="-20"/>
        </w:rPr>
        <w:t>0</w:t>
      </w:r>
      <w:r w:rsidRPr="00CD4B54">
        <w:rPr>
          <w:spacing w:val="-20"/>
        </w:rPr>
        <w:t>月</w:t>
      </w:r>
      <w:r w:rsidRPr="00AC77DF">
        <w:t>2</w:t>
      </w:r>
      <w:r w:rsidRPr="00CD4B54">
        <w:rPr>
          <w:spacing w:val="-20"/>
        </w:rPr>
        <w:t>0</w:t>
      </w:r>
      <w:r w:rsidRPr="00AC77DF">
        <w:t>日因旅居海外向榮民服務處報備及辦理就養驗證，始發現上情，徒增當事人行政程序及訟累，且恐肇致國庫損失。</w:t>
      </w:r>
    </w:p>
    <w:p w:rsidR="003807A5" w:rsidRPr="00AC77DF" w:rsidRDefault="00682251" w:rsidP="00145E05">
      <w:pPr>
        <w:pStyle w:val="1--13"/>
        <w:spacing w:before="180" w:after="180"/>
      </w:pPr>
      <w:r w:rsidRPr="008E1832">
        <w:rPr>
          <w:rFonts w:hint="eastAsia"/>
        </w:rPr>
        <w:t>˙</w:t>
      </w:r>
      <w:r w:rsidR="003807A5" w:rsidRPr="00AC77DF">
        <w:t>取得或回復榮譽國民身分</w:t>
      </w:r>
    </w:p>
    <w:p w:rsidR="003807A5" w:rsidRPr="00AC77DF" w:rsidRDefault="003807A5" w:rsidP="002B4E20">
      <w:pPr>
        <w:pStyle w:val="1---"/>
        <w:ind w:firstLine="480"/>
      </w:pPr>
      <w:r w:rsidRPr="00AC77DF">
        <w:t>陳訴人確係因犯判亂罪判處徒刑確定，退輔會於</w:t>
      </w:r>
      <w:r w:rsidRPr="00AC77DF">
        <w:t>105</w:t>
      </w:r>
      <w:r w:rsidRPr="00AC77DF">
        <w:t>年</w:t>
      </w:r>
      <w:r w:rsidRPr="00AC77DF">
        <w:t>4</w:t>
      </w:r>
      <w:r w:rsidRPr="00AC77DF">
        <w:t>月</w:t>
      </w:r>
      <w:r w:rsidRPr="00AC77DF">
        <w:t>27</w:t>
      </w:r>
      <w:r w:rsidRPr="00AC77DF">
        <w:t>日函知陳訴人，溯自判決確定日起，停止榮譽國民權益，此係按「國軍退除役官兵輔導條例」規定及司法判決見解，尚無違誤。另陳訴人係於戒嚴時期犯叛亂罪判刑確定，已按「戒嚴時期不當叛亂暨匪諜審判案件補償條例」獲得補償，基於司法判決之確定力及法之安定性，僅能依司法程序撤銷原判決後，始能取得或回復榮譽國民身分之保障及權益。</w:t>
      </w:r>
    </w:p>
    <w:p w:rsidR="003807A5" w:rsidRPr="00AC77DF" w:rsidRDefault="003807A5" w:rsidP="002B4E20">
      <w:pPr>
        <w:pStyle w:val="1---"/>
        <w:ind w:firstLine="480"/>
      </w:pPr>
      <w:r w:rsidRPr="00AC77DF">
        <w:t>依據本案調查意見</w:t>
      </w:r>
      <w:r w:rsidRPr="00AC77DF">
        <w:rPr>
          <w:rStyle w:val="aff2"/>
        </w:rPr>
        <w:footnoteReference w:id="37"/>
      </w:r>
      <w:r w:rsidRPr="00AC77DF">
        <w:t>，監察院函請退輔會確實檢討改進見復。</w:t>
      </w:r>
    </w:p>
    <w:p w:rsidR="003807A5" w:rsidRPr="00AC77DF" w:rsidRDefault="00CD4B54" w:rsidP="00CD4B54">
      <w:pPr>
        <w:pStyle w:val="afff1"/>
        <w:spacing w:before="360" w:after="360"/>
      </w:pPr>
      <w:r>
        <w:rPr>
          <w:rFonts w:hint="eastAsia"/>
        </w:rPr>
        <w:t>(三)</w:t>
      </w:r>
      <w:r w:rsidR="003807A5" w:rsidRPr="00AC77DF">
        <w:t>政府機關改善情形</w:t>
      </w:r>
    </w:p>
    <w:p w:rsidR="003807A5" w:rsidRPr="00AC77DF" w:rsidRDefault="003807A5" w:rsidP="002B4E20">
      <w:pPr>
        <w:pStyle w:val="1---"/>
        <w:ind w:firstLine="480"/>
      </w:pPr>
      <w:r w:rsidRPr="00AC77DF">
        <w:t>退輔會現依據每月法務部提供資料庫比對當月退除役官兵入監、通緝異動資料辦理榮民停權查證作業。為避免核定榮民</w:t>
      </w:r>
      <w:r w:rsidRPr="00AC77DF">
        <w:lastRenderedPageBreak/>
        <w:t>就養後發現停權原因，辦理停止就養徒增追繳溢領就養給付之行政程序與當事人困擾，已函請各榮民服務處於申請就養案審查期間，先行文退輔會資訊處提供申請人前案紀錄簡復表併案審查，詳為比對，以防範疏漏。</w:t>
      </w:r>
    </w:p>
    <w:p w:rsidR="003807A5" w:rsidRPr="00AC77DF" w:rsidRDefault="00CD4B54" w:rsidP="00CD4B54">
      <w:pPr>
        <w:pStyle w:val="afff1"/>
        <w:spacing w:before="360" w:after="360"/>
      </w:pPr>
      <w:r>
        <w:rPr>
          <w:rFonts w:hint="eastAsia"/>
        </w:rPr>
        <w:t>(四)</w:t>
      </w:r>
      <w:r w:rsidR="003807A5" w:rsidRPr="00AC77DF">
        <w:rPr>
          <w:lang w:eastAsia="zh-HK"/>
        </w:rPr>
        <w:t>案件</w:t>
      </w:r>
      <w:r w:rsidR="003807A5" w:rsidRPr="00AC77DF">
        <w:t>進展</w:t>
      </w:r>
    </w:p>
    <w:p w:rsidR="003807A5" w:rsidRPr="00AC77DF" w:rsidRDefault="003807A5" w:rsidP="002B4E20">
      <w:pPr>
        <w:pStyle w:val="1---"/>
        <w:ind w:firstLine="480"/>
        <w:rPr>
          <w:b/>
        </w:rPr>
      </w:pPr>
      <w:r w:rsidRPr="00AC77DF">
        <w:t>本案在監察院監督下，已產生具體成果，爰</w:t>
      </w:r>
      <w:r w:rsidR="00295B63">
        <w:rPr>
          <w:rFonts w:hint="eastAsia"/>
        </w:rPr>
        <w:t>已</w:t>
      </w:r>
      <w:r w:rsidRPr="00AC77DF">
        <w:t>結案。</w:t>
      </w:r>
    </w:p>
    <w:p w:rsidR="003807A5" w:rsidRPr="00AC77DF" w:rsidRDefault="00CD4B54" w:rsidP="00CD4B54">
      <w:pPr>
        <w:pStyle w:val="1--16"/>
        <w:spacing w:before="180" w:after="180"/>
      </w:pPr>
      <w:bookmarkStart w:id="72" w:name="_Toc535228323"/>
      <w:bookmarkStart w:id="73" w:name="_Toc4058733"/>
      <w:r>
        <w:rPr>
          <w:rFonts w:hint="eastAsia"/>
        </w:rPr>
        <w:t>◆</w:t>
      </w:r>
      <w:r w:rsidR="003807A5" w:rsidRPr="00AC77DF">
        <w:rPr>
          <w:lang w:eastAsia="zh-HK"/>
        </w:rPr>
        <w:t>評析</w:t>
      </w:r>
      <w:bookmarkEnd w:id="72"/>
      <w:bookmarkEnd w:id="73"/>
    </w:p>
    <w:p w:rsidR="003807A5" w:rsidRPr="00AC77DF" w:rsidRDefault="003807A5" w:rsidP="002B4E20">
      <w:pPr>
        <w:pStyle w:val="1---"/>
        <w:ind w:firstLine="480"/>
      </w:pPr>
      <w:r w:rsidRPr="00AC77DF">
        <w:t>依</w:t>
      </w:r>
      <w:r w:rsidRPr="00AC77DF">
        <w:t>2017</w:t>
      </w:r>
      <w:r w:rsidRPr="00AC77DF">
        <w:t>年度「各國人權報告」臺灣部分提及，我國法律禁止性騷擾；另規定男女享有同樣的法律地位和權利，然女性在職場遭受一定程度的歧視。在兒童方面，法律規定新生兒必須在出生</w:t>
      </w:r>
      <w:r w:rsidRPr="00AC77DF">
        <w:t>60</w:t>
      </w:r>
      <w:r w:rsidRPr="00AC77DF">
        <w:t>天內報戶口；違者無法享有全民健保和教育津貼。在身心障礙者之保護方面，法律禁止歧視有身體、感官、智能，以及精神障礙之人士。在少數民族對待上，截至</w:t>
      </w:r>
      <w:r w:rsidRPr="00AC77DF">
        <w:t>106</w:t>
      </w:r>
      <w:r w:rsidRPr="00AC77DF">
        <w:t>年</w:t>
      </w:r>
      <w:r w:rsidRPr="00AC77DF">
        <w:t>7</w:t>
      </w:r>
      <w:r w:rsidRPr="00AC77DF">
        <w:t>月，來自印尼、菲律賓、泰國、越南，以及中國的外籍配偶約</w:t>
      </w:r>
      <w:r w:rsidR="00157F92">
        <w:rPr>
          <w:rFonts w:hint="eastAsia"/>
          <w:lang w:eastAsia="zh-TW"/>
        </w:rPr>
        <w:t>占</w:t>
      </w:r>
      <w:r w:rsidRPr="00AC77DF">
        <w:t>全</w:t>
      </w:r>
      <w:r w:rsidR="00157F92">
        <w:rPr>
          <w:rFonts w:hint="eastAsia"/>
          <w:lang w:eastAsia="zh-TW"/>
        </w:rPr>
        <w:t>臺</w:t>
      </w:r>
      <w:r w:rsidRPr="00AC77DF">
        <w:t>人口</w:t>
      </w:r>
      <w:r w:rsidRPr="00AC77DF">
        <w:t>1%</w:t>
      </w:r>
      <w:r w:rsidRPr="00AC77DF">
        <w:t>。據報導，外籍與來自中國的配偶在家庭外是遭受社會歧視的對象，有時也在家庭內遭到社會歧視</w:t>
      </w:r>
      <w:r w:rsidRPr="00AC77DF">
        <w:rPr>
          <w:rStyle w:val="aff2"/>
        </w:rPr>
        <w:footnoteReference w:id="38"/>
      </w:r>
      <w:r w:rsidRPr="00AC77DF">
        <w:t>。</w:t>
      </w:r>
    </w:p>
    <w:p w:rsidR="003807A5" w:rsidRPr="00AC77DF" w:rsidRDefault="003807A5" w:rsidP="002B4E20">
      <w:pPr>
        <w:pStyle w:val="1---"/>
        <w:ind w:firstLine="480"/>
      </w:pPr>
      <w:r w:rsidRPr="00AC77DF">
        <w:t>監察院為國家人權院，對於經常被人忽略的在臺外籍人士、婚姻移民與新住民之權益保障，相當重視。本章特別摘錄外籍專業人士子女在臺之權益、婚姻移民及新住民總體政策檢討</w:t>
      </w:r>
      <w:r w:rsidRPr="00AC77DF">
        <w:lastRenderedPageBreak/>
        <w:t>、新住民融入臺灣社會相關權益及外籍勞工在臺期間懷孕及所生子女權益等</w:t>
      </w:r>
      <w:r w:rsidRPr="00AC77DF">
        <w:t>4</w:t>
      </w:r>
      <w:r w:rsidRPr="00AC77DF">
        <w:t>案，經監察院調查後，相關機關已從法制與程序面加以改善，並採行相關措施。</w:t>
      </w:r>
    </w:p>
    <w:p w:rsidR="003807A5" w:rsidRPr="00AC77DF" w:rsidRDefault="00F7126B" w:rsidP="002B4E20">
      <w:pPr>
        <w:pStyle w:val="1---"/>
        <w:ind w:firstLine="480"/>
      </w:pPr>
      <w:r>
        <w:rPr>
          <w:rFonts w:hint="eastAsia"/>
        </w:rPr>
        <w:t>我國訂有性侵害犯罪防治法、兩性工作平等法、性教法及性騷擾防治法，以</w:t>
      </w:r>
      <w:r w:rsidR="009E55EB">
        <w:rPr>
          <w:rFonts w:hint="eastAsia"/>
        </w:rPr>
        <w:t>促進性別平等</w:t>
      </w:r>
      <w:r w:rsidR="009E55EB">
        <w:rPr>
          <w:rFonts w:hint="eastAsia"/>
          <w:lang w:eastAsia="zh-TW"/>
        </w:rPr>
        <w:t>，</w:t>
      </w:r>
      <w:r w:rsidR="009E55EB">
        <w:rPr>
          <w:rFonts w:hint="eastAsia"/>
        </w:rPr>
        <w:t>免於</w:t>
      </w:r>
      <w:r>
        <w:rPr>
          <w:rFonts w:hint="eastAsia"/>
        </w:rPr>
        <w:t>婦女被施暴</w:t>
      </w:r>
      <w:r>
        <w:rPr>
          <w:rStyle w:val="aff2"/>
        </w:rPr>
        <w:footnoteReference w:id="39"/>
      </w:r>
      <w:r>
        <w:rPr>
          <w:rFonts w:hint="eastAsia"/>
        </w:rPr>
        <w:t>。</w:t>
      </w:r>
      <w:r w:rsidR="003807A5" w:rsidRPr="00AC77DF">
        <w:t>監察院關注國內持續發生軍中、校園性侵或性騷擾等事件，並對大學舉辦變質的迎新活動</w:t>
      </w:r>
      <w:r w:rsidR="00D031DF">
        <w:rPr>
          <w:rFonts w:hint="eastAsia"/>
        </w:rPr>
        <w:t>進行調查</w:t>
      </w:r>
      <w:r w:rsidR="00D031DF">
        <w:t>。</w:t>
      </w:r>
      <w:r w:rsidR="003807A5" w:rsidRPr="00AC77DF">
        <w:t>經監察院調查後，已</w:t>
      </w:r>
      <w:r w:rsidR="00D031DF">
        <w:rPr>
          <w:rFonts w:hint="eastAsia"/>
        </w:rPr>
        <w:t>請相關機關檢討改進，</w:t>
      </w:r>
      <w:r w:rsidR="00157F92">
        <w:rPr>
          <w:rFonts w:hint="eastAsia"/>
          <w:lang w:eastAsia="zh-TW"/>
        </w:rPr>
        <w:t>且</w:t>
      </w:r>
      <w:r w:rsidR="003807A5" w:rsidRPr="00AC77DF">
        <w:t>違失人員</w:t>
      </w:r>
      <w:r w:rsidR="00157F92">
        <w:rPr>
          <w:rFonts w:hint="eastAsia"/>
          <w:lang w:eastAsia="zh-TW"/>
        </w:rPr>
        <w:t>已經</w:t>
      </w:r>
      <w:r w:rsidR="003807A5" w:rsidRPr="00AC77DF">
        <w:t>懲戒或懲處。此外，性別工作平等法及性教法均有性侵害事件之調查規定，性騷擾防治法卻僅有性騷擾而無性侵害之調查規定，對性侵害被害人保護不周，建議研議修正性騷擾防治法，以強化對被害人之保護。</w:t>
      </w:r>
    </w:p>
    <w:p w:rsidR="003807A5" w:rsidRDefault="003807A5" w:rsidP="002B4E20">
      <w:pPr>
        <w:pStyle w:val="1---"/>
        <w:ind w:firstLine="480"/>
        <w:rPr>
          <w:lang w:eastAsia="zh-TW"/>
        </w:rPr>
      </w:pPr>
      <w:r w:rsidRPr="00AC77DF">
        <w:t>對於退輔會未詳查資格發給榮民證造成後續爭議案，監察院詳為調查，發現陳訴人係戒嚴時期犯叛亂罪判刑確定，</w:t>
      </w:r>
      <w:r w:rsidR="00157F92">
        <w:rPr>
          <w:rFonts w:hint="eastAsia"/>
          <w:lang w:eastAsia="zh-TW"/>
        </w:rPr>
        <w:t>又</w:t>
      </w:r>
      <w:r w:rsidRPr="00AC77DF">
        <w:t>按「戒嚴時期不當叛亂暨匪諜審判案件補償條例」獲得</w:t>
      </w:r>
      <w:r w:rsidR="00157F92">
        <w:rPr>
          <w:rFonts w:hint="eastAsia"/>
          <w:lang w:eastAsia="zh-TW"/>
        </w:rPr>
        <w:t>就</w:t>
      </w:r>
      <w:r w:rsidR="00455E45">
        <w:rPr>
          <w:rFonts w:hint="eastAsia"/>
          <w:lang w:eastAsia="zh-TW"/>
        </w:rPr>
        <w:t>養</w:t>
      </w:r>
      <w:r w:rsidR="00157F92">
        <w:rPr>
          <w:rFonts w:hint="eastAsia"/>
          <w:lang w:eastAsia="zh-TW"/>
        </w:rPr>
        <w:t>金</w:t>
      </w:r>
      <w:r w:rsidR="00455E45">
        <w:rPr>
          <w:rFonts w:hint="eastAsia"/>
          <w:lang w:eastAsia="zh-TW"/>
        </w:rPr>
        <w:t>致</w:t>
      </w:r>
      <w:r w:rsidR="00157F92">
        <w:rPr>
          <w:rFonts w:hint="eastAsia"/>
          <w:lang w:eastAsia="zh-TW"/>
        </w:rPr>
        <w:t>生爭議</w:t>
      </w:r>
      <w:r w:rsidRPr="00AC77DF">
        <w:t>，</w:t>
      </w:r>
      <w:r w:rsidR="00157F92">
        <w:rPr>
          <w:rFonts w:hint="eastAsia"/>
          <w:lang w:eastAsia="zh-TW"/>
        </w:rPr>
        <w:t>本案已</w:t>
      </w:r>
      <w:r w:rsidRPr="00AC77DF">
        <w:t>請退輔會注意改善。監察院期盼機關審慎處理涉及人民權益相關案件，避免</w:t>
      </w:r>
      <w:r w:rsidR="00157F92">
        <w:rPr>
          <w:rFonts w:hint="eastAsia"/>
          <w:lang w:eastAsia="zh-TW"/>
        </w:rPr>
        <w:t>發生錯誤</w:t>
      </w:r>
      <w:r w:rsidR="00455E45">
        <w:rPr>
          <w:rFonts w:hint="eastAsia"/>
          <w:lang w:eastAsia="zh-TW"/>
        </w:rPr>
        <w:t>或</w:t>
      </w:r>
      <w:r w:rsidRPr="00AC77DF">
        <w:t>對人民產生歧視，落實平等權利</w:t>
      </w:r>
      <w:r w:rsidR="00157F92">
        <w:rPr>
          <w:rFonts w:hint="eastAsia"/>
          <w:lang w:eastAsia="zh-TW"/>
        </w:rPr>
        <w:t>之保障</w:t>
      </w:r>
      <w:r w:rsidRPr="00AC77DF">
        <w:t>。</w:t>
      </w:r>
    </w:p>
    <w:p w:rsidR="007C385B" w:rsidRPr="00AC77DF" w:rsidRDefault="007C385B" w:rsidP="002B4E20">
      <w:pPr>
        <w:pStyle w:val="1---"/>
        <w:ind w:firstLine="480"/>
        <w:rPr>
          <w:lang w:eastAsia="zh-TW"/>
        </w:rPr>
      </w:pPr>
    </w:p>
    <w:p w:rsidR="007C385B" w:rsidRPr="00157F92" w:rsidRDefault="007C385B">
      <w:pPr>
        <w:widowControl/>
        <w:snapToGrid/>
        <w:rPr>
          <w:lang w:val="x-none"/>
        </w:rPr>
        <w:sectPr w:rsidR="007C385B" w:rsidRPr="00157F92" w:rsidSect="00037CD1">
          <w:headerReference w:type="default" r:id="rId19"/>
          <w:footerReference w:type="default" r:id="rId20"/>
          <w:pgSz w:w="8392" w:h="11907" w:code="11"/>
          <w:pgMar w:top="1701" w:right="794" w:bottom="1134" w:left="964" w:header="624" w:footer="397" w:gutter="0"/>
          <w:cols w:space="425"/>
          <w:docGrid w:type="lines" w:linePitch="360"/>
        </w:sectPr>
      </w:pPr>
      <w:bookmarkStart w:id="74" w:name="_Toc535228324"/>
    </w:p>
    <w:p w:rsidR="003807A5" w:rsidRPr="00AC77DF" w:rsidRDefault="003807A5" w:rsidP="007C385B">
      <w:pPr>
        <w:pStyle w:val="1--"/>
        <w:spacing w:after="180"/>
      </w:pPr>
      <w:bookmarkStart w:id="75" w:name="_Toc4058734"/>
      <w:r w:rsidRPr="00AC77DF">
        <w:lastRenderedPageBreak/>
        <w:t>第三章</w:t>
      </w:r>
      <w:r w:rsidRPr="00AC77DF">
        <w:rPr>
          <w:rFonts w:ascii="細明體" w:eastAsia="細明體" w:hAnsi="細明體" w:cs="細明體" w:hint="eastAsia"/>
        </w:rPr>
        <w:t xml:space="preserve">　</w:t>
      </w:r>
      <w:r w:rsidRPr="00AC77DF">
        <w:rPr>
          <w:noProof/>
        </w:rPr>
        <mc:AlternateContent>
          <mc:Choice Requires="wps">
            <w:drawing>
              <wp:anchor distT="0" distB="0" distL="114300" distR="114300" simplePos="0" relativeHeight="251938816" behindDoc="0" locked="1" layoutInCell="1" allowOverlap="1" wp14:anchorId="2EE572CE" wp14:editId="337215A3">
                <wp:simplePos x="0" y="0"/>
                <wp:positionH relativeFrom="column">
                  <wp:posOffset>7989570</wp:posOffset>
                </wp:positionH>
                <wp:positionV relativeFrom="paragraph">
                  <wp:posOffset>-773430</wp:posOffset>
                </wp:positionV>
                <wp:extent cx="635000" cy="317500"/>
                <wp:effectExtent l="0" t="0" r="0" b="0"/>
                <wp:wrapNone/>
                <wp:docPr id="122" name="記錄"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832" w:rsidRDefault="00970832" w:rsidP="00912880">
                            <w:pPr>
                              <w:jc w:val="center"/>
                              <w:rPr>
                                <w:sz w:val="18"/>
                              </w:rPr>
                            </w:pPr>
                            <w:r>
                              <w:rPr>
                                <w:sz w:val="18"/>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629.1pt;margin-top:-60.9pt;width:50pt;height:25pt;z-index:2519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" stroked="f">
                <v:textbox>
                  <w:txbxContent>
                    <w:p w:rsidR="00895792" w:rsidRDefault="00895792" w:rsidP="00912880">
                      <w:pPr>
                        <w:jc w:val="center"/>
                        <w:rPr>
                          <w:sz w:val="18"/>
                        </w:rPr>
                      </w:pPr>
                      <w:r>
                        <w:rPr>
                          <w:sz w:val="18"/>
                        </w:rPr>
                        <w:t>00</w:t>
                      </w:r>
                    </w:p>
                  </w:txbxContent>
                </v:textbox>
                <w10:anchorlock/>
              </v:shape>
            </w:pict>
          </mc:Fallback>
        </mc:AlternateContent>
      </w:r>
      <w:r w:rsidRPr="00AC77DF">
        <w:rPr>
          <w:noProof/>
        </w:rPr>
        <mc:AlternateContent>
          <mc:Choice Requires="wpg">
            <w:drawing>
              <wp:anchor distT="0" distB="0" distL="114300" distR="114300" simplePos="0" relativeHeight="251937792" behindDoc="0" locked="1" layoutInCell="0" allowOverlap="1" wp14:anchorId="3AB4EF06" wp14:editId="4A4286BB">
                <wp:simplePos x="0" y="0"/>
                <wp:positionH relativeFrom="column">
                  <wp:posOffset>-2184400</wp:posOffset>
                </wp:positionH>
                <wp:positionV relativeFrom="paragraph">
                  <wp:posOffset>-2540</wp:posOffset>
                </wp:positionV>
                <wp:extent cx="149225" cy="8839200"/>
                <wp:effectExtent l="0" t="0" r="3175" b="19050"/>
                <wp:wrapNone/>
                <wp:docPr id="123" name="裝訂線"/>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39200"/>
                          <a:chOff x="745" y="1414"/>
                          <a:chExt cx="235" cy="13920"/>
                        </a:xfrm>
                      </wpg:grpSpPr>
                      <wps:wsp>
                        <wps:cNvPr id="124" name="Line 13"/>
                        <wps:cNvCnPr/>
                        <wps:spPr bwMode="auto">
                          <a:xfrm>
                            <a:off x="851" y="1414"/>
                            <a:ext cx="0" cy="139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5" name="Text Box 14"/>
                        <wps:cNvSpPr txBox="1">
                          <a:spLocks noChangeArrowheads="1"/>
                        </wps:cNvSpPr>
                        <wps:spPr bwMode="auto">
                          <a:xfrm>
                            <a:off x="745" y="5523"/>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912880">
                              <w:pPr>
                                <w:kinsoku w:val="0"/>
                                <w:wordWrap w:val="0"/>
                                <w:overflowPunct w:val="0"/>
                                <w:rPr>
                                  <w:sz w:val="20"/>
                                </w:rPr>
                              </w:pPr>
                              <w:r>
                                <w:rPr>
                                  <w:rFonts w:hint="eastAsia"/>
                                  <w:sz w:val="20"/>
                                </w:rPr>
                                <w:t>裝</w:t>
                              </w:r>
                            </w:p>
                          </w:txbxContent>
                        </wps:txbx>
                        <wps:bodyPr rot="0" vert="horz" wrap="square" lIns="0" tIns="0" rIns="0" bIns="0" anchor="t" anchorCtr="0" upright="1">
                          <a:noAutofit/>
                        </wps:bodyPr>
                      </wps:wsp>
                      <wps:wsp>
                        <wps:cNvPr id="126" name="Text Box 15"/>
                        <wps:cNvSpPr txBox="1">
                          <a:spLocks noChangeArrowheads="1"/>
                        </wps:cNvSpPr>
                        <wps:spPr bwMode="auto">
                          <a:xfrm>
                            <a:off x="745" y="8312"/>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912880">
                              <w:pPr>
                                <w:kinsoku w:val="0"/>
                                <w:wordWrap w:val="0"/>
                                <w:overflowPunct w:val="0"/>
                                <w:rPr>
                                  <w:sz w:val="20"/>
                                </w:rPr>
                              </w:pPr>
                              <w:r>
                                <w:rPr>
                                  <w:rFonts w:hint="eastAsia"/>
                                  <w:sz w:val="20"/>
                                </w:rPr>
                                <w:t>訂</w:t>
                              </w:r>
                            </w:p>
                          </w:txbxContent>
                        </wps:txbx>
                        <wps:bodyPr rot="0" vert="horz" wrap="square" lIns="0" tIns="0" rIns="0" bIns="0" anchor="t" anchorCtr="0" upright="1">
                          <a:noAutofit/>
                        </wps:bodyPr>
                      </wps:wsp>
                      <wps:wsp>
                        <wps:cNvPr id="127" name="Text Box 16"/>
                        <wps:cNvSpPr txBox="1">
                          <a:spLocks noChangeArrowheads="1"/>
                        </wps:cNvSpPr>
                        <wps:spPr bwMode="auto">
                          <a:xfrm>
                            <a:off x="745" y="11127"/>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912880">
                              <w:pPr>
                                <w:kinsoku w:val="0"/>
                                <w:wordWrap w:val="0"/>
                                <w:overflowPunct w:val="0"/>
                                <w:rPr>
                                  <w:sz w:val="20"/>
                                </w:rPr>
                              </w:pPr>
                              <w:r>
                                <w:rPr>
                                  <w:rFonts w:hint="eastAsia"/>
                                  <w:sz w:val="20"/>
                                </w:rPr>
                                <w:t>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8" style="position:absolute;left:0;text-align:left;margin-left:-172pt;margin-top:-.2pt;width:11.75pt;height:696pt;z-index:251937792" coordorigin="745,1414" coordsize="235,1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" o:allowincell="f">
                <v:line id="Line 13" o:spid="_x0000_s1049" style="position:absolute;visibility:visible;mso-wrap-style:square" from="851,1414" to="851,1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IEkMMAAADcAAAADwAAAGRycy9kb3ducmV2LnhtbERPTWsCMRC9C/0PYQq9abYitd0axRYE&#10;2+rBVcHjsBmTxc1k2aS6/feNIHibx/ucyaxztThTGyrPCp4HGQji0uuKjYLddtF/BREissbaMyn4&#10;owCz6UNvgrn2F97QuYhGpBAOOSqwMTa5lKG05DAMfEOcuKNvHcYEWyN1i5cU7mo5zLIX6bDi1GCx&#10;oU9L5an4dQp+xst6b/hQrL6O4cO/fW/k2lilnh67+TuISF28i2/upU7zhyO4PpMukN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SBJDDAAAA3AAAAA8AAAAAAAAAAAAA&#10;AAAAoQIAAGRycy9kb3ducmV2LnhtbFBLBQYAAAAABAAEAPkAAACRAwAAAAA=&#10;">
                  <v:stroke dashstyle="1 1"/>
                </v:line>
                <v:shape id="Text Box 14" o:spid="_x0000_s1050" type="#_x0000_t202" style="position:absolute;left:745;top:5523;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i+cIA&#10;AADcAAAADwAAAGRycy9kb3ducmV2LnhtbERPTYvCMBC9C/6HMII3TS1UlmoUlRXXZS9qEY9DM7bF&#10;ZlKarHb//UYQvM3jfc582Zla3Kl1lWUFk3EEgji3uuJCQXbajj5AOI+ssbZMCv7IwXLR780x1fbB&#10;B7offSFCCLsUFZTeN6mULi/JoBvbhjhwV9sa9AG2hdQtPkK4qWUcRVNpsOLQUGJDm5Ly2/HXKNjr&#10;s1wnWXTILxe9+9z+JFn8nSg1HHSrGQhPnX+LX+4vHebHC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GKL5wgAAANwAAAAPAAAAAAAAAAAAAAAAAJgCAABkcnMvZG93&#10;bnJldi54bWxQSwUGAAAAAAQABAD1AAAAhwMAAAAA&#10;" filled="f" stroked="f">
                  <v:stroke dashstyle="1 1"/>
                  <v:textbox inset="0,0,0,0">
                    <w:txbxContent>
                      <w:p w:rsidR="00895792" w:rsidRDefault="00895792" w:rsidP="00912880">
                        <w:pPr>
                          <w:kinsoku w:val="0"/>
                          <w:wordWrap w:val="0"/>
                          <w:overflowPunct w:val="0"/>
                          <w:rPr>
                            <w:sz w:val="20"/>
                          </w:rPr>
                        </w:pPr>
                        <w:r>
                          <w:rPr>
                            <w:rFonts w:hint="eastAsia"/>
                            <w:sz w:val="20"/>
                          </w:rPr>
                          <w:t>裝</w:t>
                        </w:r>
                      </w:p>
                    </w:txbxContent>
                  </v:textbox>
                </v:shape>
                <v:shape id="Text Box 15" o:spid="_x0000_s1051" type="#_x0000_t202" style="position:absolute;left:745;top:8312;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o8jsIA&#10;AADcAAAADwAAAGRycy9kb3ducmV2LnhtbERPTYvCMBC9L/gfwgje1tRCZalGUVF0ZS9qEY9DM7bF&#10;ZlKaqN1/bxYWvM3jfc503plaPKh1lWUFo2EEgji3uuJCQXbafH6BcB5ZY22ZFPySg/ms9zHFVNsn&#10;H+hx9IUIIexSVFB636RSurwkg25oG+LAXW1r0AfYFlK3+AzhppZxFI2lwYpDQ4kNrUrKb8e7UfCt&#10;z3KZZNEhv1z0dr35SbJ4nyg16HeLCQhPnX+L/907HebHY/h7Jlw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yjyOwgAAANwAAAAPAAAAAAAAAAAAAAAAAJgCAABkcnMvZG93&#10;bnJldi54bWxQSwUGAAAAAAQABAD1AAAAhwMAAAAA&#10;" filled="f" stroked="f">
                  <v:stroke dashstyle="1 1"/>
                  <v:textbox inset="0,0,0,0">
                    <w:txbxContent>
                      <w:p w:rsidR="00895792" w:rsidRDefault="00895792" w:rsidP="00912880">
                        <w:pPr>
                          <w:kinsoku w:val="0"/>
                          <w:wordWrap w:val="0"/>
                          <w:overflowPunct w:val="0"/>
                          <w:rPr>
                            <w:sz w:val="20"/>
                          </w:rPr>
                        </w:pPr>
                        <w:r>
                          <w:rPr>
                            <w:rFonts w:hint="eastAsia"/>
                            <w:sz w:val="20"/>
                          </w:rPr>
                          <w:t>訂</w:t>
                        </w:r>
                      </w:p>
                    </w:txbxContent>
                  </v:textbox>
                </v:shape>
                <v:shape id="Text Box 16" o:spid="_x0000_s1052" type="#_x0000_t202" style="position:absolute;left:745;top:11127;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aZFcMA&#10;AADcAAAADwAAAGRycy9kb3ducmV2LnhtbERPTWvCQBC9C/0PyxR6q5sGoiV1lbY0VMVLbCgeh+yY&#10;BLOzIbuN8d+7QsHbPN7nLFajacVAvWssK3iZRiCIS6sbrhQUP9nzKwjnkTW2lknBhRyslg+TBaba&#10;njmnYe8rEULYpaig9r5LpXRlTQbd1HbEgTva3qAPsK+k7vEcwk0r4yiaSYMNh4YaO/qsqTzt/4yC&#10;jf6VH0kR5eXhoL+/sl1SxNtEqafH8f0NhKfR38X/7rUO8+M53J4JF8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aZFcMAAADcAAAADwAAAAAAAAAAAAAAAACYAgAAZHJzL2Rv&#10;d25yZXYueG1sUEsFBgAAAAAEAAQA9QAAAIgDAAAAAA==&#10;" filled="f" stroked="f">
                  <v:stroke dashstyle="1 1"/>
                  <v:textbox inset="0,0,0,0">
                    <w:txbxContent>
                      <w:p w:rsidR="00895792" w:rsidRDefault="00895792" w:rsidP="00912880">
                        <w:pPr>
                          <w:kinsoku w:val="0"/>
                          <w:wordWrap w:val="0"/>
                          <w:overflowPunct w:val="0"/>
                          <w:rPr>
                            <w:sz w:val="20"/>
                          </w:rPr>
                        </w:pPr>
                        <w:r>
                          <w:rPr>
                            <w:rFonts w:hint="eastAsia"/>
                            <w:sz w:val="20"/>
                          </w:rPr>
                          <w:t>線</w:t>
                        </w:r>
                      </w:p>
                    </w:txbxContent>
                  </v:textbox>
                </v:shape>
                <w10:anchorlock/>
              </v:group>
            </w:pict>
          </mc:Fallback>
        </mc:AlternateContent>
      </w:r>
      <w:r w:rsidRPr="00AC77DF">
        <w:rPr>
          <w:noProof/>
        </w:rPr>
        <mc:AlternateContent>
          <mc:Choice Requires="wps">
            <w:drawing>
              <wp:anchor distT="0" distB="0" distL="114300" distR="114300" simplePos="0" relativeHeight="251936768" behindDoc="0" locked="1" layoutInCell="0" allowOverlap="1" wp14:anchorId="75378DB2" wp14:editId="6F43D6BA">
                <wp:simplePos x="0" y="0"/>
                <wp:positionH relativeFrom="column">
                  <wp:posOffset>-609600</wp:posOffset>
                </wp:positionH>
                <wp:positionV relativeFrom="page">
                  <wp:posOffset>443230</wp:posOffset>
                </wp:positionV>
                <wp:extent cx="636905" cy="396240"/>
                <wp:effectExtent l="9525" t="5080" r="10795" b="8255"/>
                <wp:wrapNone/>
                <wp:docPr id="128" name="函正本"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832" w:rsidRDefault="00970832" w:rsidP="00912880">
                            <w:pPr>
                              <w:jc w:val="center"/>
                              <w:rPr>
                                <w:color w:val="000000"/>
                                <w:sz w:val="36"/>
                              </w:rPr>
                            </w:pPr>
                            <w:r>
                              <w:rPr>
                                <w:rFonts w:hint="eastAsia"/>
                                <w:color w:val="000000"/>
                                <w:sz w:val="36"/>
                              </w:rPr>
                              <w:t>正本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left:0;text-align:left;margin-left:-48pt;margin-top:34.9pt;width:50.15pt;height:31.2pt;z-index:251936768;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" o:allowincell="f" filled="f">
                <v:textbox inset=".5mm,,.5mm">
                  <w:txbxContent>
                    <w:p w:rsidR="00895792" w:rsidRDefault="00895792" w:rsidP="00912880">
                      <w:pPr>
                        <w:jc w:val="center"/>
                        <w:rPr>
                          <w:color w:val="000000"/>
                          <w:sz w:val="36"/>
                        </w:rPr>
                      </w:pPr>
                      <w:r>
                        <w:rPr>
                          <w:rFonts w:hint="eastAsia"/>
                          <w:color w:val="000000"/>
                          <w:sz w:val="36"/>
                        </w:rPr>
                        <w:t>正本</w:t>
                      </w:r>
                    </w:p>
                  </w:txbxContent>
                </v:textbox>
                <w10:wrap anchory="page"/>
                <w10:anchorlock/>
              </v:shape>
            </w:pict>
          </mc:Fallback>
        </mc:AlternateContent>
      </w:r>
      <w:r w:rsidRPr="00AC77DF">
        <w:rPr>
          <w:noProof/>
        </w:rPr>
        <mc:AlternateContent>
          <mc:Choice Requires="wps">
            <w:drawing>
              <wp:anchor distT="0" distB="0" distL="114300" distR="114300" simplePos="0" relativeHeight="251935744" behindDoc="0" locked="1" layoutInCell="0" allowOverlap="1" wp14:anchorId="1891A186" wp14:editId="25EE4036">
                <wp:simplePos x="0" y="0"/>
                <wp:positionH relativeFrom="column">
                  <wp:posOffset>-609600</wp:posOffset>
                </wp:positionH>
                <wp:positionV relativeFrom="page">
                  <wp:posOffset>442595</wp:posOffset>
                </wp:positionV>
                <wp:extent cx="636905" cy="396240"/>
                <wp:effectExtent l="9525" t="13970" r="10795" b="8890"/>
                <wp:wrapNone/>
                <wp:docPr id="129" name="函副本"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832" w:rsidRDefault="00970832" w:rsidP="00912880">
                            <w:pPr>
                              <w:jc w:val="center"/>
                              <w:rPr>
                                <w:color w:val="000000"/>
                                <w:sz w:val="36"/>
                              </w:rPr>
                            </w:pPr>
                            <w:r>
                              <w:rPr>
                                <w:rFonts w:hint="eastAsia"/>
                                <w:color w:val="000000"/>
                                <w:sz w:val="36"/>
                              </w:rPr>
                              <w:t>副本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48pt;margin-top:34.85pt;width:50.15pt;height:31.2pt;z-index:251935744;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" o:allowincell="f" filled="f">
                <v:textbox inset=".5mm,,.5mm">
                  <w:txbxContent>
                    <w:p w:rsidR="00895792" w:rsidRDefault="00895792" w:rsidP="00912880">
                      <w:pPr>
                        <w:jc w:val="center"/>
                        <w:rPr>
                          <w:color w:val="000000"/>
                          <w:sz w:val="36"/>
                        </w:rPr>
                      </w:pPr>
                      <w:r>
                        <w:rPr>
                          <w:rFonts w:hint="eastAsia"/>
                          <w:color w:val="000000"/>
                          <w:sz w:val="36"/>
                        </w:rPr>
                        <w:t>副本</w:t>
                      </w:r>
                    </w:p>
                  </w:txbxContent>
                </v:textbox>
                <w10:wrap anchory="page"/>
                <w10:anchorlock/>
              </v:shape>
            </w:pict>
          </mc:Fallback>
        </mc:AlternateContent>
      </w:r>
      <w:r w:rsidRPr="00AC77DF">
        <w:rPr>
          <w:noProof/>
        </w:rPr>
        <mc:AlternateContent>
          <mc:Choice Requires="wps">
            <w:drawing>
              <wp:anchor distT="0" distB="0" distL="114300" distR="114300" simplePos="0" relativeHeight="251934720" behindDoc="0" locked="1" layoutInCell="0" allowOverlap="1" wp14:anchorId="402229BD" wp14:editId="79A8147E">
                <wp:simplePos x="0" y="0"/>
                <wp:positionH relativeFrom="column">
                  <wp:posOffset>2819400</wp:posOffset>
                </wp:positionH>
                <wp:positionV relativeFrom="page">
                  <wp:posOffset>443230</wp:posOffset>
                </wp:positionV>
                <wp:extent cx="1440180" cy="360045"/>
                <wp:effectExtent l="9525" t="5080" r="7620" b="6350"/>
                <wp:wrapNone/>
                <wp:docPr id="130" name="首長大名"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970832" w:rsidRDefault="00970832" w:rsidP="00912880">
                            <w:r>
                              <w:rPr>
                                <w:rFonts w:hint="eastAsia"/>
                              </w:rPr>
                              <w:t>院長王○○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222pt;margin-top:34.9pt;width:113.4pt;height:28.35pt;z-index:251934720;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" o:allowincell="f">
                <v:textbox>
                  <w:txbxContent>
                    <w:p w:rsidR="00895792" w:rsidRDefault="00895792" w:rsidP="00912880">
                      <w:r>
                        <w:rPr>
                          <w:rFonts w:hint="eastAsia"/>
                        </w:rPr>
                        <w:t>院長王○○</w:t>
                      </w:r>
                    </w:p>
                  </w:txbxContent>
                </v:textbox>
                <w10:wrap anchory="page"/>
                <w10:anchorlock/>
              </v:shape>
            </w:pict>
          </mc:Fallback>
        </mc:AlternateContent>
      </w:r>
      <w:r w:rsidRPr="00AC77DF">
        <w:rPr>
          <w:noProof/>
        </w:rPr>
        <mc:AlternateContent>
          <mc:Choice Requires="wps">
            <w:drawing>
              <wp:anchor distT="0" distB="0" distL="114300" distR="114300" simplePos="0" relativeHeight="251933696" behindDoc="0" locked="1" layoutInCell="0" allowOverlap="1" wp14:anchorId="40272800" wp14:editId="39365627">
                <wp:simplePos x="0" y="0"/>
                <wp:positionH relativeFrom="column">
                  <wp:posOffset>1381125</wp:posOffset>
                </wp:positionH>
                <wp:positionV relativeFrom="page">
                  <wp:posOffset>443230</wp:posOffset>
                </wp:positionV>
                <wp:extent cx="1440180" cy="360045"/>
                <wp:effectExtent l="9525" t="5080" r="7620" b="6350"/>
                <wp:wrapNone/>
                <wp:docPr id="131" name="文別"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970832" w:rsidRDefault="00970832" w:rsidP="00912880">
                            <w:pPr>
                              <w:rPr>
                                <w:rFonts w:ascii="標楷體"/>
                              </w:rPr>
                            </w:pPr>
                            <w:r>
                              <w:rPr>
                                <w:rFonts w:ascii="標楷體" w:hint="eastAsia"/>
                              </w:rPr>
                              <w:t>函;函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left:0;text-align:left;margin-left:108.75pt;margin-top:34.9pt;width:113.4pt;height:28.35pt;z-index:251933696;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" o:allowincell="f">
                <v:textbox>
                  <w:txbxContent>
                    <w:p w:rsidR="00895792" w:rsidRDefault="00895792" w:rsidP="00912880">
                      <w:pPr>
                        <w:rPr>
                          <w:rFonts w:ascii="標楷體"/>
                        </w:rPr>
                      </w:pPr>
                      <w:r>
                        <w:rPr>
                          <w:rFonts w:ascii="標楷體" w:hint="eastAsia"/>
                        </w:rPr>
                        <w:t>函;函</w:t>
                      </w:r>
                    </w:p>
                  </w:txbxContent>
                </v:textbox>
                <w10:wrap anchory="page"/>
                <w10:anchorlock/>
              </v:shape>
            </w:pict>
          </mc:Fallback>
        </mc:AlternateContent>
      </w:r>
      <w:r w:rsidRPr="00AC77DF">
        <w:t>生存權</w:t>
      </w:r>
      <w:bookmarkEnd w:id="74"/>
      <w:bookmarkEnd w:id="75"/>
    </w:p>
    <w:p w:rsidR="003807A5" w:rsidRPr="00AC77DF" w:rsidRDefault="003807A5" w:rsidP="002B4E20">
      <w:pPr>
        <w:pStyle w:val="1---"/>
        <w:ind w:firstLine="480"/>
      </w:pPr>
      <w:r w:rsidRPr="00AC77DF">
        <w:t>生存權</w:t>
      </w:r>
      <w:r w:rsidRPr="00AC77DF">
        <w:rPr>
          <w:kern w:val="0"/>
        </w:rPr>
        <w:t>乃人民享有維持最基本的生活要件，且合於最基本的人性尊嚴之保障，以延續其生命的權利。</w:t>
      </w:r>
      <w:r w:rsidRPr="00AC77DF">
        <w:t>生存權可謂人類所有權利的基本，若一個人無法生存，則其他一切權利都沒有意義</w:t>
      </w:r>
      <w:r w:rsidRPr="00AC77DF">
        <w:rPr>
          <w:rStyle w:val="aff2"/>
        </w:rPr>
        <w:footnoteReference w:id="40"/>
      </w:r>
      <w:r w:rsidRPr="00AC77DF">
        <w:t>。</w:t>
      </w:r>
    </w:p>
    <w:p w:rsidR="003807A5" w:rsidRPr="00AC77DF" w:rsidRDefault="003807A5" w:rsidP="002B4E20">
      <w:pPr>
        <w:pStyle w:val="1---"/>
        <w:ind w:firstLine="480"/>
        <w:rPr>
          <w:spacing w:val="4"/>
          <w:lang w:eastAsia="zh-TW"/>
        </w:rPr>
      </w:pPr>
      <w:r w:rsidRPr="00AC77DF">
        <w:t>古典生存權理論認為，國家有義務尊重人民的生命，不能「妄加殺戮」或「任意剝奪」</w:t>
      </w:r>
      <w:r w:rsidRPr="00AC77DF">
        <w:rPr>
          <w:rStyle w:val="aff2"/>
          <w:kern w:val="0"/>
        </w:rPr>
        <w:footnoteReference w:id="41"/>
      </w:r>
      <w:r w:rsidRPr="00AC77DF">
        <w:t>；而今生存權的意義已由消極的不受侵害之「自由權意義之生存權</w:t>
      </w:r>
      <w:r w:rsidRPr="000448D6">
        <w:rPr>
          <w:spacing w:val="-30"/>
        </w:rPr>
        <w:t>」</w:t>
      </w:r>
      <w:r w:rsidRPr="00AC77DF">
        <w:t>，演</w:t>
      </w:r>
      <w:r w:rsidRPr="00AC77DF">
        <w:rPr>
          <w:spacing w:val="4"/>
        </w:rPr>
        <w:t>變為積極保障「受益權意義之生存權」</w:t>
      </w:r>
      <w:r w:rsidRPr="00AC77DF">
        <w:rPr>
          <w:rStyle w:val="aff2"/>
          <w:spacing w:val="4"/>
          <w:kern w:val="0"/>
        </w:rPr>
        <w:footnoteReference w:id="42"/>
      </w:r>
      <w:r w:rsidRPr="00AC77DF">
        <w:rPr>
          <w:spacing w:val="4"/>
        </w:rPr>
        <w:t>。意即</w:t>
      </w:r>
      <w:r w:rsidRPr="00AC77DF">
        <w:t>人民除可向國家要求其生存權不受消極侵害外，亦得要求國家機關積極作為，充實、改善與生存相關的各種條件及環境，使其生存權得以落實與不斷發展。因此生存權不僅指人民有生存的權利，亦涵蓋國家及政府有尊重及照顧人民生存的義務。</w:t>
      </w:r>
    </w:p>
    <w:p w:rsidR="003807A5" w:rsidRPr="00AC77DF" w:rsidRDefault="00FB2C93" w:rsidP="002B4E20">
      <w:pPr>
        <w:pStyle w:val="1---"/>
        <w:ind w:firstLine="480"/>
      </w:pPr>
      <w:r>
        <w:t>世界人權宣言</w:t>
      </w:r>
      <w:r w:rsidR="003807A5" w:rsidRPr="00AC77DF">
        <w:t>第</w:t>
      </w:r>
      <w:r w:rsidR="003807A5" w:rsidRPr="00AC77DF">
        <w:t>3</w:t>
      </w:r>
      <w:r w:rsidR="003807A5" w:rsidRPr="00AC77DF">
        <w:t>條將「人人有權享有生命、自由和人身安全」視為基本的公民與政治權利，明確揭示生存權乃重要且基本的人權。公民與政治權利國際公約第</w:t>
      </w:r>
      <w:r w:rsidR="003807A5" w:rsidRPr="00AC77DF">
        <w:t>6</w:t>
      </w:r>
      <w:r w:rsidR="003807A5" w:rsidRPr="00AC77DF">
        <w:t>條第</w:t>
      </w:r>
      <w:r w:rsidR="003807A5" w:rsidRPr="00AC77DF">
        <w:t>1</w:t>
      </w:r>
      <w:r w:rsidR="003807A5" w:rsidRPr="00AC77DF">
        <w:t>項規定，人人有天賦之生存權，此種權利應受法律保障，任何人之生命不得被無理剝奪。第</w:t>
      </w:r>
      <w:r w:rsidR="003807A5" w:rsidRPr="00AC77DF">
        <w:t>8</w:t>
      </w:r>
      <w:r w:rsidR="003807A5" w:rsidRPr="00AC77DF">
        <w:t>條第</w:t>
      </w:r>
      <w:r w:rsidR="003807A5" w:rsidRPr="00AC77DF">
        <w:t>2</w:t>
      </w:r>
      <w:r w:rsidR="003807A5" w:rsidRPr="00AC77DF">
        <w:t>項規定，任何人不得被奴役，或被強迫或強制服勞役。上開規定揭露國際公約對於生命權及生活</w:t>
      </w:r>
      <w:r w:rsidR="003807A5" w:rsidRPr="00AC77DF">
        <w:lastRenderedPageBreak/>
        <w:t>權的保障。由於生命權乃首要的人權，故即使在社會緊急狀態威脅到國家安全時，按公民與政治權利國際公約第</w:t>
      </w:r>
      <w:r w:rsidR="003807A5" w:rsidRPr="00AC77DF">
        <w:t>4</w:t>
      </w:r>
      <w:r w:rsidR="003807A5" w:rsidRPr="00AC77DF">
        <w:t>條第</w:t>
      </w:r>
      <w:r w:rsidR="003807A5" w:rsidRPr="00AC77DF">
        <w:t>2</w:t>
      </w:r>
      <w:r w:rsidR="003807A5" w:rsidRPr="00AC77DF">
        <w:t>款規定，生命權仍是不可減免的權利之一。</w:t>
      </w:r>
    </w:p>
    <w:p w:rsidR="003807A5" w:rsidRPr="00AC77DF" w:rsidRDefault="003807A5" w:rsidP="002B4E20">
      <w:pPr>
        <w:pStyle w:val="1---"/>
        <w:ind w:firstLine="480"/>
      </w:pPr>
      <w:r w:rsidRPr="00AC77DF">
        <w:t>公民與政治權利國際公約第</w:t>
      </w:r>
      <w:r w:rsidRPr="00AC77DF">
        <w:t>9</w:t>
      </w:r>
      <w:r w:rsidRPr="00AC77DF">
        <w:t>條強調，人人有權享有身體自由及人身安全。聯合國人權事務委員會所提第</w:t>
      </w:r>
      <w:r w:rsidRPr="00AC77DF">
        <w:t>35</w:t>
      </w:r>
      <w:r w:rsidRPr="00AC77DF">
        <w:t>號一般性意見更進一步指出，公民與政治權利國際公約第</w:t>
      </w:r>
      <w:r w:rsidRPr="00AC77DF">
        <w:t>6</w:t>
      </w:r>
      <w:r w:rsidRPr="00AC77DF">
        <w:t>條所保證的生命權與第</w:t>
      </w:r>
      <w:r w:rsidRPr="00AC77DF">
        <w:t>9</w:t>
      </w:r>
      <w:r w:rsidRPr="00AC77DF">
        <w:t>條第</w:t>
      </w:r>
      <w:r w:rsidRPr="00AC77DF">
        <w:t>1</w:t>
      </w:r>
      <w:r w:rsidRPr="00AC77DF">
        <w:t>項規定的人身安全權產生重疊。人身安全權的範圍可以說更廣一些，因為它還涉及不屬於生命威脅的傷害。是以，生存權除包含上開生命權外，亦應將人身安全的概念納入，始得完整。</w:t>
      </w:r>
    </w:p>
    <w:p w:rsidR="003807A5" w:rsidRDefault="003807A5" w:rsidP="000448D6">
      <w:pPr>
        <w:pStyle w:val="1---"/>
        <w:ind w:firstLine="480"/>
        <w:rPr>
          <w:lang w:eastAsia="zh-TW"/>
        </w:rPr>
      </w:pPr>
      <w:r w:rsidRPr="00AC77DF">
        <w:t>我國憲法第</w:t>
      </w:r>
      <w:r w:rsidRPr="00AC77DF">
        <w:t>15</w:t>
      </w:r>
      <w:r w:rsidRPr="00AC77DF">
        <w:t>條規定：「人民之生存權、工作權及財產權，應予保障</w:t>
      </w:r>
      <w:r w:rsidRPr="000448D6">
        <w:rPr>
          <w:spacing w:val="-30"/>
        </w:rPr>
        <w:t>。</w:t>
      </w:r>
      <w:r w:rsidRPr="00AC77DF">
        <w:t>」</w:t>
      </w:r>
      <w:r w:rsidRPr="000448D6">
        <w:rPr>
          <w:spacing w:val="-30"/>
        </w:rPr>
        <w:t>第</w:t>
      </w:r>
      <w:r w:rsidRPr="00AC77DF">
        <w:t>15</w:t>
      </w:r>
      <w:r w:rsidRPr="000448D6">
        <w:rPr>
          <w:spacing w:val="-30"/>
        </w:rPr>
        <w:t>5</w:t>
      </w:r>
      <w:r w:rsidRPr="00AC77DF">
        <w:t>條規定</w:t>
      </w:r>
      <w:r w:rsidRPr="000448D6">
        <w:rPr>
          <w:spacing w:val="-30"/>
        </w:rPr>
        <w:t>：</w:t>
      </w:r>
      <w:r w:rsidRPr="00AC77DF">
        <w:t>「國家為謀社會福利，應實施社會保險制度。人民之老弱殘廢，無力生活，及受非常災害者，國家應予以適當之扶助與救濟</w:t>
      </w:r>
      <w:r w:rsidRPr="000448D6">
        <w:rPr>
          <w:spacing w:val="-30"/>
        </w:rPr>
        <w:t>。</w:t>
      </w:r>
      <w:r w:rsidRPr="00AC77DF">
        <w:t>」</w:t>
      </w:r>
      <w:r w:rsidRPr="000448D6">
        <w:rPr>
          <w:spacing w:val="-30"/>
        </w:rPr>
        <w:t>第</w:t>
      </w:r>
      <w:r w:rsidRPr="00AC77DF">
        <w:t>15</w:t>
      </w:r>
      <w:r w:rsidRPr="000448D6">
        <w:rPr>
          <w:spacing w:val="-30"/>
        </w:rPr>
        <w:t>6</w:t>
      </w:r>
      <w:r w:rsidRPr="00AC77DF">
        <w:t>條規定</w:t>
      </w:r>
      <w:r w:rsidRPr="000448D6">
        <w:rPr>
          <w:spacing w:val="-30"/>
        </w:rPr>
        <w:t>：</w:t>
      </w:r>
      <w:r w:rsidRPr="00AC77DF">
        <w:t>「國家為奠定民族生存發展之基礎，應保護女性，並實施婦女兒童福利政策</w:t>
      </w:r>
      <w:r w:rsidRPr="000448D6">
        <w:rPr>
          <w:spacing w:val="-30"/>
        </w:rPr>
        <w:t>。</w:t>
      </w:r>
      <w:r w:rsidRPr="00AC77DF">
        <w:t>」憲法增修條文第</w:t>
      </w:r>
      <w:r w:rsidRPr="00AC77DF">
        <w:t>10</w:t>
      </w:r>
      <w:r w:rsidRPr="00AC77DF">
        <w:t>條第</w:t>
      </w:r>
      <w:r w:rsidRPr="00AC77DF">
        <w:t>8</w:t>
      </w:r>
      <w:r w:rsidRPr="00AC77DF">
        <w:t>項規定</w:t>
      </w:r>
      <w:r w:rsidRPr="000448D6">
        <w:rPr>
          <w:spacing w:val="-30"/>
        </w:rPr>
        <w:t>：</w:t>
      </w:r>
      <w:r w:rsidRPr="00AC77DF">
        <w:t>「國家應重視社會救助、福利服務、國民就業、社會保險及醫療保健等社會福利工作，對於社會救助和國民就業等救濟性支出應優先編列</w:t>
      </w:r>
      <w:r w:rsidRPr="000448D6">
        <w:rPr>
          <w:spacing w:val="-30"/>
        </w:rPr>
        <w:t>。</w:t>
      </w:r>
      <w:r w:rsidRPr="00AC77DF">
        <w:t>」綜上，生存權的範圍包括「生活的尊嚴」及「生命的延續</w:t>
      </w:r>
      <w:r w:rsidRPr="000448D6">
        <w:rPr>
          <w:spacing w:val="-30"/>
        </w:rPr>
        <w:t>」</w:t>
      </w:r>
      <w:r w:rsidRPr="00AC77DF">
        <w:t>，含有消極防止國家侵犯生命之防禦權利，以及積極請求國家照顧人民生活保障的權利。由於社會福利亦涉及經濟社會文化權利國際公約相關規定，故本章主要探討生命延續的部分，包含生命權及人身安全兩概念，而與生活尊嚴</w:t>
      </w:r>
      <w:r w:rsidR="00271C0E">
        <w:rPr>
          <w:rFonts w:hint="eastAsia"/>
          <w:lang w:eastAsia="zh-TW"/>
        </w:rPr>
        <w:t>相關</w:t>
      </w:r>
      <w:r w:rsidRPr="00AC77DF">
        <w:t>之社會福利，則放在第十章探討。</w:t>
      </w:r>
    </w:p>
    <w:p w:rsidR="00411FA1" w:rsidRDefault="00411FA1" w:rsidP="000448D6">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3000"/>
      </w:tblGrid>
      <w:tr w:rsidR="00411FA1" w:rsidTr="00411FA1">
        <w:tc>
          <w:tcPr>
            <w:tcW w:w="3000" w:type="dxa"/>
            <w:shd w:val="clear" w:color="auto" w:fill="D9D9D9" w:themeFill="background1" w:themeFillShade="D9"/>
          </w:tcPr>
          <w:p w:rsidR="00411FA1" w:rsidRDefault="00411FA1" w:rsidP="00411FA1">
            <w:pPr>
              <w:pStyle w:val="11-"/>
              <w:spacing w:before="72" w:after="108"/>
              <w:rPr>
                <w:lang w:eastAsia="zh-TW"/>
              </w:rPr>
            </w:pPr>
            <w:bookmarkStart w:id="76" w:name="_Toc535228325"/>
            <w:bookmarkStart w:id="77" w:name="_Toc4058735"/>
            <w:r w:rsidRPr="00AC77DF">
              <w:lastRenderedPageBreak/>
              <w:t>陸軍機甲車輛墜溪案</w:t>
            </w:r>
            <w:bookmarkEnd w:id="76"/>
            <w:bookmarkEnd w:id="77"/>
          </w:p>
        </w:tc>
      </w:tr>
    </w:tbl>
    <w:p w:rsidR="00411FA1" w:rsidRPr="00AC77DF" w:rsidRDefault="00411FA1" w:rsidP="000448D6">
      <w:pPr>
        <w:pStyle w:val="1---"/>
        <w:ind w:firstLine="480"/>
        <w:rPr>
          <w:lang w:eastAsia="zh-TW"/>
        </w:rPr>
      </w:pPr>
    </w:p>
    <w:tbl>
      <w:tblPr>
        <w:tblStyle w:val="aff5"/>
        <w:tblW w:w="4777" w:type="pct"/>
        <w:tblInd w:w="113" w:type="dxa"/>
        <w:tblLook w:val="04A0" w:firstRow="1" w:lastRow="0" w:firstColumn="1" w:lastColumn="0" w:noHBand="0" w:noVBand="1"/>
      </w:tblPr>
      <w:tblGrid>
        <w:gridCol w:w="6544"/>
      </w:tblGrid>
      <w:tr w:rsidR="00DA7A7D" w:rsidTr="00411FA1">
        <w:tc>
          <w:tcPr>
            <w:tcW w:w="5000" w:type="pct"/>
          </w:tcPr>
          <w:p w:rsidR="00DA7A7D" w:rsidRPr="00AC77DF" w:rsidRDefault="00DA7A7D" w:rsidP="00411FA1">
            <w:pPr>
              <w:spacing w:line="360" w:lineRule="exact"/>
              <w:ind w:left="365" w:hanging="365"/>
              <w:jc w:val="both"/>
              <w:rPr>
                <w:lang w:val="x-none"/>
              </w:rPr>
            </w:pPr>
            <w:r w:rsidRPr="00AC77DF">
              <w:rPr>
                <w:b/>
                <w:lang w:val="x-none"/>
              </w:rPr>
              <w:t>相關國際人權公約：</w:t>
            </w:r>
            <w:r w:rsidRPr="00AC77DF">
              <w:t>公民與政治權利國際公約第</w:t>
            </w:r>
            <w:r w:rsidRPr="00AC77DF">
              <w:t>6</w:t>
            </w:r>
            <w:r w:rsidRPr="00AC77DF">
              <w:t>條</w:t>
            </w:r>
          </w:p>
          <w:p w:rsidR="00DA7A7D" w:rsidRPr="00AC77DF" w:rsidRDefault="00DA7A7D" w:rsidP="00411FA1">
            <w:pPr>
              <w:spacing w:line="360" w:lineRule="exact"/>
              <w:ind w:left="365" w:hanging="365"/>
              <w:jc w:val="both"/>
              <w:rPr>
                <w:b/>
                <w:lang w:val="x-none"/>
              </w:rPr>
            </w:pPr>
            <w:r w:rsidRPr="00AC77DF">
              <w:rPr>
                <w:b/>
              </w:rPr>
              <w:t>公民與政治權利國際公約</w:t>
            </w:r>
            <w:r w:rsidRPr="00AC77DF">
              <w:rPr>
                <w:b/>
                <w:lang w:val="x-none"/>
              </w:rPr>
              <w:t>第</w:t>
            </w:r>
            <w:r w:rsidRPr="00AC77DF">
              <w:rPr>
                <w:b/>
                <w:lang w:val="x-none"/>
              </w:rPr>
              <w:t>6</w:t>
            </w:r>
            <w:r w:rsidRPr="00AC77DF">
              <w:rPr>
                <w:b/>
                <w:lang w:val="x-none"/>
              </w:rPr>
              <w:t>條</w:t>
            </w:r>
          </w:p>
          <w:p w:rsidR="00DA7A7D" w:rsidRPr="00AC77DF" w:rsidRDefault="00DA7A7D" w:rsidP="00393701">
            <w:pPr>
              <w:pStyle w:val="a2"/>
              <w:spacing w:line="360" w:lineRule="exact"/>
              <w:ind w:hangingChars="200" w:hanging="480"/>
              <w:jc w:val="both"/>
              <w:rPr>
                <w:lang w:val="x-none"/>
              </w:rPr>
            </w:pPr>
            <w:r w:rsidRPr="00AC77DF">
              <w:rPr>
                <w:lang w:val="x-none"/>
              </w:rPr>
              <w:t>一、人人皆有天賦之生存權。此種權利應受法律保障。任何人之生命不得無理剝奪。</w:t>
            </w:r>
          </w:p>
          <w:p w:rsidR="00DA7A7D" w:rsidRPr="00AC77DF" w:rsidRDefault="00DA7A7D" w:rsidP="00393701">
            <w:pPr>
              <w:spacing w:line="360" w:lineRule="exact"/>
              <w:ind w:left="480" w:hangingChars="200" w:hanging="480"/>
              <w:jc w:val="both"/>
              <w:rPr>
                <w:lang w:val="x-none"/>
              </w:rPr>
            </w:pPr>
            <w:r w:rsidRPr="00AC77DF">
              <w:rPr>
                <w:lang w:val="x-none"/>
              </w:rPr>
              <w:t>二、凡未廢除死刑之國家，非犯情節最重大之罪，且依照犯罪時有效並與本公約規定及防止及懲治殘害人群罪公約不牴觸之法律，不得科處死刑。死刑非依管轄法院終局判決，不得執行。</w:t>
            </w:r>
          </w:p>
          <w:p w:rsidR="00DA7A7D" w:rsidRPr="00AC77DF" w:rsidRDefault="00DA7A7D" w:rsidP="00393701">
            <w:pPr>
              <w:spacing w:line="360" w:lineRule="exact"/>
              <w:ind w:left="480" w:hangingChars="200" w:hanging="480"/>
              <w:jc w:val="both"/>
              <w:rPr>
                <w:lang w:val="x-none"/>
              </w:rPr>
            </w:pPr>
            <w:r w:rsidRPr="00AC77DF">
              <w:rPr>
                <w:lang w:val="x-none"/>
              </w:rPr>
              <w:t>三、生命之剝奪構成殘害人群罪時，本公約締約國公認本條不得認為授權任何締約國以任何方式減免其依防止及懲治殘害人群罪公約規定所負之任何義務。</w:t>
            </w:r>
          </w:p>
          <w:p w:rsidR="00DA7A7D" w:rsidRPr="00AC77DF" w:rsidRDefault="00DA7A7D" w:rsidP="00393701">
            <w:pPr>
              <w:spacing w:line="360" w:lineRule="exact"/>
              <w:ind w:left="480" w:hangingChars="200" w:hanging="480"/>
              <w:jc w:val="both"/>
              <w:rPr>
                <w:lang w:val="x-none"/>
              </w:rPr>
            </w:pPr>
            <w:r w:rsidRPr="00AC77DF">
              <w:rPr>
                <w:lang w:val="x-none"/>
              </w:rPr>
              <w:t>四、受死刑宣告者，有請求特赦或減刑之權。一切判處死刑之案件均得邀大赦、特赦或減刑。</w:t>
            </w:r>
          </w:p>
          <w:p w:rsidR="00DA7A7D" w:rsidRPr="00AC77DF" w:rsidRDefault="00DA7A7D" w:rsidP="00393701">
            <w:pPr>
              <w:spacing w:line="360" w:lineRule="exact"/>
              <w:ind w:left="480" w:hangingChars="200" w:hanging="480"/>
              <w:jc w:val="both"/>
              <w:rPr>
                <w:lang w:val="x-none"/>
              </w:rPr>
            </w:pPr>
            <w:r w:rsidRPr="00AC77DF">
              <w:rPr>
                <w:lang w:val="x-none"/>
              </w:rPr>
              <w:t>五、未滿十八歲之人犯罪，不得判處死刑；懷胎婦女被判死刑，不得執行其刑。</w:t>
            </w:r>
          </w:p>
          <w:p w:rsidR="00DA7A7D" w:rsidRDefault="00DA7A7D" w:rsidP="00393701">
            <w:pPr>
              <w:spacing w:line="360" w:lineRule="exact"/>
              <w:ind w:left="480" w:hangingChars="200" w:hanging="480"/>
              <w:jc w:val="distribute"/>
            </w:pPr>
            <w:r w:rsidRPr="00AC77DF">
              <w:rPr>
                <w:lang w:val="x-none"/>
              </w:rPr>
              <w:t>六、</w:t>
            </w:r>
            <w:r w:rsidRPr="00393701">
              <w:rPr>
                <w:spacing w:val="-4"/>
                <w:lang w:val="x-none"/>
              </w:rPr>
              <w:t>本公約締約國不得援引本條，而延緩或阻止死刑之廢除。</w:t>
            </w:r>
          </w:p>
        </w:tc>
      </w:tr>
    </w:tbl>
    <w:p w:rsidR="000A54A3" w:rsidRDefault="000A54A3" w:rsidP="000A54A3">
      <w:pPr>
        <w:pStyle w:val="1---"/>
        <w:ind w:firstLine="480"/>
      </w:pPr>
    </w:p>
    <w:p w:rsidR="003807A5" w:rsidRPr="00AC77DF" w:rsidRDefault="000A54A3" w:rsidP="000A54A3">
      <w:pPr>
        <w:pStyle w:val="afff1"/>
        <w:spacing w:before="360" w:after="360"/>
      </w:pPr>
      <w:r>
        <w:rPr>
          <w:rFonts w:hint="eastAsia"/>
        </w:rPr>
        <w:t>(一)</w:t>
      </w:r>
      <w:r w:rsidR="003807A5" w:rsidRPr="00AC77DF">
        <w:t>案情簡述</w:t>
      </w:r>
    </w:p>
    <w:p w:rsidR="003807A5" w:rsidRPr="00AC77DF" w:rsidRDefault="003807A5" w:rsidP="002B4E20">
      <w:pPr>
        <w:pStyle w:val="1---"/>
        <w:ind w:firstLine="480"/>
        <w:rPr>
          <w:szCs w:val="24"/>
        </w:rPr>
      </w:pPr>
      <w:r w:rsidRPr="00AC77DF">
        <w:t>繼陸軍金門防衛指揮部</w:t>
      </w:r>
      <w:r w:rsidR="00271C0E">
        <w:rPr>
          <w:rFonts w:hint="eastAsia"/>
          <w:lang w:eastAsia="zh-TW"/>
        </w:rPr>
        <w:t>（簡稱金防部）</w:t>
      </w:r>
      <w:r w:rsidRPr="00AC77DF">
        <w:t>於</w:t>
      </w:r>
      <w:r w:rsidRPr="00AC77DF">
        <w:t>104</w:t>
      </w:r>
      <w:r w:rsidRPr="00AC77DF">
        <w:t>年</w:t>
      </w:r>
      <w:r w:rsidRPr="00AC77DF">
        <w:t>11</w:t>
      </w:r>
      <w:r w:rsidRPr="00AC77DF">
        <w:t>月發生</w:t>
      </w:r>
      <w:r w:rsidRPr="00AC77DF">
        <w:t>CM21</w:t>
      </w:r>
      <w:r w:rsidRPr="00AC77DF">
        <w:t>裝甲運兵車因暴衝後墜湖，</w:t>
      </w:r>
      <w:r w:rsidRPr="00AC77DF">
        <w:t>2</w:t>
      </w:r>
      <w:r w:rsidRPr="00AC77DF">
        <w:t>名官兵罹難後，陸軍</w:t>
      </w:r>
      <w:r w:rsidRPr="00AC77DF">
        <w:t>564</w:t>
      </w:r>
      <w:r w:rsidRPr="00AC77DF">
        <w:t>旅</w:t>
      </w:r>
      <w:r w:rsidRPr="00AC77DF">
        <w:lastRenderedPageBreak/>
        <w:t>1</w:t>
      </w:r>
      <w:r w:rsidRPr="00AC77DF">
        <w:t>輛</w:t>
      </w:r>
      <w:r w:rsidRPr="00AC77DF">
        <w:t>CM11</w:t>
      </w:r>
      <w:r w:rsidRPr="00AC77DF">
        <w:t>勇虎式戰車於</w:t>
      </w:r>
      <w:r w:rsidRPr="00AC77DF">
        <w:t>105</w:t>
      </w:r>
      <w:r w:rsidRPr="00AC77DF">
        <w:t>年</w:t>
      </w:r>
      <w:r w:rsidRPr="00AC77DF">
        <w:t>8</w:t>
      </w:r>
      <w:r w:rsidRPr="00AC77DF">
        <w:t>月</w:t>
      </w:r>
      <w:r w:rsidRPr="00AC77DF">
        <w:t>16</w:t>
      </w:r>
      <w:r w:rsidRPr="00AC77DF">
        <w:t>日再度發生墜溪意外，致</w:t>
      </w:r>
      <w:r w:rsidRPr="00AC77DF">
        <w:t>4</w:t>
      </w:r>
      <w:r w:rsidRPr="00AC77DF">
        <w:t>死</w:t>
      </w:r>
      <w:r w:rsidRPr="00AC77DF">
        <w:t>1</w:t>
      </w:r>
      <w:r w:rsidRPr="00AC77DF">
        <w:t>輕傷慘劇。究陸軍兩度發生事故原因為何？事故發生與採購弊案有無關聯？死傷官兵之撫卹與照顧是否妥適？監察委員認有深入瞭解之必要，而立案調查。</w:t>
      </w:r>
    </w:p>
    <w:p w:rsidR="003807A5" w:rsidRPr="00AC77DF" w:rsidRDefault="008703C1" w:rsidP="008703C1">
      <w:pPr>
        <w:pStyle w:val="afff1"/>
        <w:spacing w:before="360" w:after="360"/>
      </w:pPr>
      <w:r>
        <w:rPr>
          <w:rFonts w:hint="eastAsia"/>
        </w:rPr>
        <w:t>(二)</w:t>
      </w:r>
      <w:r w:rsidR="003807A5" w:rsidRPr="00AC77DF">
        <w:t>監察院調查發現</w:t>
      </w:r>
    </w:p>
    <w:p w:rsidR="003807A5" w:rsidRPr="00AC77DF" w:rsidRDefault="00682251" w:rsidP="00D92DAE">
      <w:pPr>
        <w:pStyle w:val="1--13"/>
        <w:spacing w:before="180" w:after="180"/>
      </w:pPr>
      <w:r w:rsidRPr="008E1832">
        <w:rPr>
          <w:rFonts w:hint="eastAsia"/>
        </w:rPr>
        <w:t>˙</w:t>
      </w:r>
      <w:r w:rsidR="003807A5" w:rsidRPr="00AC77DF">
        <w:t>未深入探究釐清裝甲運兵車墜湖原因</w:t>
      </w:r>
    </w:p>
    <w:p w:rsidR="003807A5" w:rsidRPr="00AC77DF" w:rsidRDefault="003807A5" w:rsidP="002B4E20">
      <w:pPr>
        <w:pStyle w:val="1---"/>
        <w:ind w:firstLine="480"/>
      </w:pPr>
      <w:r w:rsidRPr="00AC77DF">
        <w:t>金防部</w:t>
      </w:r>
      <w:r w:rsidRPr="00AC77DF">
        <w:t>CM21</w:t>
      </w:r>
      <w:r w:rsidRPr="00AC77DF">
        <w:t>裝甲運兵車於</w:t>
      </w:r>
      <w:r w:rsidRPr="00AC77DF">
        <w:t>104</w:t>
      </w:r>
      <w:r w:rsidRPr="00AC77DF">
        <w:t>年</w:t>
      </w:r>
      <w:r w:rsidRPr="00AC77DF">
        <w:t>11</w:t>
      </w:r>
      <w:r w:rsidRPr="00AC77DF">
        <w:t>月</w:t>
      </w:r>
      <w:r w:rsidRPr="00AC77DF">
        <w:t>14</w:t>
      </w:r>
      <w:r w:rsidRPr="00AC77DF">
        <w:t>日執行戰備返防任務途中墜湖，車長王</w:t>
      </w:r>
      <w:r w:rsidR="00D36441" w:rsidRPr="00937E63">
        <w:rPr>
          <w:rFonts w:asciiTheme="majorEastAsia" w:eastAsiaTheme="majorEastAsia" w:hAnsiTheme="majorEastAsia"/>
        </w:rPr>
        <w:t>○○</w:t>
      </w:r>
      <w:r w:rsidRPr="00AC77DF">
        <w:t>及駕駛黃</w:t>
      </w:r>
      <w:r w:rsidR="00D36441" w:rsidRPr="00937E63">
        <w:rPr>
          <w:rFonts w:asciiTheme="majorEastAsia" w:eastAsiaTheme="majorEastAsia" w:hAnsiTheme="majorEastAsia"/>
        </w:rPr>
        <w:t>○○</w:t>
      </w:r>
      <w:r w:rsidRPr="00AC77DF">
        <w:t>慘遭溺斃。目擊證人於警局稱</w:t>
      </w:r>
      <w:r w:rsidRPr="008703C1">
        <w:rPr>
          <w:spacing w:val="-30"/>
        </w:rPr>
        <w:t>：</w:t>
      </w:r>
      <w:r w:rsidRPr="00AC77DF">
        <w:t>「裝甲運兵車突然右轉先撞倒行道樹後就往太湖內衝去</w:t>
      </w:r>
      <w:r w:rsidRPr="008703C1">
        <w:rPr>
          <w:spacing w:val="-30"/>
        </w:rPr>
        <w:t>」、</w:t>
      </w:r>
      <w:r w:rsidRPr="00AC77DF">
        <w:t>「王</w:t>
      </w:r>
      <w:r w:rsidR="00D36441" w:rsidRPr="00937E63">
        <w:rPr>
          <w:rFonts w:asciiTheme="majorEastAsia" w:eastAsiaTheme="majorEastAsia" w:hAnsiTheme="majorEastAsia"/>
        </w:rPr>
        <w:t>○○</w:t>
      </w:r>
      <w:r w:rsidRPr="00AC77DF">
        <w:t>及黃</w:t>
      </w:r>
      <w:r w:rsidR="00D36441" w:rsidRPr="00937E63">
        <w:rPr>
          <w:rFonts w:asciiTheme="majorEastAsia" w:eastAsiaTheme="majorEastAsia" w:hAnsiTheme="majorEastAsia"/>
        </w:rPr>
        <w:t>○○</w:t>
      </w:r>
      <w:r w:rsidRPr="00AC77DF">
        <w:t>已離開座位爬上甲車頂上求救，並呼喊說左手拉柄卡死，無法煞車</w:t>
      </w:r>
      <w:r w:rsidRPr="008703C1">
        <w:rPr>
          <w:spacing w:val="-30"/>
        </w:rPr>
        <w:t>」、</w:t>
      </w:r>
      <w:r w:rsidRPr="00AC77DF">
        <w:t>「他們回說不會游泳」等語。關於本件事故原因，福建金門地方檢察署委託鑑定認為應可排除「機械故障</w:t>
      </w:r>
      <w:r w:rsidRPr="008703C1">
        <w:rPr>
          <w:spacing w:val="-30"/>
        </w:rPr>
        <w:t>」</w:t>
      </w:r>
      <w:r w:rsidRPr="00AC77DF">
        <w:t>，只剩「人為疏失」及「不可抗力</w:t>
      </w:r>
      <w:r w:rsidRPr="008703C1">
        <w:rPr>
          <w:spacing w:val="-30"/>
        </w:rPr>
        <w:t>」</w:t>
      </w:r>
      <w:r w:rsidRPr="00AC77DF">
        <w:t>，當日並無天災，很可能係屬人為疏失。陸軍司令部於該署查無他殺嫌疑將案件簽結後，並未向該署調閱相關卷證，亦未詢問相關證人及調查相關物證，對本案究竟係何原因造成，未能深入探究釐清，致使肇事原因迄今未明，相關疏失未能全盤檢討改進。</w:t>
      </w:r>
    </w:p>
    <w:p w:rsidR="003807A5" w:rsidRPr="00AC77DF" w:rsidRDefault="00682251" w:rsidP="00D92DAE">
      <w:pPr>
        <w:pStyle w:val="1--13"/>
        <w:spacing w:before="180" w:after="180"/>
      </w:pPr>
      <w:r w:rsidRPr="008E1832">
        <w:rPr>
          <w:rFonts w:hint="eastAsia"/>
        </w:rPr>
        <w:t>˙</w:t>
      </w:r>
      <w:r w:rsidR="003807A5" w:rsidRPr="00AC77DF">
        <w:t>未嚴格訓練戰車人員緊急應變能力</w:t>
      </w:r>
    </w:p>
    <w:p w:rsidR="003807A5" w:rsidRPr="00AC77DF" w:rsidRDefault="003807A5" w:rsidP="002B4E20">
      <w:pPr>
        <w:pStyle w:val="1---"/>
        <w:ind w:firstLine="480"/>
      </w:pPr>
      <w:r w:rsidRPr="00AC77DF">
        <w:t>105</w:t>
      </w:r>
      <w:r w:rsidRPr="00AC77DF">
        <w:t>年</w:t>
      </w:r>
      <w:r w:rsidRPr="00AC77DF">
        <w:t>8</w:t>
      </w:r>
      <w:r w:rsidRPr="00AC77DF">
        <w:t>月</w:t>
      </w:r>
      <w:r w:rsidRPr="00AC77DF">
        <w:t>16</w:t>
      </w:r>
      <w:r w:rsidRPr="00AC77DF">
        <w:t>日陸軍裝甲</w:t>
      </w:r>
      <w:r w:rsidRPr="00AC77DF">
        <w:t>564</w:t>
      </w:r>
      <w:r w:rsidRPr="00AC77DF">
        <w:t>旅</w:t>
      </w:r>
      <w:r w:rsidRPr="00AC77DF">
        <w:t>CM11</w:t>
      </w:r>
      <w:r w:rsidRPr="00AC77DF">
        <w:t>戰車演習，第</w:t>
      </w:r>
      <w:r w:rsidRPr="00AC77DF">
        <w:t>5</w:t>
      </w:r>
      <w:r w:rsidRPr="00AC77DF">
        <w:t>輛戰車翻落網紗溪，除</w:t>
      </w:r>
      <w:r w:rsidRPr="00AC77DF">
        <w:t>24</w:t>
      </w:r>
      <w:r w:rsidRPr="00AC77DF">
        <w:t>歲駕駛</w:t>
      </w:r>
      <w:r w:rsidR="00021D2E">
        <w:t>楊炎霖</w:t>
      </w:r>
      <w:r w:rsidRPr="00AC77DF">
        <w:t>脫困外，</w:t>
      </w:r>
      <w:r w:rsidRPr="00AC77DF">
        <w:t>24</w:t>
      </w:r>
      <w:r w:rsidRPr="00AC77DF">
        <w:t>歲車長、</w:t>
      </w:r>
      <w:r w:rsidRPr="00AC77DF">
        <w:t>30</w:t>
      </w:r>
      <w:r w:rsidRPr="00AC77DF">
        <w:t>歲安全軍官、</w:t>
      </w:r>
      <w:r w:rsidRPr="00AC77DF">
        <w:t>23</w:t>
      </w:r>
      <w:r w:rsidRPr="00AC77DF">
        <w:t>歲裝填手及</w:t>
      </w:r>
      <w:r w:rsidRPr="00AC77DF">
        <w:t>24</w:t>
      </w:r>
      <w:r w:rsidRPr="00AC77DF">
        <w:t>歲射擊士均溺斃溪中。經臺灣</w:t>
      </w:r>
      <w:r w:rsidRPr="00AC77DF">
        <w:lastRenderedPageBreak/>
        <w:t>屏東地方檢察署委託鑑定及現場勘驗測試結果，認為事故原因可排除「機械故障</w:t>
      </w:r>
      <w:r w:rsidRPr="008703C1">
        <w:rPr>
          <w:spacing w:val="-30"/>
        </w:rPr>
        <w:t>」</w:t>
      </w:r>
      <w:r w:rsidRPr="00AC77DF">
        <w:t>。</w:t>
      </w:r>
      <w:r w:rsidR="00021D2E">
        <w:t>楊炎霖</w:t>
      </w:r>
      <w:r w:rsidRPr="00AC77DF">
        <w:t>在坡頂經由車長向連長</w:t>
      </w:r>
      <w:r w:rsidR="00021D2E">
        <w:t>李永皓</w:t>
      </w:r>
      <w:r w:rsidRPr="00AC77DF">
        <w:t>報告煞車異常時，</w:t>
      </w:r>
      <w:r w:rsidR="00021D2E">
        <w:t>李永皓</w:t>
      </w:r>
      <w:r w:rsidRPr="00AC77DF">
        <w:t>未查明煞車壓力數值是否已達應依規定停車待修狀況，即下達繼續前行指令。</w:t>
      </w:r>
      <w:r w:rsidR="00021D2E">
        <w:t>楊炎霖</w:t>
      </w:r>
      <w:r w:rsidRPr="00AC77DF">
        <w:t>則有駕駛戰車超過可順利左轉位置、未倒車直接左轉、踩油門左轉同時踩煞車、戰車右側履帶輾壓</w:t>
      </w:r>
      <w:r w:rsidRPr="00AC77DF">
        <w:t>2</w:t>
      </w:r>
      <w:r w:rsidRPr="00AC77DF">
        <w:t>座護欄、將檔位打入空檔而非倒車檔、踩踏油門往左原地轉向等疏失，致生本件事故。該署亦為相同之認定，以其涉犯陸海空軍刑法第</w:t>
      </w:r>
      <w:r w:rsidRPr="00AC77DF">
        <w:t>76</w:t>
      </w:r>
      <w:r w:rsidRPr="00AC77DF">
        <w:t>條第</w:t>
      </w:r>
      <w:r w:rsidRPr="00AC77DF">
        <w:t>1</w:t>
      </w:r>
      <w:r w:rsidRPr="00AC77DF">
        <w:t>項第</w:t>
      </w:r>
      <w:r w:rsidRPr="00AC77DF">
        <w:t>5</w:t>
      </w:r>
      <w:r w:rsidRPr="00AC77DF">
        <w:t>款、刑法第</w:t>
      </w:r>
      <w:r w:rsidRPr="00AC77DF">
        <w:t>276</w:t>
      </w:r>
      <w:r w:rsidRPr="00AC77DF">
        <w:t>條第</w:t>
      </w:r>
      <w:r w:rsidRPr="00AC77DF">
        <w:t>2</w:t>
      </w:r>
      <w:r w:rsidRPr="00AC77DF">
        <w:t>項之業務過失致死等罪嫌，提起公訴在案。陸軍司令部未於事故發生前嚴格訓練戰車人員之緊急應變能力，於事故發生後未深入查明相關人員之違失，進行澈底檢討改進及懲處作為。</w:t>
      </w:r>
    </w:p>
    <w:p w:rsidR="003807A5" w:rsidRPr="00AC77DF" w:rsidRDefault="00682251" w:rsidP="00D92DAE">
      <w:pPr>
        <w:pStyle w:val="1--13"/>
        <w:spacing w:before="180" w:after="180"/>
      </w:pPr>
      <w:r w:rsidRPr="008E1832">
        <w:rPr>
          <w:rFonts w:hint="eastAsia"/>
        </w:rPr>
        <w:t>˙</w:t>
      </w:r>
      <w:r w:rsidR="003807A5" w:rsidRPr="00AC77DF">
        <w:t>戰車無線電通訊裝備老舊</w:t>
      </w:r>
    </w:p>
    <w:p w:rsidR="003807A5" w:rsidRPr="00AC77DF" w:rsidRDefault="00021D2E" w:rsidP="002B4E20">
      <w:pPr>
        <w:pStyle w:val="1---"/>
        <w:ind w:firstLine="480"/>
      </w:pPr>
      <w:r w:rsidRPr="00021D2E">
        <w:rPr>
          <w:rFonts w:hint="eastAsia"/>
        </w:rPr>
        <w:t>陸軍司令部明知無線電通訊裝備為戰車指揮、掌握之重要手段，其現有戰車之制式通訊裝備效能欠佳，容易受到天候、地形等影響，卻未積極提升裝備性能，且容許車長以其自購未經品質驗證之民用型無線電作為備援手段，致</w:t>
      </w:r>
      <w:r w:rsidRPr="008703C1">
        <w:rPr>
          <w:rFonts w:hint="eastAsia"/>
          <w:spacing w:val="-16"/>
        </w:rPr>
        <w:t>使</w:t>
      </w:r>
      <w:r w:rsidRPr="00021D2E">
        <w:rPr>
          <w:rFonts w:hint="eastAsia"/>
        </w:rPr>
        <w:t>CM1</w:t>
      </w:r>
      <w:r w:rsidRPr="008703C1">
        <w:rPr>
          <w:rFonts w:hint="eastAsia"/>
          <w:spacing w:val="-16"/>
        </w:rPr>
        <w:t>1</w:t>
      </w:r>
      <w:r w:rsidRPr="00021D2E">
        <w:rPr>
          <w:rFonts w:hint="eastAsia"/>
        </w:rPr>
        <w:t>戰車墜溪事故之車長吳得瑋在往網紗溪橋下坡行駛時，雖用民用型無線電呼叫前方第</w:t>
      </w:r>
      <w:r w:rsidRPr="00021D2E">
        <w:rPr>
          <w:rFonts w:hint="eastAsia"/>
        </w:rPr>
        <w:t>4</w:t>
      </w:r>
      <w:r w:rsidRPr="00021D2E">
        <w:rPr>
          <w:rFonts w:hint="eastAsia"/>
        </w:rPr>
        <w:t>輛戰車車長張嵇惟儘速將戰車往前開，張嵇惟卻因通訊不良而未收到訊息。</w:t>
      </w:r>
    </w:p>
    <w:p w:rsidR="003807A5" w:rsidRPr="00AC77DF" w:rsidRDefault="00682251" w:rsidP="00D92DAE">
      <w:pPr>
        <w:pStyle w:val="1--13"/>
        <w:spacing w:before="180" w:after="180"/>
      </w:pPr>
      <w:r w:rsidRPr="008E1832">
        <w:rPr>
          <w:rFonts w:hint="eastAsia"/>
        </w:rPr>
        <w:t>˙</w:t>
      </w:r>
      <w:r w:rsidR="003807A5" w:rsidRPr="00AC77DF">
        <w:t>設備與訓練有待提升</w:t>
      </w:r>
    </w:p>
    <w:p w:rsidR="003807A5" w:rsidRPr="00AC77DF" w:rsidRDefault="003807A5" w:rsidP="002B4E20">
      <w:pPr>
        <w:pStyle w:val="1---"/>
        <w:ind w:firstLine="480"/>
      </w:pPr>
      <w:r w:rsidRPr="00AC77DF">
        <w:t>國防部陸軍現役各型戰甲車現有數</w:t>
      </w:r>
      <w:r w:rsidRPr="00AC77DF">
        <w:t>3,449</w:t>
      </w:r>
      <w:r w:rsidRPr="00AC77DF">
        <w:t>輛，除</w:t>
      </w:r>
      <w:r w:rsidRPr="00AC77DF">
        <w:t>CM33</w:t>
      </w:r>
      <w:r w:rsidRPr="00AC77DF">
        <w:t>雲豹輪型甲車外，其餘車齡均已逾二、三十年，十分老舊。兵整</w:t>
      </w:r>
      <w:r w:rsidRPr="00AC77DF">
        <w:lastRenderedPageBreak/>
        <w:t>中心自</w:t>
      </w:r>
      <w:r w:rsidRPr="00AC77DF">
        <w:t>91</w:t>
      </w:r>
      <w:r w:rsidR="00F9266D">
        <w:rPr>
          <w:rFonts w:hint="eastAsia"/>
          <w:lang w:eastAsia="zh-TW"/>
        </w:rPr>
        <w:t>～</w:t>
      </w:r>
      <w:r w:rsidRPr="00AC77DF">
        <w:t>104</w:t>
      </w:r>
      <w:r w:rsidRPr="00AC77DF">
        <w:t>年採專案預算執行延壽案，</w:t>
      </w:r>
      <w:r w:rsidRPr="00AC77DF">
        <w:t>104</w:t>
      </w:r>
      <w:r w:rsidRPr="00AC77DF">
        <w:t>年延壽案結束後，每年僅翻修</w:t>
      </w:r>
      <w:r w:rsidRPr="00AC77DF">
        <w:t>70</w:t>
      </w:r>
      <w:r w:rsidRPr="00AC77DF">
        <w:t>輛，各型戰甲車是否能維持戰力及保障乘員安全，實令人擔憂。另該部為避免履帶車輛損害柏油路面及造成交通事故，據統計</w:t>
      </w:r>
      <w:r w:rsidRPr="00AC77DF">
        <w:t>96</w:t>
      </w:r>
      <w:r w:rsidR="008703C1">
        <w:rPr>
          <w:rFonts w:hint="eastAsia"/>
          <w:lang w:eastAsia="zh-TW"/>
        </w:rPr>
        <w:t>～</w:t>
      </w:r>
      <w:r w:rsidRPr="00AC77DF">
        <w:t>105</w:t>
      </w:r>
      <w:r w:rsidRPr="00AC77DF">
        <w:t>年裝甲部隊營內訓練時數為</w:t>
      </w:r>
      <w:r w:rsidRPr="00AC77DF">
        <w:t>24,275</w:t>
      </w:r>
      <w:r w:rsidRPr="00AC77DF">
        <w:t>小時，營外訓練時數僅</w:t>
      </w:r>
      <w:r w:rsidRPr="00AC77DF">
        <w:t>155</w:t>
      </w:r>
      <w:r w:rsidRPr="00AC77DF">
        <w:t>小時且僅在外島實施，本島並未實施營外訓練，</w:t>
      </w:r>
      <w:r w:rsidR="004D0068">
        <w:t>顯示</w:t>
      </w:r>
      <w:r w:rsidRPr="00AC77DF">
        <w:t>營外訓練時數太少，且相較於</w:t>
      </w:r>
      <w:r w:rsidR="00021D2E">
        <w:t>楊炎霖</w:t>
      </w:r>
      <w:r w:rsidRPr="00AC77DF">
        <w:t>駕駛戰車</w:t>
      </w:r>
      <w:r w:rsidRPr="00AC77DF">
        <w:t>1</w:t>
      </w:r>
      <w:r w:rsidRPr="00AC77DF">
        <w:t>年訓練時數</w:t>
      </w:r>
      <w:r w:rsidRPr="00AC77DF">
        <w:t>170</w:t>
      </w:r>
      <w:r w:rsidRPr="00AC77DF">
        <w:t>小時，上開營內訓練時數明顯低估，顯有錯誤。國防部宜就維修成本、經濟效益及國家戰略目標綜合審慎考量，務實檢討車輛翻修、部隊教育訓練方法，精進戰甲車駕駛專業能力，期建構新一代裝甲戰力。另鑑於金防部</w:t>
      </w:r>
      <w:r w:rsidRPr="00AC77DF">
        <w:t>CM21</w:t>
      </w:r>
      <w:r w:rsidRPr="00AC77DF">
        <w:t>甲車及陸軍裝甲</w:t>
      </w:r>
      <w:r w:rsidRPr="00AC77DF">
        <w:t>564</w:t>
      </w:r>
      <w:r w:rsidRPr="00AC77DF">
        <w:t>旅</w:t>
      </w:r>
      <w:r w:rsidRPr="00AC77DF">
        <w:t>CM11</w:t>
      </w:r>
      <w:r w:rsidRPr="00AC77DF">
        <w:t>戰車相繼發生不幸事件，國防部宜加強部隊官兵游泳逃生訓練及對當時在場搶救官兵進行後續心理輔導治療。</w:t>
      </w:r>
    </w:p>
    <w:p w:rsidR="003807A5" w:rsidRPr="00AC77DF" w:rsidRDefault="003807A5" w:rsidP="002B4E20">
      <w:pPr>
        <w:pStyle w:val="1---"/>
        <w:ind w:firstLine="480"/>
        <w:rPr>
          <w:szCs w:val="24"/>
        </w:rPr>
      </w:pPr>
      <w:r w:rsidRPr="00AC77DF">
        <w:t>依據本案調查意見</w:t>
      </w:r>
      <w:r w:rsidRPr="00F85A65">
        <w:rPr>
          <w:rStyle w:val="aff2"/>
        </w:rPr>
        <w:footnoteReference w:id="43"/>
      </w:r>
      <w:r w:rsidRPr="00AC77DF">
        <w:t>，監察院糾正並函請陸軍司令部議處相關失職人員；另請國防部確實檢討改進見復。</w:t>
      </w:r>
    </w:p>
    <w:p w:rsidR="003807A5" w:rsidRPr="00AC77DF" w:rsidRDefault="008703C1" w:rsidP="008703C1">
      <w:pPr>
        <w:pStyle w:val="afff1"/>
        <w:spacing w:before="360" w:after="360"/>
      </w:pPr>
      <w:r>
        <w:rPr>
          <w:rFonts w:hint="eastAsia"/>
        </w:rPr>
        <w:t>(三)</w:t>
      </w:r>
      <w:r w:rsidR="003807A5" w:rsidRPr="00AC77DF">
        <w:t>政府機關改善情形</w:t>
      </w:r>
    </w:p>
    <w:p w:rsidR="003807A5" w:rsidRPr="00AC77DF" w:rsidRDefault="003807A5" w:rsidP="007373B4">
      <w:pPr>
        <w:pStyle w:val="1---"/>
        <w:ind w:leftChars="100" w:left="600" w:hangingChars="150" w:hanging="360"/>
      </w:pPr>
      <w:r w:rsidRPr="00AC77DF">
        <w:t>1</w:t>
      </w:r>
      <w:r w:rsidRPr="00AC77DF">
        <w:t>、陸軍司令部已強化營外道路駕駛訓練、緊急應變處置課程、加強官兵泳訓技能、深化行車安全教育及強化防區甲車維修種能，另核予相關失職人員記過</w:t>
      </w:r>
      <w:r w:rsidRPr="00AC77DF">
        <w:t>2</w:t>
      </w:r>
      <w:r w:rsidRPr="00AC77DF">
        <w:t>次到申誡</w:t>
      </w:r>
      <w:r w:rsidRPr="00AC77DF">
        <w:t>2</w:t>
      </w:r>
      <w:r w:rsidRPr="00AC77DF">
        <w:t>次不等之處分。裝訓部於</w:t>
      </w:r>
      <w:r w:rsidRPr="00AC77DF">
        <w:t>105</w:t>
      </w:r>
      <w:r w:rsidRPr="00AC77DF">
        <w:t>年</w:t>
      </w:r>
      <w:r w:rsidRPr="00AC77DF">
        <w:t>8</w:t>
      </w:r>
      <w:r w:rsidRPr="00AC77DF">
        <w:t>月本案肇生後，新增「戰車駕駛緊急應處作為」課程（</w:t>
      </w:r>
      <w:r w:rsidRPr="00AC77DF">
        <w:t>14</w:t>
      </w:r>
      <w:r w:rsidRPr="00AC77DF">
        <w:t>小時</w:t>
      </w:r>
      <w:r w:rsidRPr="008703C1">
        <w:rPr>
          <w:spacing w:val="-30"/>
        </w:rPr>
        <w:t>）</w:t>
      </w:r>
      <w:r w:rsidRPr="00AC77DF">
        <w:t>，強化車裝射駕緊急應</w:t>
      </w:r>
      <w:r w:rsidRPr="00AC77DF">
        <w:lastRenderedPageBreak/>
        <w:t>變能力。各兵監已完成戰、甲、砲車緊急應處作為暨非正常狀態下操作講義，預劃納入</w:t>
      </w:r>
      <w:r w:rsidRPr="00AC77DF">
        <w:t>107</w:t>
      </w:r>
      <w:r w:rsidRPr="00AC77DF">
        <w:t>年各類型部隊裝載手冊增（修）訂作業，印頒各部隊參用。</w:t>
      </w:r>
    </w:p>
    <w:p w:rsidR="003807A5" w:rsidRPr="00AC77DF" w:rsidRDefault="003807A5" w:rsidP="007373B4">
      <w:pPr>
        <w:pStyle w:val="1---"/>
        <w:ind w:leftChars="100" w:left="600" w:hangingChars="150" w:hanging="360"/>
      </w:pPr>
      <w:r w:rsidRPr="00AC77DF">
        <w:t>2</w:t>
      </w:r>
      <w:r w:rsidRPr="00AC77DF">
        <w:t>、陸軍司令部要求三軍聯訓基地完成訓場地形無線電涵蓋分析、中繼台選定及設置，以提升操演部隊通訊效能。另規劃</w:t>
      </w:r>
      <w:r w:rsidRPr="00AC77DF">
        <w:t>106</w:t>
      </w:r>
      <w:r w:rsidR="00F9266D">
        <w:rPr>
          <w:rFonts w:hint="eastAsia"/>
        </w:rPr>
        <w:t>～</w:t>
      </w:r>
      <w:r w:rsidRPr="00AC77DF">
        <w:t>108</w:t>
      </w:r>
      <w:r w:rsidRPr="00AC77DF">
        <w:t>年執行「</w:t>
      </w:r>
      <w:r w:rsidRPr="00AC77DF">
        <w:t>37</w:t>
      </w:r>
      <w:r w:rsidRPr="00AC77DF">
        <w:t>系列跳頻無線電機</w:t>
      </w:r>
      <w:r w:rsidRPr="00AC77DF">
        <w:t>A09</w:t>
      </w:r>
      <w:r w:rsidRPr="00AC77DF">
        <w:t>保密模組密式邏輯提升」及</w:t>
      </w:r>
      <w:r w:rsidRPr="00AC77DF">
        <w:t>108</w:t>
      </w:r>
      <w:r w:rsidR="00F9266D">
        <w:rPr>
          <w:rFonts w:hint="eastAsia"/>
        </w:rPr>
        <w:t>～</w:t>
      </w:r>
      <w:r w:rsidRPr="00AC77DF">
        <w:t>110</w:t>
      </w:r>
      <w:r w:rsidRPr="00AC77DF">
        <w:t>年實施「戰甲砲車車內通話系統缺裝補充」等性能提升</w:t>
      </w:r>
      <w:r w:rsidRPr="00AC77DF">
        <w:t>2</w:t>
      </w:r>
      <w:r w:rsidRPr="00AC77DF">
        <w:t>建案。有關「各型戰甲車翻修比率偏低」問題，國防部</w:t>
      </w:r>
      <w:r w:rsidR="008703C1">
        <w:t>91</w:t>
      </w:r>
      <w:r w:rsidR="008703C1">
        <w:rPr>
          <w:rFonts w:hint="eastAsia"/>
          <w:lang w:eastAsia="zh-TW"/>
        </w:rPr>
        <w:t>～</w:t>
      </w:r>
      <w:r w:rsidRPr="00AC77DF">
        <w:t>104</w:t>
      </w:r>
      <w:r w:rsidRPr="00AC77DF">
        <w:t>年度延壽案已如期完成，</w:t>
      </w:r>
      <w:r w:rsidRPr="00AC77DF">
        <w:t>105</w:t>
      </w:r>
      <w:r w:rsidRPr="00AC77DF">
        <w:t>年後檢討妥善較差裝備納入基地計畫翻修，餘運用單位保養、野戰保修完整維保能量維持，現妥善率均達部頒標準。</w:t>
      </w:r>
    </w:p>
    <w:p w:rsidR="003807A5" w:rsidRPr="00AC77DF" w:rsidRDefault="003807A5" w:rsidP="007373B4">
      <w:pPr>
        <w:pStyle w:val="1---"/>
        <w:ind w:leftChars="100" w:left="600" w:hangingChars="150" w:hanging="360"/>
      </w:pPr>
      <w:r w:rsidRPr="00AC77DF">
        <w:t>3</w:t>
      </w:r>
      <w:r w:rsidRPr="00AC77DF">
        <w:t>、對涉案官兵實施團體輔導，並由國防部南區心理衛生中心心輔官、心輔員實施安心講座宣教，共計輔導</w:t>
      </w:r>
      <w:r w:rsidRPr="00AC77DF">
        <w:t>66</w:t>
      </w:r>
      <w:r w:rsidRPr="00AC77DF">
        <w:t>員官兵，上兵</w:t>
      </w:r>
      <w:r w:rsidR="00021D2E">
        <w:t>楊炎霖</w:t>
      </w:r>
      <w:r w:rsidRPr="00AC77DF">
        <w:t>則列為「特別個案」管制。</w:t>
      </w:r>
    </w:p>
    <w:p w:rsidR="003807A5" w:rsidRPr="00AC77DF" w:rsidRDefault="008703C1" w:rsidP="008703C1">
      <w:pPr>
        <w:pStyle w:val="afff1"/>
        <w:spacing w:before="360" w:after="360"/>
      </w:pPr>
      <w:r>
        <w:rPr>
          <w:rFonts w:hint="eastAsia"/>
        </w:rPr>
        <w:t>(四)</w:t>
      </w:r>
      <w:r w:rsidR="003807A5" w:rsidRPr="00AC77DF">
        <w:t>案件進展</w:t>
      </w:r>
    </w:p>
    <w:p w:rsidR="003807A5" w:rsidRDefault="007E5B72" w:rsidP="002B4E20">
      <w:pPr>
        <w:pStyle w:val="1---"/>
        <w:ind w:firstLine="480"/>
        <w:rPr>
          <w:lang w:eastAsia="zh-TW"/>
        </w:rPr>
      </w:pPr>
      <w:r>
        <w:rPr>
          <w:rFonts w:hint="eastAsia"/>
        </w:rPr>
        <w:t>國防部已</w:t>
      </w:r>
      <w:r w:rsidRPr="007E5B72">
        <w:rPr>
          <w:rFonts w:hint="eastAsia"/>
        </w:rPr>
        <w:t>令頒陸軍相關戰甲砲車裝載手冊計機械化步兵、砲兵、裝甲部隊裝載手冊</w:t>
      </w:r>
      <w:r w:rsidR="003807A5" w:rsidRPr="00AC77DF">
        <w:t>，落實裝甲部隊後勤整備與訓練，</w:t>
      </w:r>
      <w:r>
        <w:rPr>
          <w:rFonts w:hint="eastAsia"/>
        </w:rPr>
        <w:t>爰已結案</w:t>
      </w:r>
      <w:r w:rsidR="003807A5" w:rsidRPr="00AC77DF">
        <w:t>。</w:t>
      </w:r>
    </w:p>
    <w:p w:rsidR="000E321D" w:rsidRDefault="000E321D" w:rsidP="002B4E20">
      <w:pPr>
        <w:pStyle w:val="1---"/>
        <w:ind w:firstLine="480"/>
        <w:rPr>
          <w:lang w:eastAsia="zh-TW"/>
        </w:rPr>
      </w:pPr>
    </w:p>
    <w:p w:rsidR="000E321D" w:rsidRDefault="000E321D" w:rsidP="002B4E20">
      <w:pPr>
        <w:pStyle w:val="1---"/>
        <w:ind w:firstLine="480"/>
        <w:rPr>
          <w:lang w:eastAsia="zh-TW"/>
        </w:rPr>
      </w:pPr>
    </w:p>
    <w:p w:rsidR="000E321D" w:rsidRDefault="000E321D" w:rsidP="002B4E20">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2972"/>
      </w:tblGrid>
      <w:tr w:rsidR="000E321D" w:rsidTr="000E321D">
        <w:tc>
          <w:tcPr>
            <w:tcW w:w="2972" w:type="dxa"/>
            <w:shd w:val="clear" w:color="auto" w:fill="D9D9D9" w:themeFill="background1" w:themeFillShade="D9"/>
          </w:tcPr>
          <w:p w:rsidR="000E321D" w:rsidRDefault="000E321D" w:rsidP="000E321D">
            <w:pPr>
              <w:pStyle w:val="11-"/>
              <w:spacing w:before="72" w:after="108"/>
              <w:rPr>
                <w:b/>
                <w:lang w:eastAsia="zh-TW"/>
              </w:rPr>
            </w:pPr>
            <w:bookmarkStart w:id="78" w:name="_Toc535228326"/>
            <w:bookmarkStart w:id="79" w:name="_Toc4058736"/>
            <w:r w:rsidRPr="00AC77DF">
              <w:lastRenderedPageBreak/>
              <w:t>軍中自殺個案</w:t>
            </w:r>
            <w:r w:rsidRPr="00AC77DF">
              <w:rPr>
                <w:lang w:eastAsia="zh-HK"/>
              </w:rPr>
              <w:t>之</w:t>
            </w:r>
            <w:r w:rsidRPr="00AC77DF">
              <w:t>檢討</w:t>
            </w:r>
            <w:bookmarkEnd w:id="78"/>
            <w:bookmarkEnd w:id="79"/>
          </w:p>
        </w:tc>
      </w:tr>
    </w:tbl>
    <w:p w:rsidR="000E321D" w:rsidRPr="00AC77DF" w:rsidRDefault="000E321D" w:rsidP="002B4E20">
      <w:pPr>
        <w:pStyle w:val="1---"/>
        <w:ind w:firstLine="480"/>
        <w:rPr>
          <w:b/>
          <w:lang w:eastAsia="zh-TW"/>
        </w:rPr>
      </w:pPr>
    </w:p>
    <w:tbl>
      <w:tblPr>
        <w:tblStyle w:val="aff5"/>
        <w:tblW w:w="4756" w:type="pct"/>
        <w:tblInd w:w="113" w:type="dxa"/>
        <w:tblLook w:val="04A0" w:firstRow="1" w:lastRow="0" w:firstColumn="1" w:lastColumn="0" w:noHBand="0" w:noVBand="1"/>
      </w:tblPr>
      <w:tblGrid>
        <w:gridCol w:w="6516"/>
      </w:tblGrid>
      <w:tr w:rsidR="00D43EA3" w:rsidTr="000E321D">
        <w:tc>
          <w:tcPr>
            <w:tcW w:w="5000" w:type="pct"/>
          </w:tcPr>
          <w:p w:rsidR="00D43EA3" w:rsidRPr="00AC77DF" w:rsidRDefault="00D43EA3" w:rsidP="000E321D">
            <w:pPr>
              <w:spacing w:line="360" w:lineRule="exact"/>
              <w:rPr>
                <w:lang w:val="x-none"/>
              </w:rPr>
            </w:pPr>
            <w:r w:rsidRPr="00AC77DF">
              <w:rPr>
                <w:b/>
                <w:lang w:val="x-none"/>
              </w:rPr>
              <w:t>相關國際人權公約：</w:t>
            </w:r>
            <w:r w:rsidRPr="00AC77DF">
              <w:t>經濟社會文化權利國際公約第</w:t>
            </w:r>
            <w:r w:rsidRPr="00AC77DF">
              <w:t>12</w:t>
            </w:r>
            <w:r w:rsidRPr="00AC77DF">
              <w:t>條、經濟社會文化權利國際公約第</w:t>
            </w:r>
            <w:r w:rsidRPr="00AC77DF">
              <w:t>14</w:t>
            </w:r>
            <w:r w:rsidRPr="00AC77DF">
              <w:t>號一般性意見</w:t>
            </w:r>
          </w:p>
          <w:p w:rsidR="00D43EA3" w:rsidRPr="00AC77DF" w:rsidRDefault="00D43EA3" w:rsidP="000E321D">
            <w:pPr>
              <w:spacing w:line="360" w:lineRule="exact"/>
              <w:rPr>
                <w:b/>
                <w:lang w:val="x-none"/>
              </w:rPr>
            </w:pPr>
            <w:r w:rsidRPr="00AC77DF">
              <w:rPr>
                <w:b/>
              </w:rPr>
              <w:t>經濟社會文化權利國際公約第</w:t>
            </w:r>
            <w:r w:rsidRPr="00AC77DF">
              <w:rPr>
                <w:b/>
              </w:rPr>
              <w:t>12</w:t>
            </w:r>
            <w:r w:rsidRPr="00AC77DF">
              <w:rPr>
                <w:b/>
              </w:rPr>
              <w:t>條</w:t>
            </w:r>
          </w:p>
          <w:p w:rsidR="00D43EA3" w:rsidRPr="00AC77DF" w:rsidRDefault="00D43EA3" w:rsidP="00167156">
            <w:pPr>
              <w:spacing w:line="360" w:lineRule="exact"/>
              <w:ind w:left="480" w:hangingChars="200" w:hanging="480"/>
              <w:rPr>
                <w:lang w:val="x-none"/>
              </w:rPr>
            </w:pPr>
            <w:r w:rsidRPr="00AC77DF">
              <w:rPr>
                <w:lang w:val="x-none"/>
              </w:rPr>
              <w:t>一、本公約締約國確認人人有權享受可能達到之最高標準之身體與精神健康。</w:t>
            </w:r>
          </w:p>
          <w:p w:rsidR="00D43EA3" w:rsidRPr="00AC77DF" w:rsidRDefault="00D43EA3" w:rsidP="00167156">
            <w:pPr>
              <w:spacing w:line="360" w:lineRule="exact"/>
              <w:ind w:left="480" w:hangingChars="200" w:hanging="480"/>
              <w:rPr>
                <w:lang w:val="x-none"/>
              </w:rPr>
            </w:pPr>
            <w:r w:rsidRPr="00AC77DF">
              <w:rPr>
                <w:lang w:val="x-none"/>
              </w:rPr>
              <w:t>二、本公約締約國為求充分實現此種權利所採取之步驟，應包括為達成下列目的所必要之措施：</w:t>
            </w:r>
          </w:p>
          <w:p w:rsidR="00D43EA3" w:rsidRPr="00AC77DF" w:rsidRDefault="00167156" w:rsidP="00014F9B">
            <w:pPr>
              <w:spacing w:line="360" w:lineRule="exact"/>
              <w:ind w:left="910" w:hangingChars="379" w:hanging="910"/>
              <w:jc w:val="both"/>
              <w:rPr>
                <w:lang w:val="x-none"/>
              </w:rPr>
            </w:pPr>
            <w:r>
              <w:rPr>
                <w:rFonts w:hint="eastAsia"/>
                <w:lang w:val="x-none"/>
              </w:rPr>
              <w:t xml:space="preserve">　　</w:t>
            </w:r>
            <w:r>
              <w:rPr>
                <w:rFonts w:hint="eastAsia"/>
                <w:lang w:val="x-none"/>
              </w:rPr>
              <w:t>(</w:t>
            </w:r>
            <w:r w:rsidR="00D43EA3" w:rsidRPr="00AC77DF">
              <w:rPr>
                <w:lang w:val="x-none"/>
              </w:rPr>
              <w:t>一</w:t>
            </w:r>
            <w:r>
              <w:rPr>
                <w:rFonts w:hint="eastAsia"/>
                <w:lang w:val="x-none"/>
              </w:rPr>
              <w:t>)</w:t>
            </w:r>
            <w:r w:rsidR="00D43EA3" w:rsidRPr="00AC77DF">
              <w:rPr>
                <w:lang w:val="x-none"/>
              </w:rPr>
              <w:t>設法減低死產率及嬰兒死亡率，並促進兒童之健康發育；</w:t>
            </w:r>
          </w:p>
          <w:p w:rsidR="00D43EA3" w:rsidRPr="00AC77DF" w:rsidRDefault="00167156" w:rsidP="00167156">
            <w:pPr>
              <w:spacing w:line="360" w:lineRule="exact"/>
              <w:ind w:left="910" w:hangingChars="379" w:hanging="910"/>
              <w:jc w:val="both"/>
              <w:rPr>
                <w:lang w:val="x-none"/>
              </w:rPr>
            </w:pPr>
            <w:r>
              <w:rPr>
                <w:rFonts w:hint="eastAsia"/>
                <w:lang w:val="x-none"/>
              </w:rPr>
              <w:t xml:space="preserve">　　</w:t>
            </w:r>
            <w:r>
              <w:rPr>
                <w:rFonts w:hint="eastAsia"/>
                <w:lang w:val="x-none"/>
              </w:rPr>
              <w:t>(</w:t>
            </w:r>
            <w:r w:rsidR="00D43EA3" w:rsidRPr="00AC77DF">
              <w:rPr>
                <w:lang w:val="x-none"/>
              </w:rPr>
              <w:t>二</w:t>
            </w:r>
            <w:r>
              <w:rPr>
                <w:rFonts w:hint="eastAsia"/>
                <w:lang w:val="x-none"/>
              </w:rPr>
              <w:t>)</w:t>
            </w:r>
            <w:r w:rsidR="00D43EA3" w:rsidRPr="00AC77DF">
              <w:rPr>
                <w:lang w:val="x-none"/>
              </w:rPr>
              <w:t>改良環境及工業衛生之所有方面；</w:t>
            </w:r>
          </w:p>
          <w:p w:rsidR="00D43EA3" w:rsidRPr="00AC77DF" w:rsidRDefault="00167156" w:rsidP="00167156">
            <w:pPr>
              <w:spacing w:line="360" w:lineRule="exact"/>
              <w:ind w:left="910" w:hangingChars="379" w:hanging="910"/>
              <w:jc w:val="both"/>
              <w:rPr>
                <w:lang w:val="x-none"/>
              </w:rPr>
            </w:pPr>
            <w:r>
              <w:rPr>
                <w:rFonts w:hint="eastAsia"/>
                <w:lang w:val="x-none"/>
              </w:rPr>
              <w:t xml:space="preserve">　　</w:t>
            </w:r>
            <w:r>
              <w:rPr>
                <w:rFonts w:hint="eastAsia"/>
                <w:lang w:val="x-none"/>
              </w:rPr>
              <w:t>(</w:t>
            </w:r>
            <w:r w:rsidR="00D43EA3" w:rsidRPr="00AC77DF">
              <w:rPr>
                <w:lang w:val="x-none"/>
              </w:rPr>
              <w:t>三</w:t>
            </w:r>
            <w:r>
              <w:rPr>
                <w:rFonts w:hint="eastAsia"/>
                <w:lang w:val="x-none"/>
              </w:rPr>
              <w:t>)</w:t>
            </w:r>
            <w:r w:rsidR="00D43EA3" w:rsidRPr="00AC77DF">
              <w:rPr>
                <w:lang w:val="x-none"/>
              </w:rPr>
              <w:t>預防、療治及撲滅各種傳染病、風土病、職業病及其他疾病；</w:t>
            </w:r>
          </w:p>
          <w:p w:rsidR="00D43EA3" w:rsidRPr="00AC77DF" w:rsidRDefault="00167156" w:rsidP="00167156">
            <w:pPr>
              <w:spacing w:line="360" w:lineRule="exact"/>
              <w:ind w:left="910" w:hangingChars="379" w:hanging="910"/>
              <w:jc w:val="both"/>
            </w:pPr>
            <w:r>
              <w:rPr>
                <w:rFonts w:hint="eastAsia"/>
                <w:lang w:val="x-none"/>
              </w:rPr>
              <w:t xml:space="preserve">　　</w:t>
            </w:r>
            <w:r>
              <w:rPr>
                <w:rFonts w:hint="eastAsia"/>
                <w:lang w:val="x-none"/>
              </w:rPr>
              <w:t>(</w:t>
            </w:r>
            <w:r w:rsidR="00D43EA3" w:rsidRPr="00AC77DF">
              <w:rPr>
                <w:lang w:val="x-none"/>
              </w:rPr>
              <w:t>四</w:t>
            </w:r>
            <w:r>
              <w:rPr>
                <w:rFonts w:hint="eastAsia"/>
                <w:lang w:val="x-none"/>
              </w:rPr>
              <w:t>)</w:t>
            </w:r>
            <w:r w:rsidR="00D43EA3" w:rsidRPr="00AC77DF">
              <w:rPr>
                <w:lang w:val="x-none"/>
              </w:rPr>
              <w:t>創造環境，確保人人患病時均能享受醫藥服務與醫藥護理。</w:t>
            </w:r>
          </w:p>
        </w:tc>
      </w:tr>
    </w:tbl>
    <w:p w:rsidR="00AC6478" w:rsidRDefault="00AC6478" w:rsidP="00AC6478">
      <w:pPr>
        <w:pStyle w:val="1---"/>
        <w:spacing w:after="180"/>
        <w:ind w:firstLineChars="0" w:firstLine="0"/>
        <w:rPr>
          <w:lang w:eastAsia="zh-TW"/>
        </w:rPr>
      </w:pPr>
    </w:p>
    <w:p w:rsidR="003807A5" w:rsidRPr="00AC77DF" w:rsidRDefault="0094773D" w:rsidP="003F7A6F">
      <w:pPr>
        <w:pStyle w:val="afff1"/>
        <w:spacing w:before="360" w:after="360"/>
      </w:pPr>
      <w:r>
        <w:rPr>
          <w:rFonts w:hint="eastAsia"/>
        </w:rPr>
        <w:t>(一)</w:t>
      </w:r>
      <w:r w:rsidR="003807A5" w:rsidRPr="00AC77DF">
        <w:t>案情簡述</w:t>
      </w:r>
    </w:p>
    <w:p w:rsidR="003807A5" w:rsidRPr="00AC77DF" w:rsidRDefault="003807A5" w:rsidP="002B4E20">
      <w:pPr>
        <w:pStyle w:val="1---"/>
        <w:ind w:firstLine="480"/>
      </w:pPr>
      <w:r w:rsidRPr="00AC77DF">
        <w:t>海軍陸戰隊</w:t>
      </w:r>
      <w:r w:rsidRPr="00AC77DF">
        <w:t>99</w:t>
      </w:r>
      <w:r w:rsidRPr="00AC77DF">
        <w:t>旅相繼發生</w:t>
      </w:r>
      <w:r w:rsidRPr="00AC77DF">
        <w:t>2</w:t>
      </w:r>
      <w:r w:rsidRPr="00AC77DF">
        <w:t>名中尉自殺事件，其中陳姓中尉曾因適應不良，被列為輔導關懷對象，卻仍發生憾事；近日又傳</w:t>
      </w:r>
      <w:r w:rsidRPr="00AC77DF">
        <w:t>66</w:t>
      </w:r>
      <w:r w:rsidRPr="00AC77DF">
        <w:t>旅副連長因睡眠障礙就醫，進而促使連長情緒不穩，滋生自殺念頭送醫救治。軍方該如何確保國軍保持身心健康、有</w:t>
      </w:r>
      <w:r w:rsidRPr="00AC77DF">
        <w:lastRenderedPageBreak/>
        <w:t>何因應措施？案經監察委員認有瞭解之必要，而立案調查。</w:t>
      </w:r>
    </w:p>
    <w:p w:rsidR="003807A5" w:rsidRPr="00AC77DF" w:rsidRDefault="0094773D" w:rsidP="003F7A6F">
      <w:pPr>
        <w:pStyle w:val="afff1"/>
        <w:spacing w:before="360" w:after="360"/>
      </w:pPr>
      <w:r>
        <w:rPr>
          <w:rFonts w:hint="eastAsia"/>
        </w:rPr>
        <w:t>(二)</w:t>
      </w:r>
      <w:r w:rsidR="003807A5" w:rsidRPr="00AC77DF">
        <w:t>監察院調查發現與建議</w:t>
      </w:r>
    </w:p>
    <w:p w:rsidR="003807A5" w:rsidRPr="00AC77DF" w:rsidRDefault="00682251" w:rsidP="00D92DAE">
      <w:pPr>
        <w:pStyle w:val="1--13"/>
        <w:spacing w:before="180" w:after="180"/>
      </w:pPr>
      <w:r w:rsidRPr="008E1832">
        <w:rPr>
          <w:rFonts w:hint="eastAsia"/>
        </w:rPr>
        <w:t>˙</w:t>
      </w:r>
      <w:r w:rsidR="003807A5" w:rsidRPr="00AC77DF">
        <w:t>缺乏自殺風險辨識技巧</w:t>
      </w:r>
    </w:p>
    <w:p w:rsidR="003807A5" w:rsidRPr="00AC77DF" w:rsidRDefault="003807A5" w:rsidP="002B4E20">
      <w:pPr>
        <w:pStyle w:val="1---"/>
        <w:ind w:firstLine="480"/>
      </w:pPr>
      <w:r w:rsidRPr="00AC77DF">
        <w:t>現行基層軍官幹部業務繁重、基層連隊人力不足、基層幹部缺乏自殺風險辨識技巧、輔導職能略顯不足。另國防部對無意軍旅之軍官，宜研議評估退役機制。</w:t>
      </w:r>
    </w:p>
    <w:p w:rsidR="003807A5" w:rsidRPr="00AC77DF" w:rsidRDefault="00682251" w:rsidP="00D92DAE">
      <w:pPr>
        <w:pStyle w:val="1--13"/>
        <w:spacing w:before="180" w:after="180"/>
      </w:pPr>
      <w:r w:rsidRPr="008E1832">
        <w:rPr>
          <w:rFonts w:hint="eastAsia"/>
        </w:rPr>
        <w:t>˙</w:t>
      </w:r>
      <w:r w:rsidR="003807A5" w:rsidRPr="00AC77DF">
        <w:t>身心問題嚴重個案應有汰除機制</w:t>
      </w:r>
    </w:p>
    <w:p w:rsidR="003807A5" w:rsidRPr="00AC77DF" w:rsidRDefault="003807A5" w:rsidP="002B4E20">
      <w:pPr>
        <w:pStyle w:val="1---"/>
        <w:ind w:firstLine="480"/>
      </w:pPr>
      <w:r w:rsidRPr="00AC77DF">
        <w:t>軍職派（代）如有不適，宜儘速調整，避免精神疾病個案出現；復因輔導長頻繁異動，輔導對象難建立信任關係；另身心問題嚴重個案，應有汰除機制。</w:t>
      </w:r>
    </w:p>
    <w:p w:rsidR="003807A5" w:rsidRPr="00AC77DF" w:rsidRDefault="003807A5" w:rsidP="002B4E20">
      <w:pPr>
        <w:pStyle w:val="1---"/>
        <w:ind w:firstLine="480"/>
      </w:pPr>
      <w:r w:rsidRPr="00AC77DF">
        <w:t>國防部應協調內政部役政單位研議現行法規疏漏處，加強精神疾病者入營前後之把關管理。</w:t>
      </w:r>
    </w:p>
    <w:p w:rsidR="003807A5" w:rsidRPr="00AC77DF" w:rsidRDefault="00682251" w:rsidP="00D92DAE">
      <w:pPr>
        <w:pStyle w:val="1--13"/>
        <w:spacing w:before="180" w:after="180"/>
      </w:pPr>
      <w:r w:rsidRPr="008E1832">
        <w:rPr>
          <w:rFonts w:hint="eastAsia"/>
        </w:rPr>
        <w:t>˙</w:t>
      </w:r>
      <w:r w:rsidR="003807A5" w:rsidRPr="00AC77DF">
        <w:t>評估增加相關醫事人力</w:t>
      </w:r>
    </w:p>
    <w:p w:rsidR="003807A5" w:rsidRPr="00AC77DF" w:rsidRDefault="003807A5" w:rsidP="002B4E20">
      <w:pPr>
        <w:pStyle w:val="1---"/>
        <w:ind w:firstLine="480"/>
      </w:pPr>
      <w:r w:rsidRPr="00AC77DF">
        <w:t>軍事院校社工及心理系</w:t>
      </w:r>
      <w:r w:rsidR="007C2E65">
        <w:rPr>
          <w:rFonts w:hint="eastAsia"/>
          <w:lang w:eastAsia="zh-TW"/>
        </w:rPr>
        <w:t>／</w:t>
      </w:r>
      <w:r w:rsidRPr="00AC77DF">
        <w:t>所畢業者，因國防部進修規範限制，無法應考心理師專業證照；又國軍各心理衛生中心宜評估增加相關醫事人力。</w:t>
      </w:r>
    </w:p>
    <w:p w:rsidR="003807A5" w:rsidRDefault="003807A5" w:rsidP="002B4E20">
      <w:pPr>
        <w:pStyle w:val="1---"/>
        <w:ind w:firstLine="480"/>
        <w:rPr>
          <w:lang w:eastAsia="zh-TW"/>
        </w:rPr>
      </w:pPr>
      <w:r w:rsidRPr="00AC77DF">
        <w:t>依據本案調查意見</w:t>
      </w:r>
      <w:r w:rsidRPr="00AC77DF">
        <w:rPr>
          <w:rStyle w:val="aff2"/>
        </w:rPr>
        <w:footnoteReference w:id="44"/>
      </w:r>
      <w:r w:rsidRPr="00AC77DF">
        <w:t>，監察院</w:t>
      </w:r>
      <w:r w:rsidRPr="00AC77DF">
        <w:rPr>
          <w:bCs/>
        </w:rPr>
        <w:t>函請國防部檢討改進</w:t>
      </w:r>
      <w:r w:rsidRPr="00AC77DF">
        <w:t>。</w:t>
      </w:r>
    </w:p>
    <w:p w:rsidR="007C2E65" w:rsidRPr="00AC77DF" w:rsidRDefault="007C2E65" w:rsidP="002B4E20">
      <w:pPr>
        <w:pStyle w:val="1---"/>
        <w:ind w:firstLine="480"/>
        <w:rPr>
          <w:lang w:eastAsia="zh-TW"/>
        </w:rPr>
      </w:pPr>
    </w:p>
    <w:p w:rsidR="003807A5" w:rsidRPr="00AC77DF" w:rsidRDefault="0094773D" w:rsidP="003F7A6F">
      <w:pPr>
        <w:pStyle w:val="afff1"/>
        <w:spacing w:before="360" w:after="360"/>
      </w:pPr>
      <w:r>
        <w:rPr>
          <w:rFonts w:hint="eastAsia"/>
        </w:rPr>
        <w:lastRenderedPageBreak/>
        <w:t>(三)</w:t>
      </w:r>
      <w:r w:rsidR="003807A5" w:rsidRPr="00AC77DF">
        <w:t>政府機關改善情形</w:t>
      </w:r>
    </w:p>
    <w:p w:rsidR="003807A5" w:rsidRPr="00AC77DF" w:rsidRDefault="003807A5" w:rsidP="007373B4">
      <w:pPr>
        <w:pStyle w:val="1---"/>
        <w:ind w:leftChars="100" w:left="600" w:hangingChars="150" w:hanging="360"/>
      </w:pPr>
      <w:r w:rsidRPr="00AC77DF">
        <w:t>1</w:t>
      </w:r>
      <w:r w:rsidRPr="00AC77DF">
        <w:t>、</w:t>
      </w:r>
      <w:r w:rsidRPr="00AC77DF">
        <w:t>105</w:t>
      </w:r>
      <w:r w:rsidRPr="00AC77DF">
        <w:t>年</w:t>
      </w:r>
      <w:r w:rsidRPr="00AC77DF">
        <w:t>6</w:t>
      </w:r>
      <w:r w:rsidRPr="00AC77DF">
        <w:t>月</w:t>
      </w:r>
      <w:r w:rsidRPr="00AC77DF">
        <w:t>17</w:t>
      </w:r>
      <w:r w:rsidRPr="00AC77DF">
        <w:t>日令頒「國軍基層部隊各項業務、公文簡化實施計畫</w:t>
      </w:r>
      <w:r w:rsidRPr="007C2E65">
        <w:rPr>
          <w:spacing w:val="-30"/>
        </w:rPr>
        <w:t>」</w:t>
      </w:r>
      <w:r w:rsidRPr="00AC77DF">
        <w:t>，並於</w:t>
      </w:r>
      <w:r w:rsidRPr="00AC77DF">
        <w:t>105</w:t>
      </w:r>
      <w:r w:rsidRPr="00AC77DF">
        <w:t>年</w:t>
      </w:r>
      <w:r w:rsidRPr="00AC77DF">
        <w:t>8</w:t>
      </w:r>
      <w:r w:rsidRPr="00AC77DF">
        <w:t>月</w:t>
      </w:r>
      <w:r w:rsidRPr="00AC77DF">
        <w:t>1</w:t>
      </w:r>
      <w:r w:rsidRPr="00AC77DF">
        <w:t>日起全面推動。推動後，全軍業務項量精簡達</w:t>
      </w:r>
      <w:r w:rsidRPr="00AC77DF">
        <w:t>34.6%</w:t>
      </w:r>
      <w:r w:rsidRPr="00AC77DF">
        <w:t>，表簿冊精簡達</w:t>
      </w:r>
      <w:r w:rsidRPr="00AC77DF">
        <w:t>46.09%</w:t>
      </w:r>
      <w:r w:rsidRPr="00AC77DF">
        <w:t>，會議減量達</w:t>
      </w:r>
      <w:r w:rsidRPr="00AC77DF">
        <w:t>44.07%</w:t>
      </w:r>
      <w:r w:rsidRPr="00AC77DF">
        <w:t>，督輔導減量達</w:t>
      </w:r>
      <w:r w:rsidRPr="00AC77DF">
        <w:t>39.65%</w:t>
      </w:r>
      <w:r w:rsidRPr="00AC77DF">
        <w:t>。自</w:t>
      </w:r>
      <w:r w:rsidRPr="00AC77DF">
        <w:t>107</w:t>
      </w:r>
      <w:r w:rsidRPr="00AC77DF">
        <w:t>年起配合「專案編組及精進作法」綱要計畫，將業務簡化納入該部重要政策，另研擬推動國軍基層連隊實務工作資訊化，並揀選基層連隊擔任試行單位，期有效降低基層連隊工作負擔。在兵源補充方面，查募兵制實施後，推動各項措施迄至</w:t>
      </w:r>
      <w:r w:rsidRPr="00AC77DF">
        <w:t>107</w:t>
      </w:r>
      <w:r w:rsidRPr="00AC77DF">
        <w:t>年</w:t>
      </w:r>
      <w:r w:rsidRPr="00AC77DF">
        <w:t>7</w:t>
      </w:r>
      <w:r w:rsidRPr="00AC77DF">
        <w:t>月</w:t>
      </w:r>
      <w:r w:rsidRPr="00AC77DF">
        <w:t>1</w:t>
      </w:r>
      <w:r w:rsidRPr="00AC77DF">
        <w:t>日志願役編現已達</w:t>
      </w:r>
      <w:r w:rsidRPr="00AC77DF">
        <w:t>78.18%</w:t>
      </w:r>
      <w:r w:rsidRPr="00AC77DF">
        <w:t>，其中軍官為</w:t>
      </w:r>
      <w:r w:rsidRPr="00AC77DF">
        <w:t>80.81%</w:t>
      </w:r>
      <w:r w:rsidRPr="00AC77DF">
        <w:t>，士官</w:t>
      </w:r>
      <w:r w:rsidRPr="00AC77DF">
        <w:t>75.34%</w:t>
      </w:r>
      <w:r w:rsidRPr="00AC77DF">
        <w:t>，士兵</w:t>
      </w:r>
      <w:r w:rsidRPr="00AC77DF">
        <w:t>80.77%</w:t>
      </w:r>
      <w:r w:rsidRPr="00AC77DF">
        <w:t>；另基層軍官缺員以</w:t>
      </w:r>
      <w:r w:rsidR="002E52C8" w:rsidRPr="00AC77DF">
        <w:t>「</w:t>
      </w:r>
      <w:r w:rsidRPr="00AC77DF">
        <w:t>鼓勵在營資深優秀士官轉任軍官</w:t>
      </w:r>
      <w:r w:rsidR="002E52C8" w:rsidRPr="002E52C8">
        <w:rPr>
          <w:spacing w:val="-30"/>
        </w:rPr>
        <w:t>」</w:t>
      </w:r>
      <w:r w:rsidRPr="002E52C8">
        <w:rPr>
          <w:spacing w:val="-30"/>
        </w:rPr>
        <w:t>、</w:t>
      </w:r>
      <w:r w:rsidR="002E52C8" w:rsidRPr="00AC77DF">
        <w:t>「</w:t>
      </w:r>
      <w:r w:rsidRPr="00AC77DF">
        <w:t>委託公、私立民間大學試辦儲訓團甄選</w:t>
      </w:r>
      <w:r w:rsidR="002E52C8" w:rsidRPr="002E52C8">
        <w:rPr>
          <w:spacing w:val="-30"/>
        </w:rPr>
        <w:t>」</w:t>
      </w:r>
      <w:r w:rsidRPr="002E52C8">
        <w:rPr>
          <w:spacing w:val="-30"/>
        </w:rPr>
        <w:t>、</w:t>
      </w:r>
      <w:r w:rsidR="002E52C8" w:rsidRPr="00AC77DF">
        <w:t>「</w:t>
      </w:r>
      <w:r w:rsidRPr="00AC77DF">
        <w:t>開拓校園通路劃分招募層級與責任區</w:t>
      </w:r>
      <w:r w:rsidR="002E52C8" w:rsidRPr="00AC77DF">
        <w:t>」</w:t>
      </w:r>
      <w:r w:rsidRPr="00AC77DF">
        <w:t>及</w:t>
      </w:r>
      <w:r w:rsidR="002E52C8" w:rsidRPr="00AC77DF">
        <w:t>「</w:t>
      </w:r>
      <w:r w:rsidRPr="00AC77DF">
        <w:t>增加就學班隊招生員額</w:t>
      </w:r>
      <w:r w:rsidR="002E52C8" w:rsidRPr="00AC77DF">
        <w:t>」</w:t>
      </w:r>
      <w:r w:rsidRPr="00AC77DF">
        <w:t>等措施，以穩固軍官來源。</w:t>
      </w:r>
    </w:p>
    <w:p w:rsidR="003807A5" w:rsidRPr="00AC77DF" w:rsidRDefault="003807A5" w:rsidP="00F17518">
      <w:pPr>
        <w:pStyle w:val="1---"/>
        <w:ind w:leftChars="100" w:left="600" w:hangingChars="150" w:hanging="360"/>
      </w:pPr>
      <w:r w:rsidRPr="00AC77DF">
        <w:t>2</w:t>
      </w:r>
      <w:r w:rsidRPr="00AC77DF">
        <w:t>、</w:t>
      </w:r>
      <w:r w:rsidRPr="00AC77DF">
        <w:t>106</w:t>
      </w:r>
      <w:r w:rsidRPr="00AC77DF">
        <w:t>年軍官招募較</w:t>
      </w:r>
      <w:r w:rsidRPr="00AC77DF">
        <w:t>105</w:t>
      </w:r>
      <w:r w:rsidRPr="00AC77DF">
        <w:t>年增加</w:t>
      </w:r>
      <w:r w:rsidRPr="00AC77DF">
        <w:t>1,813</w:t>
      </w:r>
      <w:r w:rsidRPr="00AC77DF">
        <w:t>人、士官增加</w:t>
      </w:r>
      <w:r w:rsidRPr="00AC77DF">
        <w:t>1,119</w:t>
      </w:r>
      <w:r w:rsidRPr="00AC77DF">
        <w:t>人，志願士兵亦超過年度計畫目標</w:t>
      </w:r>
      <w:r w:rsidRPr="00AC77DF">
        <w:t>l</w:t>
      </w:r>
      <w:r w:rsidRPr="00AC77DF">
        <w:t>萬</w:t>
      </w:r>
      <w:r w:rsidRPr="00AC77DF">
        <w:t>5,000</w:t>
      </w:r>
      <w:r w:rsidRPr="00AC77DF">
        <w:t>人，招獲</w:t>
      </w:r>
      <w:r w:rsidRPr="00AC77DF">
        <w:t>1</w:t>
      </w:r>
      <w:r w:rsidRPr="00AC77DF">
        <w:t>萬</w:t>
      </w:r>
      <w:r w:rsidRPr="00AC77DF">
        <w:t>5,222</w:t>
      </w:r>
      <w:r w:rsidRPr="00AC77DF">
        <w:t>人，達年度目標</w:t>
      </w:r>
      <w:r w:rsidRPr="00AC77DF">
        <w:t>101%</w:t>
      </w:r>
      <w:r w:rsidRPr="00AC77DF">
        <w:t>。國防部將持續開拓官士兵招募來源管道，推動「陸軍志願役預備軍官」、「</w:t>
      </w:r>
      <w:r w:rsidRPr="00AC77DF">
        <w:t>ROTC</w:t>
      </w:r>
      <w:r w:rsidRPr="00AC77DF">
        <w:t>」及「國防培育專班」等班隊，確保人力來源，強化各項留營配套措施。另</w:t>
      </w:r>
      <w:r w:rsidRPr="00AC77DF">
        <w:t>106</w:t>
      </w:r>
      <w:r w:rsidRPr="00AC77DF">
        <w:t>年</w:t>
      </w:r>
      <w:r w:rsidRPr="00AC77DF">
        <w:t>1</w:t>
      </w:r>
      <w:r w:rsidRPr="00AC77DF">
        <w:t>月</w:t>
      </w:r>
      <w:r w:rsidRPr="00AC77DF">
        <w:t>3</w:t>
      </w:r>
      <w:r w:rsidRPr="00AC77DF">
        <w:t>日修頒「國軍軍風紀維護實施規定」第</w:t>
      </w:r>
      <w:r w:rsidRPr="00AC77DF">
        <w:t>35</w:t>
      </w:r>
      <w:r w:rsidRPr="00AC77DF">
        <w:t>點「健全合理管教</w:t>
      </w:r>
      <w:r w:rsidRPr="00F17518">
        <w:rPr>
          <w:spacing w:val="-30"/>
        </w:rPr>
        <w:t>」</w:t>
      </w:r>
      <w:r w:rsidRPr="00AC77DF">
        <w:t>，期有效預防管教失當情事；另第</w:t>
      </w:r>
      <w:r w:rsidRPr="00AC77DF">
        <w:t>36</w:t>
      </w:r>
      <w:r w:rsidRPr="00AC77DF">
        <w:t>點增訂「體罰、凌虐、謾罵釋義與防範」內容，嚴禁高階或高職者，以低等動物影射或</w:t>
      </w:r>
      <w:r w:rsidRPr="00AC77DF">
        <w:lastRenderedPageBreak/>
        <w:t>惡言咒罵辱及尊嚴，改善謾罵文化。</w:t>
      </w:r>
    </w:p>
    <w:p w:rsidR="003807A5" w:rsidRPr="00AC77DF" w:rsidRDefault="003807A5" w:rsidP="007373B4">
      <w:pPr>
        <w:pStyle w:val="1---"/>
        <w:ind w:leftChars="100" w:left="600" w:hangingChars="150" w:hanging="360"/>
      </w:pPr>
      <w:r w:rsidRPr="00AC77DF">
        <w:t>3</w:t>
      </w:r>
      <w:r w:rsidRPr="00AC77DF">
        <w:t>、為落實心輔知能教育訓練，避免因任務繁忙流於形式，將掌握年度重大演訓及任務期程，先行完成相關課程規劃，要求各軍司令（指揮）部派員督導各單位上課情形，並納入「</w:t>
      </w:r>
      <w:r w:rsidRPr="00AC77DF">
        <w:t>107</w:t>
      </w:r>
      <w:r w:rsidRPr="00AC77DF">
        <w:t>年國軍部隊練訓令」及「民國</w:t>
      </w:r>
      <w:r w:rsidRPr="00AC77DF">
        <w:t>107</w:t>
      </w:r>
      <w:r w:rsidRPr="00AC77DF">
        <w:t>年國軍政治作戰課程實施計畫</w:t>
      </w:r>
      <w:r w:rsidRPr="00F17518">
        <w:rPr>
          <w:spacing w:val="-30"/>
        </w:rPr>
        <w:t>」</w:t>
      </w:r>
      <w:r w:rsidRPr="00AC77DF">
        <w:t>。另國防部</w:t>
      </w:r>
      <w:r w:rsidRPr="00AC77DF">
        <w:t>106</w:t>
      </w:r>
      <w:r w:rsidRPr="00AC77DF">
        <w:t>年</w:t>
      </w:r>
      <w:r w:rsidRPr="00AC77DF">
        <w:t>10</w:t>
      </w:r>
      <w:r w:rsidRPr="00AC77DF">
        <w:t>至</w:t>
      </w:r>
      <w:r w:rsidRPr="00AC77DF">
        <w:t>11</w:t>
      </w:r>
      <w:r w:rsidRPr="00AC77DF">
        <w:t>月試行「國軍心理衛生工作鏈結民間輔導資源</w:t>
      </w:r>
      <w:r w:rsidRPr="00F17518">
        <w:rPr>
          <w:spacing w:val="-30"/>
        </w:rPr>
        <w:t>」</w:t>
      </w:r>
      <w:r w:rsidRPr="00AC77DF">
        <w:t>，鏈結民間專業諮商機構（北部</w:t>
      </w:r>
      <w:r w:rsidR="00F17518">
        <w:rPr>
          <w:rFonts w:hint="eastAsia"/>
          <w:lang w:eastAsia="zh-TW"/>
        </w:rPr>
        <w:t>－</w:t>
      </w:r>
      <w:r w:rsidRPr="00AC77DF">
        <w:t>鄭身心醫學診所及心園諮商所、中部</w:t>
      </w:r>
      <w:r w:rsidR="009714E8">
        <w:rPr>
          <w:rFonts w:hint="eastAsia"/>
          <w:lang w:eastAsia="zh-TW"/>
        </w:rPr>
        <w:t>－</w:t>
      </w:r>
      <w:r w:rsidRPr="00AC77DF">
        <w:t>蛹之生心理諮商診所、南部</w:t>
      </w:r>
      <w:r w:rsidR="00F17518">
        <w:rPr>
          <w:rFonts w:hint="eastAsia"/>
          <w:lang w:eastAsia="zh-TW"/>
        </w:rPr>
        <w:t>－</w:t>
      </w:r>
      <w:r w:rsidRPr="00AC77DF">
        <w:t>高雄張老師工會、東部</w:t>
      </w:r>
      <w:r w:rsidR="00F17518">
        <w:rPr>
          <w:rFonts w:hint="eastAsia"/>
          <w:lang w:eastAsia="zh-TW"/>
        </w:rPr>
        <w:t>－</w:t>
      </w:r>
      <w:r w:rsidRPr="00AC77DF">
        <w:t>花蓮縣心理師公會），建構具專業性輔導支援機制；執行期間共計轉介</w:t>
      </w:r>
      <w:r w:rsidRPr="00AC77DF">
        <w:t>37</w:t>
      </w:r>
      <w:r w:rsidRPr="00AC77DF">
        <w:t>人，輔導</w:t>
      </w:r>
      <w:r w:rsidRPr="00AC77DF">
        <w:t>121</w:t>
      </w:r>
      <w:r w:rsidRPr="00AC77DF">
        <w:t>人次，</w:t>
      </w:r>
      <w:r w:rsidRPr="00AC77DF">
        <w:t>9</w:t>
      </w:r>
      <w:r w:rsidRPr="00AC77DF">
        <w:t>成以上對晤談結果保持滿意。又體制外輔導機構與接受服務官兵無直接隸屬關係，得有效降低個人防衛機制，提高使用意願；另因晤談內容基於保密協定，不向單位回報，獲多數官兵信賴，求助及抒發管道更為暢通。</w:t>
      </w:r>
    </w:p>
    <w:p w:rsidR="003807A5" w:rsidRPr="00AC77DF" w:rsidRDefault="003807A5" w:rsidP="007373B4">
      <w:pPr>
        <w:pStyle w:val="1---"/>
        <w:ind w:leftChars="100" w:left="600" w:hangingChars="150" w:hanging="360"/>
      </w:pPr>
      <w:r w:rsidRPr="00AC77DF">
        <w:t>4</w:t>
      </w:r>
      <w:r w:rsidRPr="00AC77DF">
        <w:t>、國防部於</w:t>
      </w:r>
      <w:r w:rsidRPr="00AC77DF">
        <w:t>105</w:t>
      </w:r>
      <w:r w:rsidRPr="00AC77DF">
        <w:t>年</w:t>
      </w:r>
      <w:r w:rsidRPr="00AC77DF">
        <w:t>10</w:t>
      </w:r>
      <w:r w:rsidRPr="00AC77DF">
        <w:t>月</w:t>
      </w:r>
      <w:r w:rsidRPr="00AC77DF">
        <w:t>14</w:t>
      </w:r>
      <w:r w:rsidRPr="00AC77DF">
        <w:t>日本案調查期間通令各單位有關「陸海空軍軍官士官服役條例」第</w:t>
      </w:r>
      <w:r w:rsidRPr="00AC77DF">
        <w:t>14</w:t>
      </w:r>
      <w:r w:rsidRPr="00AC77DF">
        <w:t>條第</w:t>
      </w:r>
      <w:r w:rsidRPr="00AC77DF">
        <w:t>1</w:t>
      </w:r>
      <w:r w:rsidRPr="00AC77DF">
        <w:t>項第</w:t>
      </w:r>
      <w:r w:rsidRPr="00AC77DF">
        <w:t>8</w:t>
      </w:r>
      <w:r w:rsidRPr="00AC77DF">
        <w:t>款所稱因「其他事故</w:t>
      </w:r>
      <w:r w:rsidRPr="009714E8">
        <w:rPr>
          <w:spacing w:val="-30"/>
        </w:rPr>
        <w:t>」</w:t>
      </w:r>
      <w:r w:rsidRPr="00AC77DF">
        <w:t>，擬申請停役並辦理退伍之要件。為使各單位人事作業人員有所依循，並於</w:t>
      </w:r>
      <w:r w:rsidRPr="00AC77DF">
        <w:t>106</w:t>
      </w:r>
      <w:r w:rsidRPr="00AC77DF">
        <w:t>年</w:t>
      </w:r>
      <w:r w:rsidRPr="00AC77DF">
        <w:t>6</w:t>
      </w:r>
      <w:r w:rsidRPr="00AC77DF">
        <w:t>月</w:t>
      </w:r>
      <w:r w:rsidRPr="00AC77DF">
        <w:t>7</w:t>
      </w:r>
      <w:r w:rsidRPr="00AC77DF">
        <w:t>日令頒「國軍軍、士官因『其他事故』申請停役作業規定</w:t>
      </w:r>
      <w:r w:rsidRPr="009714E8">
        <w:rPr>
          <w:spacing w:val="-30"/>
        </w:rPr>
        <w:t>」</w:t>
      </w:r>
      <w:r w:rsidRPr="00AC77DF">
        <w:t>，以符部隊及個人實需。</w:t>
      </w:r>
    </w:p>
    <w:p w:rsidR="003807A5" w:rsidRPr="00AC77DF" w:rsidRDefault="003807A5" w:rsidP="007373B4">
      <w:pPr>
        <w:pStyle w:val="1---"/>
        <w:ind w:leftChars="100" w:left="600" w:hangingChars="150" w:hanging="360"/>
      </w:pPr>
      <w:r w:rsidRPr="00AC77DF">
        <w:t>5</w:t>
      </w:r>
      <w:r w:rsidRPr="00AC77DF">
        <w:t>、國防部業於</w:t>
      </w:r>
      <w:r w:rsidRPr="00AC77DF">
        <w:t>106</w:t>
      </w:r>
      <w:r w:rsidRPr="00AC77DF">
        <w:t>年</w:t>
      </w:r>
      <w:r w:rsidRPr="00AC77DF">
        <w:t>4</w:t>
      </w:r>
      <w:r w:rsidRPr="00AC77DF">
        <w:t>月</w:t>
      </w:r>
      <w:r w:rsidRPr="00AC77DF">
        <w:t>14</w:t>
      </w:r>
      <w:r w:rsidRPr="00AC77DF">
        <w:t>日函請內政部役政署強化役男徵兵檢查及體位審查，提出年度徵兵檢查前，落實向社政單位比對役男身心障礙情形，並參考衛福部精神照護系統勾稽比對之役男名冊，專案列管，於精神科檢查時，安排</w:t>
      </w:r>
      <w:r w:rsidRPr="00AC77DF">
        <w:lastRenderedPageBreak/>
        <w:t>專科檢查，加強篩檢精神疾病等</w:t>
      </w:r>
      <w:r w:rsidRPr="00AC77DF">
        <w:t>3</w:t>
      </w:r>
      <w:r w:rsidRPr="00AC77DF">
        <w:t>項具體改善作法。內政部則於</w:t>
      </w:r>
      <w:r w:rsidRPr="00AC77DF">
        <w:t>106</w:t>
      </w:r>
      <w:r w:rsidRPr="00AC77DF">
        <w:t>年</w:t>
      </w:r>
      <w:r w:rsidRPr="00AC77DF">
        <w:t>4</w:t>
      </w:r>
      <w:r w:rsidRPr="00AC77DF">
        <w:t>月要求，徵兵體檢醫院加強役男入營前精神疾病篩檢作業，扣除</w:t>
      </w:r>
      <w:r w:rsidRPr="00AC77DF">
        <w:t>106</w:t>
      </w:r>
      <w:r w:rsidRPr="00AC77DF">
        <w:t>年</w:t>
      </w:r>
      <w:r w:rsidRPr="00AC77DF">
        <w:t>10</w:t>
      </w:r>
      <w:r w:rsidRPr="00AC77DF">
        <w:t>月無效資料後，</w:t>
      </w:r>
      <w:r w:rsidRPr="00AC77DF">
        <w:t>5</w:t>
      </w:r>
      <w:r w:rsidRPr="00AC77DF">
        <w:t>月至</w:t>
      </w:r>
      <w:r w:rsidRPr="00AC77DF">
        <w:t>9</w:t>
      </w:r>
      <w:r w:rsidRPr="00AC77DF">
        <w:t>月總體檢人數為</w:t>
      </w:r>
      <w:r w:rsidRPr="00AC77DF">
        <w:t>2</w:t>
      </w:r>
      <w:r w:rsidRPr="00AC77DF">
        <w:t>萬</w:t>
      </w:r>
      <w:r w:rsidRPr="00AC77DF">
        <w:t>7,194</w:t>
      </w:r>
      <w:r w:rsidRPr="00AC77DF">
        <w:t>人，其中核免人數計</w:t>
      </w:r>
      <w:r w:rsidRPr="00AC77DF">
        <w:t>1,063</w:t>
      </w:r>
      <w:r w:rsidRPr="00AC77DF">
        <w:t>人，相較</w:t>
      </w:r>
      <w:r w:rsidRPr="00AC77DF">
        <w:t>105</w:t>
      </w:r>
      <w:r w:rsidRPr="00AC77DF">
        <w:t>年同期人數減少的人，比例下降</w:t>
      </w:r>
      <w:r w:rsidRPr="00AC77DF">
        <w:t>0.5%</w:t>
      </w:r>
      <w:r w:rsidRPr="00AC77DF">
        <w:t>。</w:t>
      </w:r>
    </w:p>
    <w:p w:rsidR="003807A5" w:rsidRPr="00AC77DF" w:rsidRDefault="003807A5" w:rsidP="007373B4">
      <w:pPr>
        <w:pStyle w:val="1---"/>
        <w:ind w:leftChars="100" w:left="600" w:hangingChars="150" w:hanging="360"/>
      </w:pPr>
      <w:r w:rsidRPr="00AC77DF">
        <w:t>6</w:t>
      </w:r>
      <w:r w:rsidRPr="00AC77DF">
        <w:t>、修訂</w:t>
      </w:r>
      <w:r w:rsidRPr="00AC77DF">
        <w:t>106</w:t>
      </w:r>
      <w:r w:rsidRPr="00AC77DF">
        <w:t>年「國軍軍官士官全時進修實施規定</w:t>
      </w:r>
      <w:r w:rsidRPr="009714E8">
        <w:rPr>
          <w:spacing w:val="-30"/>
        </w:rPr>
        <w:t>」</w:t>
      </w:r>
      <w:r w:rsidRPr="00AC77DF">
        <w:t>，並納入「國防大學</w:t>
      </w:r>
      <w:r w:rsidRPr="00AC77DF">
        <w:t>106</w:t>
      </w:r>
      <w:r w:rsidRPr="00AC77DF">
        <w:t>年度研究所博、碩士招生簡章</w:t>
      </w:r>
      <w:r w:rsidRPr="009714E8">
        <w:rPr>
          <w:spacing w:val="-30"/>
        </w:rPr>
        <w:t>」</w:t>
      </w:r>
      <w:r w:rsidRPr="00AC77DF">
        <w:t>，將報考心理碩士班之軍費生且主修諮商心理學專業者，得延長修業期限至</w:t>
      </w:r>
      <w:r w:rsidRPr="00AC77DF">
        <w:t>2</w:t>
      </w:r>
      <w:r w:rsidRPr="00AC77DF">
        <w:t>年</w:t>
      </w:r>
      <w:r w:rsidRPr="00AC77DF">
        <w:t>6</w:t>
      </w:r>
      <w:r w:rsidRPr="00AC77DF">
        <w:t>個月，以符合心理師應考資格。本案調查後，國防大學政戰學院心理暨社會工作學系（所）畢業生，已得符合應考心理及社工師資格。</w:t>
      </w:r>
      <w:r w:rsidRPr="00AC77DF">
        <w:t>106</w:t>
      </w:r>
      <w:r w:rsidRPr="00AC77DF">
        <w:t>年考取心理暨社工師人員計</w:t>
      </w:r>
      <w:r w:rsidRPr="00AC77DF">
        <w:t>l</w:t>
      </w:r>
      <w:r w:rsidRPr="00AC77DF">
        <w:t>員（已派職心輔官任用</w:t>
      </w:r>
      <w:r w:rsidRPr="009714E8">
        <w:rPr>
          <w:spacing w:val="-30"/>
        </w:rPr>
        <w:t>）</w:t>
      </w:r>
      <w:r w:rsidRPr="00AC77DF">
        <w:t>。針對國內短期進修心理諮商全職實習部分，目前已完訓</w:t>
      </w:r>
      <w:r w:rsidRPr="00AC77DF">
        <w:t>l</w:t>
      </w:r>
      <w:r w:rsidRPr="00AC77DF">
        <w:t>員、實習中</w:t>
      </w:r>
      <w:r w:rsidRPr="00AC77DF">
        <w:t>l</w:t>
      </w:r>
      <w:r w:rsidRPr="00AC77DF">
        <w:t>員。為提升心輔人員素質，爭取短期進修員額，</w:t>
      </w:r>
      <w:r w:rsidRPr="00AC77DF">
        <w:t>107</w:t>
      </w:r>
      <w:r w:rsidRPr="00AC77DF">
        <w:t>年度可運用員額增加至</w:t>
      </w:r>
      <w:r w:rsidRPr="00AC77DF">
        <w:t>4</w:t>
      </w:r>
      <w:r w:rsidRPr="00AC77DF">
        <w:t>員。另為鼓勵符合資格人員取得證照，研訂「心輔人員考取專業證照獎勵辦法</w:t>
      </w:r>
      <w:r w:rsidRPr="009714E8">
        <w:rPr>
          <w:spacing w:val="-30"/>
        </w:rPr>
        <w:t>」</w:t>
      </w:r>
      <w:r w:rsidRPr="00AC77DF">
        <w:t>，激勵心輔同仁朝專業化、證照化目標邁進。</w:t>
      </w:r>
    </w:p>
    <w:p w:rsidR="003807A5" w:rsidRPr="00AC77DF" w:rsidRDefault="003F7A6F" w:rsidP="003F7A6F">
      <w:pPr>
        <w:pStyle w:val="afff1"/>
        <w:spacing w:before="360" w:after="360"/>
      </w:pPr>
      <w:r w:rsidRPr="003F7A6F">
        <w:rPr>
          <w:rFonts w:hint="eastAsia"/>
        </w:rPr>
        <w:t>(四)</w:t>
      </w:r>
      <w:r w:rsidR="003807A5" w:rsidRPr="00AC77DF">
        <w:t>案件進展</w:t>
      </w:r>
    </w:p>
    <w:p w:rsidR="003807A5" w:rsidRDefault="003807A5" w:rsidP="002B4E20">
      <w:pPr>
        <w:pStyle w:val="1---"/>
        <w:ind w:firstLine="480"/>
        <w:rPr>
          <w:lang w:eastAsia="zh-TW"/>
        </w:rPr>
      </w:pPr>
      <w:r w:rsidRPr="00AC77DF">
        <w:t>監察院仍持續列管追蹤本案改善情形，以保障國軍弟兄生命安全。</w:t>
      </w:r>
    </w:p>
    <w:p w:rsidR="009714E8" w:rsidRDefault="009714E8" w:rsidP="002B4E20">
      <w:pPr>
        <w:pStyle w:val="1---"/>
        <w:ind w:firstLine="480"/>
        <w:rPr>
          <w:lang w:eastAsia="zh-TW"/>
        </w:rPr>
      </w:pPr>
    </w:p>
    <w:p w:rsidR="009714E8" w:rsidRDefault="009714E8" w:rsidP="002B4E20">
      <w:pPr>
        <w:pStyle w:val="1---"/>
        <w:ind w:firstLine="480"/>
        <w:rPr>
          <w:lang w:eastAsia="zh-TW"/>
        </w:rPr>
      </w:pPr>
    </w:p>
    <w:p w:rsidR="009714E8" w:rsidRDefault="009714E8" w:rsidP="002B4E20">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3993"/>
      </w:tblGrid>
      <w:tr w:rsidR="009714E8" w:rsidTr="009714E8">
        <w:tc>
          <w:tcPr>
            <w:tcW w:w="3993" w:type="dxa"/>
            <w:shd w:val="clear" w:color="auto" w:fill="D9D9D9" w:themeFill="background1" w:themeFillShade="D9"/>
          </w:tcPr>
          <w:p w:rsidR="009714E8" w:rsidRDefault="009714E8" w:rsidP="009714E8">
            <w:pPr>
              <w:pStyle w:val="11-"/>
              <w:spacing w:before="72" w:after="108"/>
              <w:rPr>
                <w:b/>
                <w:lang w:eastAsia="zh-TW"/>
              </w:rPr>
            </w:pPr>
            <w:bookmarkStart w:id="80" w:name="_Toc535228327"/>
            <w:bookmarkStart w:id="81" w:name="_Toc4058737"/>
            <w:r w:rsidRPr="00AC77DF">
              <w:lastRenderedPageBreak/>
              <w:t>桃園市長照中心火</w:t>
            </w:r>
            <w:r w:rsidRPr="00AC77DF">
              <w:rPr>
                <w:lang w:eastAsia="zh-HK"/>
              </w:rPr>
              <w:t>災</w:t>
            </w:r>
            <w:r w:rsidRPr="00AC77DF">
              <w:t>致死案</w:t>
            </w:r>
            <w:bookmarkEnd w:id="80"/>
            <w:bookmarkEnd w:id="81"/>
          </w:p>
        </w:tc>
      </w:tr>
    </w:tbl>
    <w:p w:rsidR="009714E8" w:rsidRPr="00AC77DF" w:rsidRDefault="009714E8" w:rsidP="002B4E20">
      <w:pPr>
        <w:pStyle w:val="1---"/>
        <w:ind w:firstLine="480"/>
        <w:rPr>
          <w:b/>
          <w:lang w:eastAsia="zh-TW"/>
        </w:rPr>
      </w:pPr>
    </w:p>
    <w:tbl>
      <w:tblPr>
        <w:tblStyle w:val="aff5"/>
        <w:tblW w:w="4777" w:type="pct"/>
        <w:tblInd w:w="113" w:type="dxa"/>
        <w:tblLook w:val="04A0" w:firstRow="1" w:lastRow="0" w:firstColumn="1" w:lastColumn="0" w:noHBand="0" w:noVBand="1"/>
      </w:tblPr>
      <w:tblGrid>
        <w:gridCol w:w="6544"/>
      </w:tblGrid>
      <w:tr w:rsidR="00473691" w:rsidTr="009714E8">
        <w:tc>
          <w:tcPr>
            <w:tcW w:w="5000" w:type="pct"/>
          </w:tcPr>
          <w:p w:rsidR="00473691" w:rsidRPr="00AC77DF" w:rsidRDefault="00473691" w:rsidP="009714E8">
            <w:pPr>
              <w:spacing w:line="360" w:lineRule="exact"/>
              <w:jc w:val="both"/>
              <w:rPr>
                <w:lang w:val="x-none"/>
              </w:rPr>
            </w:pPr>
            <w:r w:rsidRPr="00AC77DF">
              <w:rPr>
                <w:b/>
                <w:lang w:val="x-none"/>
              </w:rPr>
              <w:t>相關國際人權公約：</w:t>
            </w:r>
            <w:r w:rsidRPr="00AC77DF">
              <w:t>公民與政治權利國際公約第</w:t>
            </w:r>
            <w:r w:rsidRPr="00AC77DF">
              <w:t>2</w:t>
            </w:r>
            <w:r w:rsidRPr="00AC77DF">
              <w:t>條、第</w:t>
            </w:r>
            <w:r w:rsidRPr="00AC77DF">
              <w:t>6</w:t>
            </w:r>
            <w:r w:rsidRPr="00AC77DF">
              <w:t>條第</w:t>
            </w:r>
            <w:r w:rsidRPr="00AC77DF">
              <w:t>1</w:t>
            </w:r>
            <w:r w:rsidRPr="00AC77DF">
              <w:t>項；經濟社會文化權利國際公約第</w:t>
            </w:r>
            <w:r w:rsidRPr="00AC77DF">
              <w:t>9</w:t>
            </w:r>
            <w:r w:rsidRPr="00AC77DF">
              <w:t>條、第</w:t>
            </w:r>
            <w:r w:rsidRPr="00AC77DF">
              <w:t>11</w:t>
            </w:r>
            <w:r w:rsidRPr="00AC77DF">
              <w:t>條第</w:t>
            </w:r>
            <w:r w:rsidRPr="00AC77DF">
              <w:t>1</w:t>
            </w:r>
            <w:r w:rsidRPr="00AC77DF">
              <w:t>項、第</w:t>
            </w:r>
            <w:r w:rsidRPr="00AC77DF">
              <w:t>12</w:t>
            </w:r>
            <w:r w:rsidRPr="00AC77DF">
              <w:t>條。</w:t>
            </w:r>
          </w:p>
          <w:p w:rsidR="00473691" w:rsidRPr="00AC77DF" w:rsidRDefault="00473691" w:rsidP="009714E8">
            <w:pPr>
              <w:spacing w:line="360" w:lineRule="exact"/>
              <w:jc w:val="both"/>
              <w:rPr>
                <w:b/>
                <w:lang w:val="x-none"/>
              </w:rPr>
            </w:pPr>
            <w:r w:rsidRPr="00AC77DF">
              <w:rPr>
                <w:b/>
              </w:rPr>
              <w:t>經濟社會文化權利國際公約第</w:t>
            </w:r>
            <w:r w:rsidRPr="00AC77DF">
              <w:rPr>
                <w:b/>
              </w:rPr>
              <w:t>9</w:t>
            </w:r>
            <w:r w:rsidRPr="00AC77DF">
              <w:rPr>
                <w:b/>
              </w:rPr>
              <w:t>條</w:t>
            </w:r>
          </w:p>
          <w:p w:rsidR="00473691" w:rsidRPr="00AC77DF" w:rsidRDefault="00473691" w:rsidP="009714E8">
            <w:pPr>
              <w:spacing w:line="360" w:lineRule="exact"/>
              <w:jc w:val="both"/>
              <w:rPr>
                <w:lang w:val="x-none"/>
              </w:rPr>
            </w:pPr>
            <w:r w:rsidRPr="00AC77DF">
              <w:rPr>
                <w:lang w:val="x-none"/>
              </w:rPr>
              <w:t>本公約締約國確認人人有權享受社會保障，包括社會保險。</w:t>
            </w:r>
          </w:p>
          <w:p w:rsidR="00473691" w:rsidRPr="00AC77DF" w:rsidRDefault="00473691" w:rsidP="009714E8">
            <w:pPr>
              <w:spacing w:line="360" w:lineRule="exact"/>
              <w:jc w:val="both"/>
              <w:rPr>
                <w:b/>
                <w:lang w:val="x-none"/>
              </w:rPr>
            </w:pPr>
            <w:r w:rsidRPr="00AC77DF">
              <w:rPr>
                <w:b/>
              </w:rPr>
              <w:t>經濟社會文化權利國際公約第</w:t>
            </w:r>
            <w:r w:rsidRPr="00AC77DF">
              <w:rPr>
                <w:b/>
              </w:rPr>
              <w:t>11</w:t>
            </w:r>
            <w:r w:rsidRPr="00AC77DF">
              <w:rPr>
                <w:b/>
              </w:rPr>
              <w:t>條</w:t>
            </w:r>
          </w:p>
          <w:p w:rsidR="00473691" w:rsidRPr="00AC77DF" w:rsidRDefault="00473691" w:rsidP="00ED31F5">
            <w:pPr>
              <w:spacing w:line="360" w:lineRule="exact"/>
              <w:ind w:left="480" w:hangingChars="200" w:hanging="480"/>
              <w:jc w:val="both"/>
              <w:rPr>
                <w:lang w:val="x-none"/>
              </w:rPr>
            </w:pPr>
            <w:r w:rsidRPr="00AC77DF">
              <w:rPr>
                <w:lang w:val="x-none"/>
              </w:rPr>
              <w:t>一、本公約締約國確認人人有權享受其本人及家屬所需之適當生活程度，包括適當之衣食住及不斷改善之生活環境。締約國將採取適當步驟確保此種權利之實現，同時確認在此方面基於自由同意之國際合作極為重要。</w:t>
            </w:r>
          </w:p>
          <w:p w:rsidR="00473691" w:rsidRPr="00AC77DF" w:rsidRDefault="00473691" w:rsidP="00ED31F5">
            <w:pPr>
              <w:spacing w:line="360" w:lineRule="exact"/>
              <w:ind w:left="480" w:hangingChars="200" w:hanging="480"/>
              <w:jc w:val="both"/>
              <w:rPr>
                <w:lang w:val="x-none"/>
              </w:rPr>
            </w:pPr>
            <w:r w:rsidRPr="00AC77DF">
              <w:rPr>
                <w:lang w:val="x-none"/>
              </w:rPr>
              <w:t>二、本公約締約國既確認人人有免受饑餓之基本權利，應個別及經由國際合作，採取為下列目的所需之措施，包括特定方案在內：</w:t>
            </w:r>
          </w:p>
          <w:p w:rsidR="00473691" w:rsidRPr="00AC77DF" w:rsidRDefault="00014F9B" w:rsidP="00014F9B">
            <w:pPr>
              <w:spacing w:line="360" w:lineRule="exact"/>
              <w:ind w:left="910" w:hangingChars="379" w:hanging="910"/>
              <w:jc w:val="both"/>
              <w:rPr>
                <w:lang w:val="x-none"/>
              </w:rPr>
            </w:pPr>
            <w:r>
              <w:rPr>
                <w:rFonts w:hint="eastAsia"/>
                <w:lang w:val="x-none"/>
              </w:rPr>
              <w:t xml:space="preserve">　　</w:t>
            </w:r>
            <w:r>
              <w:rPr>
                <w:rFonts w:hint="eastAsia"/>
                <w:lang w:val="x-none"/>
              </w:rPr>
              <w:t>(</w:t>
            </w:r>
            <w:r w:rsidR="00473691" w:rsidRPr="00AC77DF">
              <w:rPr>
                <w:lang w:val="x-none"/>
              </w:rPr>
              <w:t>一</w:t>
            </w:r>
            <w:r>
              <w:rPr>
                <w:rFonts w:hint="eastAsia"/>
                <w:lang w:val="x-none"/>
              </w:rPr>
              <w:t>)</w:t>
            </w:r>
            <w:r w:rsidR="00473691" w:rsidRPr="00AC77DF">
              <w:rPr>
                <w:lang w:val="x-none"/>
              </w:rPr>
              <w:t>充分利用技術與科學知識、傳佈營養原則之知識、及發展或改革土地制度而使天然資源獲得最有效之開發與利用，以改進糧食生產、保貯及分配之方法；</w:t>
            </w:r>
          </w:p>
          <w:p w:rsidR="00473691" w:rsidRDefault="00014F9B" w:rsidP="00014F9B">
            <w:pPr>
              <w:spacing w:line="360" w:lineRule="exact"/>
              <w:ind w:left="910" w:hangingChars="379" w:hanging="910"/>
              <w:jc w:val="both"/>
            </w:pPr>
            <w:r>
              <w:rPr>
                <w:rFonts w:hint="eastAsia"/>
                <w:lang w:val="x-none"/>
              </w:rPr>
              <w:t xml:space="preserve">　　</w:t>
            </w:r>
            <w:r>
              <w:rPr>
                <w:rFonts w:hint="eastAsia"/>
                <w:lang w:val="x-none"/>
              </w:rPr>
              <w:t>(</w:t>
            </w:r>
            <w:r w:rsidR="00473691" w:rsidRPr="00AC77DF">
              <w:rPr>
                <w:lang w:val="x-none"/>
              </w:rPr>
              <w:t>二</w:t>
            </w:r>
            <w:r>
              <w:rPr>
                <w:rFonts w:hint="eastAsia"/>
                <w:lang w:val="x-none"/>
              </w:rPr>
              <w:t>)</w:t>
            </w:r>
            <w:r w:rsidR="00473691" w:rsidRPr="00AC77DF">
              <w:rPr>
                <w:lang w:val="x-none"/>
              </w:rPr>
              <w:t>計及糧食輸入及輸出國家雙方問題，確保世界糧食供應按照需要，公平分配。</w:t>
            </w:r>
          </w:p>
        </w:tc>
      </w:tr>
    </w:tbl>
    <w:p w:rsidR="00DC6B74" w:rsidRDefault="00DC6B74" w:rsidP="00DC6B74">
      <w:pPr>
        <w:pStyle w:val="1---"/>
        <w:ind w:firstLine="480"/>
        <w:rPr>
          <w:lang w:eastAsia="zh-TW"/>
        </w:rPr>
      </w:pPr>
    </w:p>
    <w:p w:rsidR="00DC6B74" w:rsidRDefault="00DC6B74" w:rsidP="00DC6B74">
      <w:pPr>
        <w:pStyle w:val="afff1"/>
        <w:spacing w:before="360" w:after="360"/>
      </w:pPr>
    </w:p>
    <w:p w:rsidR="003807A5" w:rsidRPr="00AC77DF" w:rsidRDefault="00DC6B74" w:rsidP="00DC6B74">
      <w:pPr>
        <w:pStyle w:val="afff1"/>
        <w:spacing w:before="360" w:after="360"/>
      </w:pPr>
      <w:r>
        <w:rPr>
          <w:rFonts w:hint="eastAsia"/>
        </w:rPr>
        <w:lastRenderedPageBreak/>
        <w:t>(一)</w:t>
      </w:r>
      <w:r w:rsidR="003807A5" w:rsidRPr="00AC77DF">
        <w:t>案情簡述</w:t>
      </w:r>
    </w:p>
    <w:p w:rsidR="003807A5" w:rsidRPr="00AC77DF" w:rsidRDefault="003807A5" w:rsidP="002B4E20">
      <w:pPr>
        <w:pStyle w:val="1---"/>
        <w:ind w:firstLine="480"/>
      </w:pPr>
      <w:r w:rsidRPr="00AC77DF">
        <w:t>桃園市龍潭區龍元路某私立愛心老人長期照顧中心（養護型</w:t>
      </w:r>
      <w:r w:rsidRPr="000A2A42">
        <w:rPr>
          <w:spacing w:val="-30"/>
        </w:rPr>
        <w:t>）</w:t>
      </w:r>
      <w:r w:rsidRPr="00AC77DF">
        <w:t>（簡稱愛心老人長照中心）發生火警致死案，究相關權責機關是否落實長期照護中心安檢及管理等機制，有無違失及怠忽職守等情，監察委員認有瞭解必要，而立案調查。</w:t>
      </w:r>
    </w:p>
    <w:p w:rsidR="003807A5" w:rsidRPr="00AC77DF" w:rsidRDefault="00DC6B74" w:rsidP="00DC6B74">
      <w:pPr>
        <w:pStyle w:val="afff1"/>
        <w:spacing w:before="360" w:after="360"/>
      </w:pPr>
      <w:r>
        <w:rPr>
          <w:rFonts w:hint="eastAsia"/>
        </w:rPr>
        <w:t>(二)</w:t>
      </w:r>
      <w:r w:rsidR="003807A5" w:rsidRPr="00AC77DF">
        <w:t>監察院調查發現與建議</w:t>
      </w:r>
    </w:p>
    <w:p w:rsidR="003807A5" w:rsidRPr="00AC77DF" w:rsidRDefault="00682251" w:rsidP="00D92DAE">
      <w:pPr>
        <w:pStyle w:val="1--13"/>
        <w:spacing w:before="180" w:after="180"/>
      </w:pPr>
      <w:r w:rsidRPr="008E1832">
        <w:rPr>
          <w:rFonts w:hint="eastAsia"/>
        </w:rPr>
        <w:t>˙</w:t>
      </w:r>
      <w:r w:rsidR="003807A5" w:rsidRPr="00AC77DF">
        <w:t>違法收容住民</w:t>
      </w:r>
    </w:p>
    <w:p w:rsidR="003807A5" w:rsidRPr="00AC77DF" w:rsidRDefault="003807A5" w:rsidP="002B4E20">
      <w:pPr>
        <w:pStyle w:val="1---"/>
        <w:ind w:firstLine="480"/>
      </w:pPr>
      <w:r w:rsidRPr="00AC77DF">
        <w:t>桃園市政府對桃園市私立愛心老人長照中心</w:t>
      </w:r>
      <w:r w:rsidRPr="00AC77DF">
        <w:t>2</w:t>
      </w:r>
      <w:r w:rsidRPr="00AC77DF">
        <w:t>樓違法收容</w:t>
      </w:r>
      <w:r w:rsidRPr="00AC77DF">
        <w:t>1</w:t>
      </w:r>
      <w:r w:rsidRPr="000A2A42">
        <w:rPr>
          <w:spacing w:val="-30"/>
        </w:rPr>
        <w:t>6</w:t>
      </w:r>
      <w:r w:rsidRPr="00AC77DF">
        <w:t>名住民，將其置於未依消防法等規定設置標準設置火警自動警報設備、自動撒水設備及其他消防安全設備之場所，竟不知情；復對歷次聯合稽查發現該中心自成立以來持續存在之照服員及護理人員不足之違規問題，未能有效督促並追蹤確認已確實完成改善，使火災發生後收容住民之生存權及生命權受到剝奪及損害。</w:t>
      </w:r>
    </w:p>
    <w:p w:rsidR="003807A5" w:rsidRPr="00AC77DF" w:rsidRDefault="00682251" w:rsidP="00D92DAE">
      <w:pPr>
        <w:pStyle w:val="1--13"/>
        <w:spacing w:before="180" w:after="180"/>
      </w:pPr>
      <w:r w:rsidRPr="008E1832">
        <w:rPr>
          <w:rFonts w:hint="eastAsia"/>
        </w:rPr>
        <w:t>˙</w:t>
      </w:r>
      <w:r w:rsidR="003807A5" w:rsidRPr="00AC77DF">
        <w:t>未督促機構檢討改善缺失</w:t>
      </w:r>
    </w:p>
    <w:p w:rsidR="003807A5" w:rsidRPr="00AC77DF" w:rsidRDefault="003807A5" w:rsidP="002B4E20">
      <w:pPr>
        <w:pStyle w:val="1---"/>
        <w:ind w:firstLine="480"/>
      </w:pPr>
      <w:r w:rsidRPr="00AC77DF">
        <w:t>桃園市政府未將發現之問題進行跨局處之協調或聯繫，對於檢查發現之缺失，未能有效督促機構確實檢討改善；對於建物僅查對是否已提具建築物公共安全檢查簽證申報書，而未對實質公共安全問題進行專業檢查。昇降設備以裝修材料封閉並設置扶手掩飾，但其接縫處清晰可見，大小尺寸約略與「門」</w:t>
      </w:r>
      <w:r w:rsidRPr="00AC77DF">
        <w:lastRenderedPageBreak/>
        <w:t>等同，難謂與白牆完全融合，卻從未發現該中心設有昇降設備可往返</w:t>
      </w:r>
      <w:r w:rsidRPr="00AC77DF">
        <w:t>1</w:t>
      </w:r>
      <w:r w:rsidRPr="00AC77DF">
        <w:t>、</w:t>
      </w:r>
      <w:r w:rsidRPr="00AC77DF">
        <w:t>2</w:t>
      </w:r>
      <w:r w:rsidRPr="00AC77DF">
        <w:t>樓間。該府之聯合稽查、消防安全檢查流於形式。</w:t>
      </w:r>
    </w:p>
    <w:p w:rsidR="003807A5" w:rsidRPr="00AC77DF" w:rsidRDefault="003807A5" w:rsidP="002B4E20">
      <w:pPr>
        <w:pStyle w:val="1---"/>
        <w:ind w:firstLine="480"/>
      </w:pPr>
      <w:r w:rsidRPr="00AC77DF">
        <w:t>桃園市社會局於火災發生前，對愛心老人長照中心稽查</w:t>
      </w:r>
      <w:r w:rsidRPr="00AC77DF">
        <w:t>6</w:t>
      </w:r>
      <w:r w:rsidRPr="00AC77DF">
        <w:t>次，該中心在關於護理人員配置及值班項目之稽查結果，從未符合規定，且多次發現有照服員人力不足問題及收容超過核定人數之超收情事。該局對該中心未依法確實改善卻函報完成改善後，或未進行複查即草率結案，致已屆完成改善期日但違法狀態卻持續存在；或複查發現該中心對於發現之缺失，仍未完成改善，卻未依法行政，以老人福利法第</w:t>
      </w:r>
      <w:r w:rsidRPr="00AC77DF">
        <w:t>47</w:t>
      </w:r>
      <w:r w:rsidRPr="00AC77DF">
        <w:t>條第</w:t>
      </w:r>
      <w:r w:rsidRPr="00AC77DF">
        <w:t>2</w:t>
      </w:r>
      <w:r w:rsidRPr="00AC77DF">
        <w:t>項規定處理。另衛福部及桃園市政府對於愛心老人長照中心多次違規，仍以輔導協助立場，未依老人福利法相關規定予以處分，即使造成重大傷亡，仍得繼續開業，令老人福利機構設立標準之規範形同具文，且與保障進住老人之權益及服務品質之目的有違，應予檢討改進或研議修正相關法令規定。</w:t>
      </w:r>
    </w:p>
    <w:p w:rsidR="003807A5" w:rsidRPr="00AC77DF" w:rsidRDefault="00682251" w:rsidP="00D92DAE">
      <w:pPr>
        <w:pStyle w:val="1--13"/>
        <w:spacing w:before="180" w:after="180"/>
      </w:pPr>
      <w:r w:rsidRPr="008E1832">
        <w:rPr>
          <w:rFonts w:hint="eastAsia"/>
        </w:rPr>
        <w:t>˙</w:t>
      </w:r>
      <w:r w:rsidR="003807A5" w:rsidRPr="00AC77DF">
        <w:t>對老人福利機構管理制度鬆散</w:t>
      </w:r>
    </w:p>
    <w:p w:rsidR="003807A5" w:rsidRPr="00AC77DF" w:rsidRDefault="003807A5" w:rsidP="002B4E20">
      <w:pPr>
        <w:pStyle w:val="1---"/>
        <w:ind w:firstLine="480"/>
      </w:pPr>
      <w:r w:rsidRPr="00AC77DF">
        <w:t>桃園市社會局對於老人福利機構管理制度鬆散，執行管制有欠確實，管理與安置業務各行其是，欠缺整合及交流。</w:t>
      </w:r>
    </w:p>
    <w:p w:rsidR="003807A5" w:rsidRPr="00AC77DF" w:rsidRDefault="00682251" w:rsidP="00D92DAE">
      <w:pPr>
        <w:pStyle w:val="1--13"/>
        <w:spacing w:before="180" w:after="180"/>
      </w:pPr>
      <w:r w:rsidRPr="008E1832">
        <w:rPr>
          <w:rFonts w:hint="eastAsia"/>
        </w:rPr>
        <w:t>˙</w:t>
      </w:r>
      <w:r w:rsidR="003807A5" w:rsidRPr="00AC77DF">
        <w:t>違規擴充樓層</w:t>
      </w:r>
    </w:p>
    <w:p w:rsidR="003807A5" w:rsidRPr="00AC77DF" w:rsidRDefault="003807A5" w:rsidP="002B4E20">
      <w:pPr>
        <w:pStyle w:val="1---"/>
        <w:ind w:firstLine="480"/>
      </w:pPr>
      <w:r w:rsidRPr="00AC77DF">
        <w:t>愛心老人長照中心建築物辦理變更使用執照（含室內裝修審查）過程，相關審查機構及原桃園縣政府主管建築機關全然無視申請範圍內存在既有昇降設備，不僅未要求區隔處置，亦未要求檢討垂直防火區劃，致該中心隱匿並違規擴充至第</w:t>
      </w:r>
      <w:r w:rsidRPr="00AC77DF">
        <w:t>2</w:t>
      </w:r>
      <w:r w:rsidRPr="00AC77DF">
        <w:t>層使用，甚而致災。桃園市政府事後雖檢討研擬訂定變更使用執</w:t>
      </w:r>
      <w:r w:rsidRPr="00AC77DF">
        <w:lastRenderedPageBreak/>
        <w:t>照申請案件之設計簽證事項抽查懲戒制度，並限期建物使用人改善昇降設備空間，</w:t>
      </w:r>
      <w:r w:rsidR="007F2D63">
        <w:rPr>
          <w:rFonts w:hint="eastAsia"/>
          <w:lang w:eastAsia="zh-TW"/>
        </w:rPr>
        <w:t>惟</w:t>
      </w:r>
      <w:r w:rsidRPr="00AC77DF">
        <w:t>長期照護中心相關機構所收容住民多屬行動不便之避難弱勢者，舊有建築物變更為該等用途使用時，主管建築機關更應確實查驗防火設施及防火區劃是否確實檢討，以保障該機構住民之居住安全。</w:t>
      </w:r>
    </w:p>
    <w:p w:rsidR="003807A5" w:rsidRPr="00AC77DF" w:rsidRDefault="003807A5" w:rsidP="002B4E20">
      <w:pPr>
        <w:pStyle w:val="1---"/>
        <w:ind w:firstLine="480"/>
      </w:pPr>
      <w:r w:rsidRPr="00AC77DF">
        <w:t>長期照護機構內常有很多易燃物品，且所收容住民多係避難弱者或無避難能力者，其逃生及救助均屬困難，惟目前法令對一定規模以下小型機構，尚無強制設置自動撒水等初期滅火設備規定。是故，強化該等機構火災預防機制更顯重要。本案愛心老人長照中心因長時間停電，疑因使用燭火照明，不慎致災，顯見照明設備及燭火使用，欠缺妥善規範。又該機構雖每年辦理</w:t>
      </w:r>
      <w:r w:rsidRPr="00AC77DF">
        <w:t>2</w:t>
      </w:r>
      <w:r w:rsidRPr="00AC77DF">
        <w:t>次自衛消防編組演練，惟自衛消防編組人員係由機構人員進行編組，機構卻常面臨照顧人力不足之情形，其自衛消防編組演練成效令人質疑。</w:t>
      </w:r>
    </w:p>
    <w:p w:rsidR="003807A5" w:rsidRPr="00AC77DF" w:rsidRDefault="003807A5" w:rsidP="002B4E20">
      <w:pPr>
        <w:pStyle w:val="1---"/>
        <w:ind w:firstLine="480"/>
      </w:pPr>
      <w:r w:rsidRPr="00AC77DF">
        <w:t>依據本案調查意見</w:t>
      </w:r>
      <w:r w:rsidRPr="005F1DE2">
        <w:rPr>
          <w:rStyle w:val="aff2"/>
          <w:color w:val="000000" w:themeColor="text1"/>
        </w:rPr>
        <w:footnoteReference w:id="45"/>
      </w:r>
      <w:r w:rsidRPr="00AC77DF">
        <w:t>，監察院糾正桃園市政府暨所屬社會局及該府建築管理處，並函請衛福部及內政部消防署</w:t>
      </w:r>
      <w:r w:rsidRPr="0025002C">
        <w:rPr>
          <w:rFonts w:hint="eastAsia"/>
        </w:rPr>
        <w:t>（簡稱消防署）</w:t>
      </w:r>
      <w:r w:rsidRPr="00AC77DF">
        <w:t>檢討改進見復。</w:t>
      </w:r>
    </w:p>
    <w:p w:rsidR="003807A5" w:rsidRPr="00AC77DF" w:rsidRDefault="00DC6B74" w:rsidP="00DC6B74">
      <w:pPr>
        <w:pStyle w:val="afff1"/>
        <w:spacing w:before="360" w:after="360"/>
      </w:pPr>
      <w:r>
        <w:rPr>
          <w:rFonts w:hint="eastAsia"/>
        </w:rPr>
        <w:t>(三)</w:t>
      </w:r>
      <w:r w:rsidR="003807A5" w:rsidRPr="00AC77DF">
        <w:t>政府機關改善情形</w:t>
      </w:r>
    </w:p>
    <w:p w:rsidR="003807A5" w:rsidRPr="00AC77DF" w:rsidRDefault="003807A5" w:rsidP="007373B4">
      <w:pPr>
        <w:pStyle w:val="1---"/>
        <w:ind w:leftChars="100" w:left="600" w:hangingChars="150" w:hanging="360"/>
      </w:pPr>
      <w:r w:rsidRPr="00AC77DF">
        <w:t>1</w:t>
      </w:r>
      <w:r w:rsidRPr="00AC77DF">
        <w:t>、桃園市政府</w:t>
      </w:r>
    </w:p>
    <w:p w:rsidR="003807A5" w:rsidRPr="00AC77DF" w:rsidRDefault="003807A5" w:rsidP="00962B27">
      <w:pPr>
        <w:pStyle w:val="1--1"/>
        <w:ind w:left="1080" w:hanging="600"/>
      </w:pPr>
      <w:r w:rsidRPr="00AC77DF">
        <w:t>（</w:t>
      </w:r>
      <w:r w:rsidRPr="00AC77DF">
        <w:t>1</w:t>
      </w:r>
      <w:r w:rsidRPr="00AC77DF">
        <w:t>）火災發生後至</w:t>
      </w:r>
      <w:r w:rsidRPr="00AC77DF">
        <w:t>106</w:t>
      </w:r>
      <w:r w:rsidRPr="00AC77DF">
        <w:t>年</w:t>
      </w:r>
      <w:r w:rsidRPr="00AC77DF">
        <w:t>5</w:t>
      </w:r>
      <w:r w:rsidRPr="00AC77DF">
        <w:t>月底，針對愛心老人長照中心照顧人力進行密集查核及輔導，並督促該中心改善。</w:t>
      </w:r>
      <w:r w:rsidRPr="00AC77DF">
        <w:lastRenderedPageBreak/>
        <w:t>另於</w:t>
      </w:r>
      <w:r w:rsidRPr="00AC77DF">
        <w:t>106</w:t>
      </w:r>
      <w:r w:rsidRPr="00AC77DF">
        <w:t>年</w:t>
      </w:r>
      <w:r w:rsidRPr="00AC77DF">
        <w:t>4</w:t>
      </w:r>
      <w:r w:rsidRPr="00AC77DF">
        <w:t>月</w:t>
      </w:r>
      <w:r w:rsidRPr="00AC77DF">
        <w:t>26</w:t>
      </w:r>
      <w:r w:rsidRPr="00AC77DF">
        <w:t>日及</w:t>
      </w:r>
      <w:r w:rsidRPr="00AC77DF">
        <w:t>5</w:t>
      </w:r>
      <w:r w:rsidRPr="00AC77DF">
        <w:t>月</w:t>
      </w:r>
      <w:r w:rsidRPr="00AC77DF">
        <w:t>1</w:t>
      </w:r>
      <w:r w:rsidRPr="00AC77DF">
        <w:t>日複查查核缺失，其護理人員與照顧服務員人力及當值情形，尚符規定。</w:t>
      </w:r>
    </w:p>
    <w:p w:rsidR="003807A5" w:rsidRPr="00AC77DF" w:rsidRDefault="003807A5" w:rsidP="00962B27">
      <w:pPr>
        <w:pStyle w:val="1--1"/>
        <w:ind w:left="1080" w:hanging="600"/>
      </w:pPr>
      <w:r w:rsidRPr="00AC77DF">
        <w:t>（</w:t>
      </w:r>
      <w:r w:rsidRPr="00AC77DF">
        <w:t>2</w:t>
      </w:r>
      <w:r w:rsidRPr="00AC77DF">
        <w:t>）桃園市政府消防局針對轄內列管「老人福利機構等類似場所」全數進行消防安全檢查，針對不符規定者，均依規定開立限期改善通知單，並將持續追蹤至改善為止。</w:t>
      </w:r>
    </w:p>
    <w:p w:rsidR="003807A5" w:rsidRPr="00AC77DF" w:rsidRDefault="003807A5" w:rsidP="00962B27">
      <w:pPr>
        <w:pStyle w:val="1--1"/>
        <w:ind w:left="1080" w:hanging="600"/>
      </w:pPr>
      <w:r w:rsidRPr="00AC77DF">
        <w:t>（</w:t>
      </w:r>
      <w:r w:rsidRPr="00AC77DF">
        <w:t>3</w:t>
      </w:r>
      <w:r w:rsidRPr="00AC77DF">
        <w:t>）由桃園市市長於</w:t>
      </w:r>
      <w:r w:rsidRPr="00AC77DF">
        <w:t>106</w:t>
      </w:r>
      <w:r w:rsidRPr="00AC77DF">
        <w:t>年</w:t>
      </w:r>
      <w:r w:rsidRPr="00AC77DF">
        <w:t>3</w:t>
      </w:r>
      <w:r w:rsidRPr="00AC77DF">
        <w:t>月</w:t>
      </w:r>
      <w:r w:rsidRPr="00AC77DF">
        <w:t>29</w:t>
      </w:r>
      <w:r w:rsidRPr="00AC77DF">
        <w:t>日親自帶隊，率各局處人員突擊檢查轄內</w:t>
      </w:r>
      <w:r w:rsidRPr="00AC77DF">
        <w:t>3</w:t>
      </w:r>
      <w:r w:rsidRPr="00AC77DF">
        <w:t>家小型老人福利機構，其中</w:t>
      </w:r>
      <w:r w:rsidRPr="00AC77DF">
        <w:t>2</w:t>
      </w:r>
      <w:r w:rsidRPr="00AC77DF">
        <w:t>家經限期改善及複查後完成改善，</w:t>
      </w:r>
      <w:r w:rsidRPr="00AC77DF">
        <w:t>1</w:t>
      </w:r>
      <w:r w:rsidRPr="00AC77DF">
        <w:t>家已裁罰</w:t>
      </w:r>
      <w:r w:rsidRPr="00AC77DF">
        <w:t>24</w:t>
      </w:r>
      <w:r w:rsidRPr="00AC77DF">
        <w:t>萬元。另將轄內老人福利機構依稽查結果，區分等級，以利後續列管、複查及輔導。此外，定期召開聯合稽查（社政查核、複查）行前會及查核後之檢討輔導會議，作為來年稽查方向及辦理方式之參考。</w:t>
      </w:r>
    </w:p>
    <w:p w:rsidR="003807A5" w:rsidRPr="00AC77DF" w:rsidRDefault="003807A5" w:rsidP="00962B27">
      <w:pPr>
        <w:pStyle w:val="1--1"/>
        <w:ind w:left="1080" w:hanging="600"/>
      </w:pPr>
      <w:r w:rsidRPr="00AC77DF">
        <w:t>（</w:t>
      </w:r>
      <w:r w:rsidR="00962B27">
        <w:rPr>
          <w:rFonts w:hint="eastAsia"/>
        </w:rPr>
        <w:t>4</w:t>
      </w:r>
      <w:r w:rsidRPr="00AC77DF">
        <w:t>）桃園市建管處會同桃園市建築師公會、桃園市建築物公共安全檢查商業同業公會、桃園市室內設計裝修商業同業公會等專業團體，研訂桃園市申報場所之防火避難設施、設備安全檢查紀錄重點，加強昇降設備之設置位置及其開口尺寸（或停用封閉材料防火性能）標示、分間牆（內部裝修材料）明顯接合處之檢查。申報場所內部裝修材料經檢查需汰換者，將明定由內政部認可之室內裝修專業施工技術人員執行改善工程，並規範改善完成後需檢具材料證明及完工照片辦理備查手續，納入追蹤管理。</w:t>
      </w:r>
    </w:p>
    <w:p w:rsidR="003807A5" w:rsidRPr="00AC77DF" w:rsidRDefault="003807A5" w:rsidP="00962B27">
      <w:pPr>
        <w:pStyle w:val="1--1"/>
        <w:ind w:left="1080" w:hanging="600"/>
      </w:pPr>
      <w:r w:rsidRPr="00AC77DF">
        <w:t>（</w:t>
      </w:r>
      <w:r w:rsidR="00962B27">
        <w:rPr>
          <w:rFonts w:hint="eastAsia"/>
        </w:rPr>
        <w:t>5</w:t>
      </w:r>
      <w:r w:rsidRPr="00AC77DF">
        <w:t>）針對愛心老人長照中心火災事件，桃園市社會局於火災發生隔日即邀集建管處、消防局與衛福部社會及家</w:t>
      </w:r>
      <w:r w:rsidRPr="00AC77DF">
        <w:lastRenderedPageBreak/>
        <w:t>庭署（下稱社家署）召開檢討研商會議，該局並已依老人福利法第</w:t>
      </w:r>
      <w:r w:rsidRPr="00AC77DF">
        <w:t>48</w:t>
      </w:r>
      <w:r w:rsidRPr="00AC77DF">
        <w:t>條及第</w:t>
      </w:r>
      <w:r w:rsidRPr="00AC77DF">
        <w:t>49</w:t>
      </w:r>
      <w:r w:rsidRPr="00AC77DF">
        <w:t>條規定裁罰該中心</w:t>
      </w:r>
      <w:r w:rsidRPr="00AC77DF">
        <w:t>36</w:t>
      </w:r>
      <w:r w:rsidRPr="00AC77DF">
        <w:t>萬元。</w:t>
      </w:r>
    </w:p>
    <w:p w:rsidR="003807A5" w:rsidRPr="00AC77DF" w:rsidRDefault="003807A5" w:rsidP="00962B27">
      <w:pPr>
        <w:pStyle w:val="1--1"/>
        <w:ind w:left="1080" w:hanging="600"/>
      </w:pPr>
      <w:r w:rsidRPr="00AC77DF">
        <w:t>（</w:t>
      </w:r>
      <w:r w:rsidR="00962B27">
        <w:rPr>
          <w:rFonts w:hint="eastAsia"/>
        </w:rPr>
        <w:t>6</w:t>
      </w:r>
      <w:r w:rsidRPr="00AC77DF">
        <w:t>）桃園市社會局會同各局處辦理機構聯合稽查，針對違反老人福利法第</w:t>
      </w:r>
      <w:r w:rsidRPr="00AC77DF">
        <w:t>46</w:t>
      </w:r>
      <w:r w:rsidRPr="00AC77DF">
        <w:t>條至第</w:t>
      </w:r>
      <w:r w:rsidRPr="00AC77DF">
        <w:t>48</w:t>
      </w:r>
      <w:r w:rsidRPr="00AC77DF">
        <w:t>條事項者（如人力配置、緊急呼叫鈴之運作情形等</w:t>
      </w:r>
      <w:r w:rsidRPr="00962B27">
        <w:rPr>
          <w:spacing w:val="-30"/>
        </w:rPr>
        <w:t>）</w:t>
      </w:r>
      <w:r w:rsidRPr="00AC77DF">
        <w:t>，要求機構限期改善，並落實複查（含夜間複查</w:t>
      </w:r>
      <w:r w:rsidRPr="00962B27">
        <w:rPr>
          <w:spacing w:val="-30"/>
        </w:rPr>
        <w:t>）</w:t>
      </w:r>
      <w:r w:rsidRPr="00AC77DF">
        <w:t>，並於複查後發現未改善者，即依法裁處。另</w:t>
      </w:r>
      <w:r w:rsidRPr="00AC77DF">
        <w:t>106</w:t>
      </w:r>
      <w:r w:rsidRPr="00AC77DF">
        <w:t>年度</w:t>
      </w:r>
      <w:r w:rsidR="000608E9">
        <w:rPr>
          <w:rFonts w:hint="eastAsia"/>
        </w:rPr>
        <w:t>起已</w:t>
      </w:r>
      <w:r w:rsidRPr="00AC77DF">
        <w:t>辦理聯合稽查共計</w:t>
      </w:r>
      <w:r w:rsidRPr="00AC77DF">
        <w:t>4</w:t>
      </w:r>
      <w:r w:rsidRPr="00962B27">
        <w:rPr>
          <w:spacing w:val="-12"/>
        </w:rPr>
        <w:t>3</w:t>
      </w:r>
      <w:r w:rsidRPr="00AC77DF">
        <w:t>家，計裁處</w:t>
      </w:r>
      <w:r w:rsidRPr="00AC77DF">
        <w:t>7</w:t>
      </w:r>
      <w:r w:rsidRPr="00AC77DF">
        <w:t>家機構，裁處事項包括限期改善期間增加收容老人、違反原許可設立之標準（含超收插管住民、護理人力聘用不足、照顧服務員當值人力不足、夜間未有本國籍照顧服務員當值</w:t>
      </w:r>
      <w:r w:rsidRPr="00962B27">
        <w:rPr>
          <w:spacing w:val="-30"/>
        </w:rPr>
        <w:t>）</w:t>
      </w:r>
      <w:r w:rsidRPr="00AC77DF">
        <w:t>、住民書面契約書未見改善等，裁處金額計</w:t>
      </w:r>
      <w:r w:rsidRPr="00AC77DF">
        <w:t>111</w:t>
      </w:r>
      <w:r w:rsidRPr="00AC77DF">
        <w:t>萬元；另有關未立案機構部分，裁處</w:t>
      </w:r>
      <w:r w:rsidRPr="00AC77DF">
        <w:t>3</w:t>
      </w:r>
      <w:r w:rsidRPr="00AC77DF">
        <w:t>家（平鎮漢口街、中義愛心公德會、禾安</w:t>
      </w:r>
      <w:r w:rsidRPr="00962B27">
        <w:rPr>
          <w:spacing w:val="-30"/>
        </w:rPr>
        <w:t>）</w:t>
      </w:r>
      <w:r w:rsidRPr="00AC77DF">
        <w:t>，金額共計</w:t>
      </w:r>
      <w:r w:rsidRPr="00AC77DF">
        <w:t>63</w:t>
      </w:r>
      <w:r w:rsidRPr="00AC77DF">
        <w:t>萬元。</w:t>
      </w:r>
    </w:p>
    <w:p w:rsidR="003807A5" w:rsidRPr="00AC77DF" w:rsidRDefault="003807A5" w:rsidP="00962B27">
      <w:pPr>
        <w:pStyle w:val="1--1"/>
        <w:ind w:left="1080" w:hanging="600"/>
      </w:pPr>
      <w:r w:rsidRPr="00AC77DF">
        <w:t>（</w:t>
      </w:r>
      <w:r w:rsidR="00962B27">
        <w:rPr>
          <w:rFonts w:hint="eastAsia"/>
        </w:rPr>
        <w:t>7</w:t>
      </w:r>
      <w:r w:rsidRPr="00AC77DF">
        <w:t>）為提升機構查核人員之敏感度及專業性，由桃園市社會局於</w:t>
      </w:r>
      <w:r w:rsidRPr="00AC77DF">
        <w:t>106</w:t>
      </w:r>
      <w:r w:rsidRPr="00AC77DF">
        <w:t>年</w:t>
      </w:r>
      <w:r w:rsidRPr="00AC77DF">
        <w:t>7</w:t>
      </w:r>
      <w:r w:rsidRPr="00AC77DF">
        <w:t>月</w:t>
      </w:r>
      <w:r w:rsidRPr="00AC77DF">
        <w:t>5</w:t>
      </w:r>
      <w:r w:rsidRPr="00AC77DF">
        <w:t>日邀請具評鑑及輔導機構實務經驗之專家，輔導查核人員之查察技巧，提升專業知能。另為落實聯合稽查之周延性，除加入時間欄位、照顧品質建議欄位等，增加其他備註項目，包括：電梯等升降設備、夾板、機構員工排班表、機構收容名冊等，以提升查核人員之敏感度，並針對品質指標給予機構輔導及建議，逐步提升轄內機構照顧品質，同時即早發現違法事件，避免類此事件再度發生。</w:t>
      </w:r>
    </w:p>
    <w:p w:rsidR="003807A5" w:rsidRPr="00AC77DF" w:rsidRDefault="003807A5" w:rsidP="00962B27">
      <w:pPr>
        <w:pStyle w:val="1--1"/>
        <w:ind w:left="1080" w:hanging="600"/>
      </w:pPr>
      <w:r w:rsidRPr="00AC77DF">
        <w:t>（</w:t>
      </w:r>
      <w:r w:rsidR="00962B27">
        <w:rPr>
          <w:rFonts w:hint="eastAsia"/>
        </w:rPr>
        <w:t>8</w:t>
      </w:r>
      <w:r w:rsidRPr="00AC77DF">
        <w:t>）桃園市社會局為強化管理安置個案之空間合法性，於</w:t>
      </w:r>
      <w:r w:rsidRPr="00AC77DF">
        <w:lastRenderedPageBreak/>
        <w:t>106</w:t>
      </w:r>
      <w:r w:rsidRPr="00AC77DF">
        <w:t>年</w:t>
      </w:r>
      <w:r w:rsidRPr="00AC77DF">
        <w:t>6</w:t>
      </w:r>
      <w:r w:rsidRPr="00AC77DF">
        <w:t>月</w:t>
      </w:r>
      <w:r w:rsidRPr="00AC77DF">
        <w:t>28</w:t>
      </w:r>
      <w:r w:rsidRPr="00AC77DF">
        <w:t>日由該局邀集老人福利科、社會工作科及身心障礙福利科，研商強化局內各科安置個案與機構管理業務間之資訊暢通管道，決議以安置會簽敘明相關資訊外，並透過異常通報表即時掌握個案安置處變動。未來透過系統之建置，讓安置社工瞭解機構各項查核結果及提升敏感度，並設計回饋意見欄位，讓機構管理承辦人掌握機構相關資訊。另為加強教育社工人員對機構立案管理之認識，業於</w:t>
      </w:r>
      <w:r w:rsidRPr="00AC77DF">
        <w:t>106</w:t>
      </w:r>
      <w:r w:rsidRPr="00AC77DF">
        <w:t>年</w:t>
      </w:r>
      <w:r w:rsidRPr="00AC77DF">
        <w:t>6</w:t>
      </w:r>
      <w:r w:rsidRPr="00AC77DF">
        <w:t>月</w:t>
      </w:r>
      <w:r w:rsidRPr="00AC77DF">
        <w:t>1</w:t>
      </w:r>
      <w:r w:rsidRPr="00962B27">
        <w:rPr>
          <w:spacing w:val="-30"/>
        </w:rPr>
        <w:t>3</w:t>
      </w:r>
      <w:r w:rsidRPr="00AC77DF">
        <w:t>日社工督導行政會議時，辦理教育訓練，由機構管理承辦人員說明機構立案與管理基本資訊，及必要概念之認識，提高社工人員對機構狀態之敏感度。</w:t>
      </w:r>
    </w:p>
    <w:p w:rsidR="003807A5" w:rsidRPr="00AC77DF" w:rsidRDefault="003807A5" w:rsidP="00962B27">
      <w:pPr>
        <w:pStyle w:val="1--1"/>
        <w:ind w:left="1080" w:hanging="600"/>
      </w:pPr>
      <w:r w:rsidRPr="00AC77DF">
        <w:t>（</w:t>
      </w:r>
      <w:r w:rsidR="00962B27">
        <w:rPr>
          <w:rFonts w:hint="eastAsia"/>
        </w:rPr>
        <w:t>9</w:t>
      </w:r>
      <w:r w:rsidRPr="00AC77DF">
        <w:t>）為確保利用既有老舊建築物申請變更為老人福利機構之場所安全及其無障礙環境建構品質，該府建築管理處依「既有公共建築物無障礙設施替代改善計畫作業程序及認定原則」籌組之公共建築物無障礙設施改善諮詢及審查小組（下稱無障礙小組</w:t>
      </w:r>
      <w:r w:rsidRPr="00962B27">
        <w:rPr>
          <w:spacing w:val="-30"/>
        </w:rPr>
        <w:t>）</w:t>
      </w:r>
      <w:r w:rsidRPr="00AC77DF">
        <w:t>，將針對研提無障礙設施改善替代計畫之變更使用執照申請案件，訂定竣工查驗階段應會同無障礙小組辦理無障礙設施查驗之審查原則，未符合查驗標準即不予核發變更使用執照。</w:t>
      </w:r>
      <w:r w:rsidRPr="00AC77DF">
        <w:t xml:space="preserve"> </w:t>
      </w:r>
    </w:p>
    <w:p w:rsidR="003807A5" w:rsidRPr="00AC77DF" w:rsidRDefault="003807A5" w:rsidP="007373B4">
      <w:pPr>
        <w:pStyle w:val="1---"/>
        <w:ind w:leftChars="100" w:left="600" w:hangingChars="150" w:hanging="360"/>
      </w:pPr>
      <w:r w:rsidRPr="00AC77DF">
        <w:t>2</w:t>
      </w:r>
      <w:r w:rsidRPr="00AC77DF">
        <w:t>、衛福部：為保障老人福利機構住民之權益，精進老人福利機構服務品質，研修老人福利法，針對違反老人福利機構設立標準之罰則、機構因管理之明顯疏失，情節重大致老人傷亡者，主管機關得否廢止其設立許可等規定進行徵詢，俟研商完竣即進行後續法制程序。</w:t>
      </w:r>
    </w:p>
    <w:p w:rsidR="003807A5" w:rsidRPr="00AC77DF" w:rsidRDefault="003807A5" w:rsidP="007373B4">
      <w:pPr>
        <w:pStyle w:val="1---"/>
        <w:ind w:leftChars="100" w:left="600" w:hangingChars="150" w:hanging="360"/>
      </w:pPr>
      <w:r w:rsidRPr="00AC77DF">
        <w:lastRenderedPageBreak/>
        <w:t>3</w:t>
      </w:r>
      <w:r w:rsidRPr="00AC77DF">
        <w:t>、消防署</w:t>
      </w:r>
      <w:r w:rsidRPr="00AC77DF">
        <w:t xml:space="preserve"> </w:t>
      </w:r>
    </w:p>
    <w:p w:rsidR="003807A5" w:rsidRPr="00AC77DF" w:rsidRDefault="003807A5" w:rsidP="00962B27">
      <w:pPr>
        <w:pStyle w:val="1--1"/>
        <w:ind w:left="1080" w:hanging="600"/>
      </w:pPr>
      <w:r w:rsidRPr="00AC77DF">
        <w:t>（</w:t>
      </w:r>
      <w:r w:rsidRPr="00AC77DF">
        <w:t>1</w:t>
      </w:r>
      <w:r w:rsidRPr="00AC77DF">
        <w:t>）為避免照護中心火警類似案件再次發生，該署於</w:t>
      </w:r>
      <w:r w:rsidRPr="00AC77DF">
        <w:t>106</w:t>
      </w:r>
      <w:r w:rsidRPr="00AC77DF">
        <w:t>年</w:t>
      </w:r>
      <w:r w:rsidRPr="00AC77DF">
        <w:t>10</w:t>
      </w:r>
      <w:r w:rsidRPr="00AC77DF">
        <w:t>月</w:t>
      </w:r>
      <w:r w:rsidRPr="00AC77DF">
        <w:t>3</w:t>
      </w:r>
      <w:r w:rsidRPr="00AC77DF">
        <w:t>日函請各直轄市、縣（市）消防局確實依該署</w:t>
      </w:r>
      <w:r w:rsidRPr="00AC77DF">
        <w:t>95</w:t>
      </w:r>
      <w:r w:rsidRPr="00AC77DF">
        <w:t>年</w:t>
      </w:r>
      <w:r w:rsidRPr="00AC77DF">
        <w:t>7</w:t>
      </w:r>
      <w:r w:rsidRPr="00AC77DF">
        <w:t>月</w:t>
      </w:r>
      <w:r w:rsidRPr="00AC77DF">
        <w:t>3</w:t>
      </w:r>
      <w:r w:rsidRPr="00AC77DF">
        <w:t>日函頒「大型社會福利機構消防防護計畫範例」及「中小型社會福利機構消防防護計畫範例」，指導所轄避難弱者場所，落實執行，除於廚房外，任何地點未經允許嚴禁火源，若有停電情形，應以手電筒等照明器具替代蠟蠋等明火照明設備，並依消防防護計畫執行用火用電相關火災預防措施，未依該計畫執行者，將依消防法第</w:t>
      </w:r>
      <w:r w:rsidRPr="00AC77DF">
        <w:t>40</w:t>
      </w:r>
      <w:r w:rsidRPr="00AC77DF">
        <w:t>條處其管理權人</w:t>
      </w:r>
      <w:r w:rsidRPr="00AC77DF">
        <w:t>1</w:t>
      </w:r>
      <w:r w:rsidRPr="00AC77DF">
        <w:t>萬元以上、</w:t>
      </w:r>
      <w:r w:rsidRPr="00AC77DF">
        <w:t>5</w:t>
      </w:r>
      <w:r w:rsidRPr="00AC77DF">
        <w:t>萬元以下罰鍰，經處罰後仍不改善者，得連續處罰。</w:t>
      </w:r>
    </w:p>
    <w:p w:rsidR="003807A5" w:rsidRPr="00AC77DF" w:rsidRDefault="003807A5" w:rsidP="00962B27">
      <w:pPr>
        <w:pStyle w:val="1--1"/>
        <w:ind w:left="1080" w:hanging="600"/>
      </w:pPr>
      <w:r w:rsidRPr="00AC77DF">
        <w:t>（</w:t>
      </w:r>
      <w:r w:rsidRPr="00AC77DF">
        <w:t>2</w:t>
      </w:r>
      <w:r w:rsidRPr="00AC77DF">
        <w:t>）研擬自衛消防編組演練暨驗證指導手冊草案，並於</w:t>
      </w:r>
      <w:r w:rsidRPr="00AC77DF">
        <w:t>106</w:t>
      </w:r>
      <w:r w:rsidRPr="00AC77DF">
        <w:t>年</w:t>
      </w:r>
      <w:r w:rsidRPr="00AC77DF">
        <w:t>7</w:t>
      </w:r>
      <w:r w:rsidRPr="00AC77DF">
        <w:t>月</w:t>
      </w:r>
      <w:r w:rsidRPr="00AC77DF">
        <w:t>20</w:t>
      </w:r>
      <w:r w:rsidRPr="00AC77DF">
        <w:t>日以消署預字第</w:t>
      </w:r>
      <w:r w:rsidRPr="00AC77DF">
        <w:t>1061112526</w:t>
      </w:r>
      <w:r w:rsidRPr="00AC77DF">
        <w:t>號函請衛福部社家署、護理及健康照護司、臺北市政府消防局、臺北市立浩然敬老院及臺北市立關渡醫院，配合自衛消防編組演練及驗證示範觀摩演練，以製作自衛消防編組演練暨驗證之範例影片，作為往後自衛消防編組演練暨驗證之範例，以指導是類場所自衛消防編組演練，提升自衛消防編組演練成效。</w:t>
      </w:r>
    </w:p>
    <w:p w:rsidR="003807A5" w:rsidRPr="00AC77DF" w:rsidRDefault="003807A5" w:rsidP="00962B27">
      <w:pPr>
        <w:pStyle w:val="1--1"/>
        <w:ind w:left="1080" w:hanging="600"/>
      </w:pPr>
      <w:r w:rsidRPr="00AC77DF">
        <w:t>（</w:t>
      </w:r>
      <w:r w:rsidRPr="00AC77DF">
        <w:t>3</w:t>
      </w:r>
      <w:r w:rsidRPr="00AC77DF">
        <w:t>）內政部於</w:t>
      </w:r>
      <w:r w:rsidRPr="00AC77DF">
        <w:t>106</w:t>
      </w:r>
      <w:r w:rsidRPr="00AC77DF">
        <w:t>年</w:t>
      </w:r>
      <w:r w:rsidRPr="00AC77DF">
        <w:t>9</w:t>
      </w:r>
      <w:r w:rsidRPr="00AC77DF">
        <w:t>月</w:t>
      </w:r>
      <w:r w:rsidRPr="00AC77DF">
        <w:t>20</w:t>
      </w:r>
      <w:r w:rsidRPr="00AC77DF">
        <w:t>日以台內消字</w:t>
      </w:r>
      <w:r w:rsidRPr="00AC77DF">
        <w:t>1060820113</w:t>
      </w:r>
      <w:r w:rsidRPr="00AC77DF">
        <w:t>號公告預告修正「各類場所消防安全設備設置標準」部分條文，修正第</w:t>
      </w:r>
      <w:r w:rsidRPr="00AC77DF">
        <w:t>17</w:t>
      </w:r>
      <w:r w:rsidRPr="00AC77DF">
        <w:t>條第</w:t>
      </w:r>
      <w:r w:rsidRPr="00AC77DF">
        <w:t>1</w:t>
      </w:r>
      <w:r w:rsidRPr="00AC77DF">
        <w:t>項第</w:t>
      </w:r>
      <w:r w:rsidRPr="00AC77DF">
        <w:t>9</w:t>
      </w:r>
      <w:r w:rsidRPr="00AC77DF">
        <w:t>款</w:t>
      </w:r>
      <w:r w:rsidRPr="00962B27">
        <w:rPr>
          <w:spacing w:val="-28"/>
        </w:rPr>
        <w:t>：</w:t>
      </w:r>
      <w:r w:rsidRPr="00AC77DF">
        <w:t>「下列場所或樓層應設置自動撒水設備：九、供第</w:t>
      </w:r>
      <w:r w:rsidRPr="00AC77DF">
        <w:t>12</w:t>
      </w:r>
      <w:r w:rsidRPr="00AC77DF">
        <w:t>條第</w:t>
      </w:r>
      <w:r w:rsidRPr="00AC77DF">
        <w:t>2</w:t>
      </w:r>
      <w:r w:rsidRPr="00AC77DF">
        <w:t>款第</w:t>
      </w:r>
      <w:r w:rsidRPr="00AC77DF">
        <w:t>11</w:t>
      </w:r>
      <w:r w:rsidRPr="00AC77DF">
        <w:t>目使用之場所，樓層供第</w:t>
      </w:r>
      <w:r w:rsidRPr="00AC77DF">
        <w:t>12</w:t>
      </w:r>
      <w:r w:rsidRPr="00AC77DF">
        <w:t>條第</w:t>
      </w:r>
      <w:r w:rsidRPr="00AC77DF">
        <w:t>l</w:t>
      </w:r>
      <w:r w:rsidRPr="00AC77DF">
        <w:t>款第</w:t>
      </w:r>
      <w:r w:rsidRPr="00AC77DF">
        <w:t>6</w:t>
      </w:r>
      <w:r w:rsidRPr="00AC77DF">
        <w:t>目所定</w:t>
      </w:r>
      <w:r w:rsidRPr="00AC77DF">
        <w:lastRenderedPageBreak/>
        <w:t>長期照顧服務機構（限機構住宿式、社區式之團體家屋、小規模多機能及建築物使用類組非屬</w:t>
      </w:r>
      <w:r w:rsidRPr="00AC77DF">
        <w:t>H-2</w:t>
      </w:r>
      <w:r w:rsidRPr="00AC77DF">
        <w:t>之日間照顧</w:t>
      </w:r>
      <w:r w:rsidRPr="00962B27">
        <w:rPr>
          <w:spacing w:val="-28"/>
        </w:rPr>
        <w:t>）</w:t>
      </w:r>
      <w:r w:rsidRPr="00AC77DF">
        <w:t>、老人福利機構（限長期照護型、養護型、失智照顧型之長期照顧機構、安養機構</w:t>
      </w:r>
      <w:r w:rsidRPr="00962B27">
        <w:rPr>
          <w:spacing w:val="-28"/>
        </w:rPr>
        <w:t>）</w:t>
      </w:r>
      <w:r w:rsidRPr="00AC77DF">
        <w:t>、護理機構（限一般護理之家、精神護理之家</w:t>
      </w:r>
      <w:r w:rsidRPr="00962B27">
        <w:rPr>
          <w:spacing w:val="-28"/>
        </w:rPr>
        <w:t>）</w:t>
      </w:r>
      <w:r w:rsidRPr="00AC77DF">
        <w:t>、身心障礙福利機構（限照顧植物人、失智症、重癱、長期臥床或身心功能退化者）使用之場所</w:t>
      </w:r>
      <w:r w:rsidRPr="00962B27">
        <w:rPr>
          <w:spacing w:val="-28"/>
        </w:rPr>
        <w:t>。</w:t>
      </w:r>
      <w:r w:rsidRPr="00AC77DF">
        <w:t>」以強制</w:t>
      </w:r>
      <w:r w:rsidR="00C23648">
        <w:rPr>
          <w:rFonts w:hint="eastAsia"/>
        </w:rPr>
        <w:t>該等</w:t>
      </w:r>
      <w:r w:rsidRPr="00AC77DF">
        <w:t>場所設置自動撒水設備，強化自主防衛能力。</w:t>
      </w:r>
    </w:p>
    <w:p w:rsidR="003807A5" w:rsidRPr="00AC77DF" w:rsidRDefault="00DC6B74" w:rsidP="00DC6B74">
      <w:pPr>
        <w:pStyle w:val="afff1"/>
        <w:spacing w:before="360" w:after="360"/>
      </w:pPr>
      <w:r>
        <w:rPr>
          <w:rFonts w:hint="eastAsia"/>
        </w:rPr>
        <w:t>(四)</w:t>
      </w:r>
      <w:r w:rsidR="003807A5" w:rsidRPr="00AC77DF">
        <w:t>案件進展</w:t>
      </w:r>
    </w:p>
    <w:p w:rsidR="003807A5" w:rsidRDefault="007E5B72" w:rsidP="002B4E20">
      <w:pPr>
        <w:pStyle w:val="1---"/>
        <w:ind w:firstLine="480"/>
        <w:rPr>
          <w:rFonts w:asciiTheme="majorEastAsia" w:eastAsiaTheme="majorEastAsia" w:hAnsiTheme="majorEastAsia"/>
          <w:lang w:eastAsia="zh-TW"/>
        </w:rPr>
      </w:pPr>
      <w:r w:rsidRPr="007E5B72">
        <w:rPr>
          <w:rFonts w:hint="eastAsia"/>
        </w:rPr>
        <w:t>內政部消防署已完成「自衛消防編組動態演練指導原則」及「各類場所消防安全設備設置標準」之法制作業程序，</w:t>
      </w:r>
      <w:r>
        <w:rPr>
          <w:rFonts w:hint="eastAsia"/>
        </w:rPr>
        <w:t>爰已</w:t>
      </w:r>
      <w:r w:rsidRPr="007E5B72">
        <w:rPr>
          <w:rFonts w:hint="eastAsia"/>
        </w:rPr>
        <w:t>結案</w:t>
      </w:r>
      <w:r w:rsidR="00666644" w:rsidRPr="00666644">
        <w:rPr>
          <w:rFonts w:asciiTheme="majorEastAsia" w:eastAsiaTheme="majorEastAsia" w:hAnsiTheme="majorEastAsia"/>
        </w:rPr>
        <w:t>。</w:t>
      </w:r>
    </w:p>
    <w:p w:rsidR="00962B27" w:rsidRDefault="00962B27" w:rsidP="002B4E20">
      <w:pPr>
        <w:pStyle w:val="1---"/>
        <w:ind w:firstLine="480"/>
        <w:rPr>
          <w:rFonts w:asciiTheme="majorEastAsia" w:eastAsiaTheme="majorEastAsia" w:hAnsiTheme="majorEastAsia"/>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3993"/>
      </w:tblGrid>
      <w:tr w:rsidR="00A14369" w:rsidTr="00A14369">
        <w:tc>
          <w:tcPr>
            <w:tcW w:w="3993" w:type="dxa"/>
            <w:shd w:val="clear" w:color="auto" w:fill="D9D9D9" w:themeFill="background1" w:themeFillShade="D9"/>
          </w:tcPr>
          <w:p w:rsidR="00A14369" w:rsidRDefault="00A14369" w:rsidP="00A14369">
            <w:pPr>
              <w:pStyle w:val="11-"/>
              <w:spacing w:before="72" w:after="108"/>
              <w:rPr>
                <w:lang w:eastAsia="zh-TW"/>
              </w:rPr>
            </w:pPr>
            <w:bookmarkStart w:id="82" w:name="_Toc535228328"/>
            <w:bookmarkStart w:id="83" w:name="_Toc4058738"/>
            <w:r w:rsidRPr="00AC77DF">
              <w:t>新北市長照中心火</w:t>
            </w:r>
            <w:r w:rsidRPr="00AC77DF">
              <w:rPr>
                <w:lang w:eastAsia="zh-HK"/>
              </w:rPr>
              <w:t>災</w:t>
            </w:r>
            <w:r w:rsidRPr="00AC77DF">
              <w:t>致死案</w:t>
            </w:r>
            <w:bookmarkEnd w:id="82"/>
            <w:bookmarkEnd w:id="83"/>
          </w:p>
        </w:tc>
      </w:tr>
    </w:tbl>
    <w:p w:rsidR="00962B27" w:rsidRPr="00666644" w:rsidRDefault="00962B27" w:rsidP="002B4E20">
      <w:pPr>
        <w:pStyle w:val="1---"/>
        <w:ind w:firstLine="480"/>
        <w:rPr>
          <w:lang w:eastAsia="zh-TW"/>
        </w:rPr>
      </w:pPr>
    </w:p>
    <w:tbl>
      <w:tblPr>
        <w:tblStyle w:val="aff5"/>
        <w:tblW w:w="4777" w:type="pct"/>
        <w:tblInd w:w="113" w:type="dxa"/>
        <w:tblLook w:val="04A0" w:firstRow="1" w:lastRow="0" w:firstColumn="1" w:lastColumn="0" w:noHBand="0" w:noVBand="1"/>
      </w:tblPr>
      <w:tblGrid>
        <w:gridCol w:w="6544"/>
      </w:tblGrid>
      <w:tr w:rsidR="00473691" w:rsidTr="00A14369">
        <w:tc>
          <w:tcPr>
            <w:tcW w:w="5000" w:type="pct"/>
          </w:tcPr>
          <w:p w:rsidR="00473691" w:rsidRPr="00473691" w:rsidRDefault="00473691" w:rsidP="00A14369">
            <w:pPr>
              <w:spacing w:line="360" w:lineRule="exact"/>
              <w:jc w:val="both"/>
              <w:rPr>
                <w:lang w:val="x-none"/>
              </w:rPr>
            </w:pPr>
            <w:r w:rsidRPr="00AC77DF">
              <w:rPr>
                <w:b/>
                <w:lang w:val="x-none"/>
              </w:rPr>
              <w:t>相關國際人權公約：</w:t>
            </w:r>
            <w:r w:rsidRPr="00AC77DF">
              <w:t>公民與政治權利國際公約第</w:t>
            </w:r>
            <w:r w:rsidRPr="00AC77DF">
              <w:t>2</w:t>
            </w:r>
            <w:r w:rsidRPr="00AC77DF">
              <w:t>條、第</w:t>
            </w:r>
            <w:r w:rsidRPr="00AC77DF">
              <w:t>6</w:t>
            </w:r>
            <w:r w:rsidRPr="00AC77DF">
              <w:t>條第</w:t>
            </w:r>
            <w:r w:rsidRPr="00AC77DF">
              <w:t>1</w:t>
            </w:r>
            <w:r w:rsidRPr="00AC77DF">
              <w:t>項；經濟社會文化權利國際公約第</w:t>
            </w:r>
            <w:r w:rsidRPr="00AC77DF">
              <w:t>9</w:t>
            </w:r>
            <w:r w:rsidRPr="00AC77DF">
              <w:t>條、第</w:t>
            </w:r>
            <w:r w:rsidRPr="00AC77DF">
              <w:t>11</w:t>
            </w:r>
            <w:r w:rsidRPr="00AC77DF">
              <w:t>條第</w:t>
            </w:r>
            <w:r w:rsidRPr="00AC77DF">
              <w:t>1</w:t>
            </w:r>
            <w:r w:rsidRPr="00AC77DF">
              <w:t>項、第</w:t>
            </w:r>
            <w:r w:rsidRPr="00AC77DF">
              <w:t>12</w:t>
            </w:r>
            <w:r w:rsidRPr="00AC77DF">
              <w:t>條</w:t>
            </w:r>
          </w:p>
        </w:tc>
      </w:tr>
    </w:tbl>
    <w:p w:rsidR="003807A5" w:rsidRPr="00AC77DF" w:rsidRDefault="00A14369" w:rsidP="00A14369">
      <w:pPr>
        <w:pStyle w:val="afff1"/>
        <w:spacing w:before="360" w:after="360"/>
      </w:pPr>
      <w:r w:rsidRPr="00A14369">
        <w:rPr>
          <w:rFonts w:hint="eastAsia"/>
        </w:rPr>
        <w:t>(一)</w:t>
      </w:r>
      <w:r w:rsidR="003807A5" w:rsidRPr="00AC77DF">
        <w:t>案情簡述</w:t>
      </w:r>
    </w:p>
    <w:p w:rsidR="003807A5" w:rsidRPr="00AC77DF" w:rsidRDefault="003807A5" w:rsidP="002B4E20">
      <w:pPr>
        <w:pStyle w:val="1---"/>
        <w:ind w:firstLine="480"/>
      </w:pPr>
      <w:r w:rsidRPr="00AC77DF">
        <w:t>新北市</w:t>
      </w:r>
      <w:r w:rsidR="007F2D63">
        <w:rPr>
          <w:rFonts w:hint="eastAsia"/>
          <w:lang w:eastAsia="zh-TW"/>
        </w:rPr>
        <w:t>某</w:t>
      </w:r>
      <w:r w:rsidRPr="00AC77DF">
        <w:t>私立</w:t>
      </w:r>
      <w:r w:rsidR="007F2D63">
        <w:rPr>
          <w:rFonts w:hint="eastAsia"/>
          <w:lang w:eastAsia="zh-TW"/>
        </w:rPr>
        <w:t>長照中心</w:t>
      </w:r>
      <w:r w:rsidRPr="00AC77DF">
        <w:t>於</w:t>
      </w:r>
      <w:r w:rsidRPr="00AC77DF">
        <w:t>105</w:t>
      </w:r>
      <w:r w:rsidRPr="00AC77DF">
        <w:t>年</w:t>
      </w:r>
      <w:r w:rsidRPr="00AC77DF">
        <w:t>7</w:t>
      </w:r>
      <w:r w:rsidRPr="00AC77DF">
        <w:t>月</w:t>
      </w:r>
      <w:r w:rsidRPr="00AC77DF">
        <w:t>6</w:t>
      </w:r>
      <w:r w:rsidRPr="00AC77DF">
        <w:t>日清晨發生火警，</w:t>
      </w:r>
      <w:r w:rsidRPr="00AC77DF">
        <w:lastRenderedPageBreak/>
        <w:t>未能及時疏散，致</w:t>
      </w:r>
      <w:r w:rsidRPr="00AC77DF">
        <w:t>6</w:t>
      </w:r>
      <w:r w:rsidRPr="00AC77DF">
        <w:t>死</w:t>
      </w:r>
      <w:r w:rsidRPr="00AC77DF">
        <w:t>28</w:t>
      </w:r>
      <w:r w:rsidRPr="00AC77DF">
        <w:t>輕重傷。究失火原因為何？緊急疏散及救援有無疏失？政府應如何協助及提升安養機構之照顧品質及防災應變能力等？均有深入瞭解之必要，監察委員爰立案調查。</w:t>
      </w:r>
    </w:p>
    <w:p w:rsidR="003807A5" w:rsidRPr="00AC77DF" w:rsidRDefault="00A14369" w:rsidP="00A14369">
      <w:pPr>
        <w:pStyle w:val="afff1"/>
        <w:spacing w:before="360" w:after="360"/>
      </w:pPr>
      <w:r>
        <w:rPr>
          <w:rFonts w:hint="eastAsia"/>
        </w:rPr>
        <w:t>(二)</w:t>
      </w:r>
      <w:r w:rsidR="003807A5" w:rsidRPr="00AC77DF">
        <w:t>監察院調查發現與建議</w:t>
      </w:r>
    </w:p>
    <w:p w:rsidR="003807A5" w:rsidRPr="00AC77DF" w:rsidRDefault="00682251" w:rsidP="00D92DAE">
      <w:pPr>
        <w:pStyle w:val="1--13"/>
        <w:spacing w:before="180" w:after="180"/>
      </w:pPr>
      <w:r w:rsidRPr="008E1832">
        <w:rPr>
          <w:rFonts w:hint="eastAsia"/>
        </w:rPr>
        <w:t>˙</w:t>
      </w:r>
      <w:r w:rsidR="003807A5" w:rsidRPr="00AC77DF">
        <w:t>錯失即時滅火及快速疏散良機</w:t>
      </w:r>
    </w:p>
    <w:p w:rsidR="003807A5" w:rsidRPr="00AC77DF" w:rsidRDefault="007F2D63" w:rsidP="002B4E20">
      <w:pPr>
        <w:pStyle w:val="1---"/>
        <w:ind w:firstLine="480"/>
        <w:rPr>
          <w:lang w:eastAsia="zh-TW"/>
        </w:rPr>
      </w:pPr>
      <w:r>
        <w:rPr>
          <w:rFonts w:hint="eastAsia"/>
          <w:lang w:eastAsia="zh-TW"/>
        </w:rPr>
        <w:t>該</w:t>
      </w:r>
      <w:r w:rsidR="003807A5" w:rsidRPr="0025002C">
        <w:rPr>
          <w:rFonts w:hint="eastAsia"/>
        </w:rPr>
        <w:t>養護型長照中心</w:t>
      </w:r>
      <w:r w:rsidR="003807A5" w:rsidRPr="00AC77DF">
        <w:t>於</w:t>
      </w:r>
      <w:r w:rsidR="003807A5" w:rsidRPr="00AC77DF">
        <w:t>105</w:t>
      </w:r>
      <w:r w:rsidR="003807A5" w:rsidRPr="00AC77DF">
        <w:t>年</w:t>
      </w:r>
      <w:r w:rsidR="003807A5" w:rsidRPr="00AC77DF">
        <w:t>7</w:t>
      </w:r>
      <w:r w:rsidR="003807A5" w:rsidRPr="00AC77DF">
        <w:t>月</w:t>
      </w:r>
      <w:r w:rsidR="003807A5" w:rsidRPr="00AC77DF">
        <w:t>6</w:t>
      </w:r>
      <w:r w:rsidR="003807A5" w:rsidRPr="00AC77DF">
        <w:t>日上午</w:t>
      </w:r>
      <w:r w:rsidR="003807A5" w:rsidRPr="00AC77DF">
        <w:t>6</w:t>
      </w:r>
      <w:r w:rsidR="003807A5" w:rsidRPr="00AC77DF">
        <w:t>、</w:t>
      </w:r>
      <w:r w:rsidR="003807A5" w:rsidRPr="00AC77DF">
        <w:t>7</w:t>
      </w:r>
      <w:r w:rsidR="003807A5" w:rsidRPr="00AC77DF">
        <w:t>點發生火災時，其火警警鈴及緊急廣播音響因火警受信總機之警示音響等按鍵遭人關閉，無法發出尖銳警鈴及人語廣播聲，致中心人員遲至</w:t>
      </w:r>
      <w:r w:rsidR="003807A5" w:rsidRPr="00AC77DF">
        <w:t>5</w:t>
      </w:r>
      <w:r w:rsidR="003807A5" w:rsidRPr="00AC77DF">
        <w:t>號房濃煙竄出無法進入滅火時才發現火災，錯失即時滅火及快速疏散良機；該中心自當日上午</w:t>
      </w:r>
      <w:r w:rsidR="003807A5" w:rsidRPr="00AC77DF">
        <w:t>1</w:t>
      </w:r>
      <w:r w:rsidR="003807A5" w:rsidRPr="00AC77DF">
        <w:t>時起至火災發生時止，未依法隨時保持至少護理人員</w:t>
      </w:r>
      <w:r w:rsidR="003807A5" w:rsidRPr="00AC77DF">
        <w:t>1</w:t>
      </w:r>
      <w:r w:rsidR="003807A5" w:rsidRPr="00AC77DF">
        <w:t>人值班及置日間</w:t>
      </w:r>
      <w:r w:rsidR="003807A5" w:rsidRPr="00AC77DF">
        <w:t>8</w:t>
      </w:r>
      <w:r w:rsidR="003807A5" w:rsidRPr="00AC77DF">
        <w:t>名、夜間</w:t>
      </w:r>
      <w:r w:rsidR="003807A5" w:rsidRPr="00AC77DF">
        <w:t>4</w:t>
      </w:r>
      <w:r w:rsidR="003807A5" w:rsidRPr="00AC77DF">
        <w:t>名照服員，僅有</w:t>
      </w:r>
      <w:r w:rsidR="003807A5" w:rsidRPr="00AC77DF">
        <w:t>3</w:t>
      </w:r>
      <w:r w:rsidR="003807A5" w:rsidRPr="00AC77DF">
        <w:t>名外籍照服員執勤，且無護理人員及本國人員，致外籍勞工因無法撥打</w:t>
      </w:r>
      <w:r w:rsidR="003807A5" w:rsidRPr="00AC77DF">
        <w:t>119</w:t>
      </w:r>
      <w:r w:rsidR="003807A5" w:rsidRPr="00AC77DF">
        <w:t>，而從</w:t>
      </w:r>
      <w:r w:rsidR="003807A5" w:rsidRPr="00AC77DF">
        <w:t>8</w:t>
      </w:r>
      <w:r w:rsidR="003807A5" w:rsidRPr="00AC77DF">
        <w:t>樓跑至</w:t>
      </w:r>
      <w:r w:rsidR="003807A5" w:rsidRPr="00AC77DF">
        <w:t>1</w:t>
      </w:r>
      <w:r w:rsidR="003807A5" w:rsidRPr="00AC77DF">
        <w:t>樓告知警衛協助報案；又因人員不足，未能掌握報案及搶救先機。上開疏失造成</w:t>
      </w:r>
      <w:r w:rsidR="003807A5" w:rsidRPr="00AC77DF">
        <w:t>6</w:t>
      </w:r>
      <w:r w:rsidR="003807A5" w:rsidRPr="00AC77DF">
        <w:t>人死亡、</w:t>
      </w:r>
      <w:r w:rsidR="003807A5" w:rsidRPr="00AC77DF">
        <w:t>28</w:t>
      </w:r>
      <w:r w:rsidR="003807A5" w:rsidRPr="00AC77DF">
        <w:t>人受傷之慘劇。該中心自</w:t>
      </w:r>
      <w:r w:rsidR="003807A5" w:rsidRPr="00AC77DF">
        <w:t>99</w:t>
      </w:r>
      <w:r w:rsidR="003807A5" w:rsidRPr="00AC77DF">
        <w:t>年營運後，新北市政府對其近</w:t>
      </w:r>
      <w:r w:rsidR="003807A5" w:rsidRPr="00AC77DF">
        <w:t>3</w:t>
      </w:r>
      <w:r w:rsidR="003807A5" w:rsidRPr="00AC77DF">
        <w:t>年未進行夜間查核，</w:t>
      </w:r>
      <w:r w:rsidR="003807A5" w:rsidRPr="00AC77DF">
        <w:t>6</w:t>
      </w:r>
      <w:r w:rsidR="003807A5" w:rsidRPr="00AC77DF">
        <w:t>次稽查發現有照服員及護理人員不足、超收兩管住民等違規情形，每次均以限期改善完成並複查合格結案。另</w:t>
      </w:r>
      <w:r w:rsidR="003807A5" w:rsidRPr="00AC77DF">
        <w:t>101</w:t>
      </w:r>
      <w:r w:rsidR="003807A5" w:rsidRPr="00AC77DF">
        <w:t>年及</w:t>
      </w:r>
      <w:r w:rsidR="003807A5" w:rsidRPr="00AC77DF">
        <w:t>104</w:t>
      </w:r>
      <w:r w:rsidR="003807A5" w:rsidRPr="00AC77DF">
        <w:t>年之評鑑結果，均為甲等；該府雖實施</w:t>
      </w:r>
      <w:r w:rsidR="003807A5" w:rsidRPr="00AC77DF">
        <w:t>18</w:t>
      </w:r>
      <w:r w:rsidR="003807A5" w:rsidRPr="00AC77DF">
        <w:t>次消防安全檢查及防火安全宣導，但均依排定日程事前通知受檢場所，故從未發現火警受信總機之警示音響等按鍵有被關閉情形。該府之聯合稽查、機構評鑑、</w:t>
      </w:r>
      <w:r w:rsidR="003807A5" w:rsidRPr="00AC77DF">
        <w:lastRenderedPageBreak/>
        <w:t>消防檢查及防火安全宣導等均流於形式，未能發揮防範火災及即時搶救之功效。</w:t>
      </w:r>
    </w:p>
    <w:p w:rsidR="003807A5" w:rsidRPr="00AC77DF" w:rsidRDefault="00682251" w:rsidP="00D92DAE">
      <w:pPr>
        <w:pStyle w:val="1--13"/>
        <w:spacing w:before="180" w:after="180"/>
      </w:pPr>
      <w:r w:rsidRPr="008E1832">
        <w:rPr>
          <w:rFonts w:hint="eastAsia"/>
        </w:rPr>
        <w:t>˙</w:t>
      </w:r>
      <w:r w:rsidR="003807A5" w:rsidRPr="00AC77DF">
        <w:t>照顧服務員人力規範界定不清</w:t>
      </w:r>
    </w:p>
    <w:p w:rsidR="003807A5" w:rsidRPr="00AC77DF" w:rsidRDefault="003807A5" w:rsidP="002B4E20">
      <w:pPr>
        <w:pStyle w:val="1---"/>
        <w:ind w:firstLine="480"/>
        <w:rPr>
          <w:i/>
        </w:rPr>
      </w:pPr>
      <w:r w:rsidRPr="00AC77DF">
        <w:t>依老人福利機構設立標準第</w:t>
      </w:r>
      <w:r w:rsidRPr="00AC77DF">
        <w:t>11</w:t>
      </w:r>
      <w:r w:rsidRPr="00AC77DF">
        <w:t>條第</w:t>
      </w:r>
      <w:r w:rsidRPr="00AC77DF">
        <w:t>1</w:t>
      </w:r>
      <w:r w:rsidRPr="00AC77DF">
        <w:t>項及第</w:t>
      </w:r>
      <w:r w:rsidRPr="00AC77DF">
        <w:t>18</w:t>
      </w:r>
      <w:r w:rsidRPr="00AC77DF">
        <w:t>條第</w:t>
      </w:r>
      <w:r w:rsidRPr="00AC77DF">
        <w:t>1</w:t>
      </w:r>
      <w:r w:rsidRPr="00AC77DF">
        <w:t>項規定，老人福利機構分長期照護型機構及小型養護型機構，其應置之照顧服務員人數，日間及夜間並不相同。對於日間及夜間之定義，衛福部未能制定符合老人福利機構照護特性及實際輪班需求之法規，逕援引刑事訴訟法第</w:t>
      </w:r>
      <w:r w:rsidRPr="00AC77DF">
        <w:t>100</w:t>
      </w:r>
      <w:r w:rsidRPr="00AC77DF">
        <w:t>條之</w:t>
      </w:r>
      <w:r w:rsidRPr="00AC77DF">
        <w:t>3</w:t>
      </w:r>
      <w:r w:rsidRPr="00AC77DF">
        <w:t>第</w:t>
      </w:r>
      <w:r w:rsidRPr="00AC77DF">
        <w:t>3</w:t>
      </w:r>
      <w:r w:rsidRPr="00AC77DF">
        <w:t>項規定「稱夜間者，為日出前，日沒後</w:t>
      </w:r>
      <w:r w:rsidRPr="009624C7">
        <w:rPr>
          <w:spacing w:val="-30"/>
        </w:rPr>
        <w:t>。</w:t>
      </w:r>
      <w:r w:rsidRPr="00AC77DF">
        <w:t>」惟每日之日出、日沒時間均不相同，夏季與冬季差異更大，此定義將使機構實際僱用人力、值班換班時間及主管機關進行督導考核時，均面臨難以執行之困境。</w:t>
      </w:r>
    </w:p>
    <w:p w:rsidR="003807A5" w:rsidRPr="00AC77DF" w:rsidRDefault="00682251" w:rsidP="00D92DAE">
      <w:pPr>
        <w:pStyle w:val="1--13"/>
        <w:spacing w:before="180" w:after="180"/>
      </w:pPr>
      <w:r w:rsidRPr="008E1832">
        <w:rPr>
          <w:rFonts w:hint="eastAsia"/>
        </w:rPr>
        <w:t>˙</w:t>
      </w:r>
      <w:r w:rsidR="003807A5" w:rsidRPr="00AC77DF">
        <w:t>輔導老人福利機構設置相關設備</w:t>
      </w:r>
    </w:p>
    <w:p w:rsidR="003807A5" w:rsidRPr="00AC77DF" w:rsidRDefault="003807A5" w:rsidP="002B4E20">
      <w:pPr>
        <w:pStyle w:val="1---"/>
        <w:ind w:firstLine="480"/>
        <w:rPr>
          <w:i/>
        </w:rPr>
      </w:pPr>
      <w:r w:rsidRPr="00AC77DF">
        <w:t>近年來國內發生多起老人福利機構火災，造成老人死傷。現行消防安全設備設置標準對於面積未達</w:t>
      </w:r>
      <w:r w:rsidRPr="00AC77DF">
        <w:t>300</w:t>
      </w:r>
      <w:r w:rsidRPr="00AC77DF">
        <w:t>平方公尺以上之機構及</w:t>
      </w:r>
      <w:r w:rsidRPr="00AC77DF">
        <w:t>101</w:t>
      </w:r>
      <w:r w:rsidRPr="00AC77DF">
        <w:t>年</w:t>
      </w:r>
      <w:r w:rsidRPr="00AC77DF">
        <w:t>1</w:t>
      </w:r>
      <w:r w:rsidRPr="00AC77DF">
        <w:t>月</w:t>
      </w:r>
      <w:r w:rsidRPr="00AC77DF">
        <w:t>10</w:t>
      </w:r>
      <w:r w:rsidRPr="00AC77DF">
        <w:t>日以前設立之機構，並未強制設置自動撒水設備，其自動滅火能力不足。消防署宜研議上開機構設置簡易自動撒水設備之可行性，因其非現行法定消防設備，消防署及衛福部應研議或評估納入規範或改善計畫之必要性，以及評估有無輔導、獎勵老人福利機構設置相關設備之需要。</w:t>
      </w:r>
    </w:p>
    <w:p w:rsidR="003807A5" w:rsidRPr="00AC77DF" w:rsidRDefault="003807A5" w:rsidP="002B4E20">
      <w:pPr>
        <w:pStyle w:val="1---"/>
        <w:ind w:firstLine="480"/>
      </w:pPr>
      <w:r w:rsidRPr="00AC77DF">
        <w:t>依據本案調查意見</w:t>
      </w:r>
      <w:r w:rsidRPr="00AC77DF">
        <w:rPr>
          <w:rStyle w:val="aff2"/>
        </w:rPr>
        <w:footnoteReference w:id="46"/>
      </w:r>
      <w:r w:rsidRPr="00AC77DF">
        <w:t>，監察院糾正新北市政府及衛福部，</w:t>
      </w:r>
      <w:r w:rsidRPr="00AC77DF">
        <w:lastRenderedPageBreak/>
        <w:t>並函請消防署及衛福部檢討改進見復。</w:t>
      </w:r>
    </w:p>
    <w:p w:rsidR="003807A5" w:rsidRPr="00AC77DF" w:rsidRDefault="00A14369" w:rsidP="00A14369">
      <w:pPr>
        <w:pStyle w:val="afff1"/>
        <w:spacing w:before="360" w:after="360"/>
      </w:pPr>
      <w:r>
        <w:rPr>
          <w:rFonts w:hint="eastAsia"/>
        </w:rPr>
        <w:t>(三)</w:t>
      </w:r>
      <w:r w:rsidR="003807A5" w:rsidRPr="00AC77DF">
        <w:t>政府機關改善情形</w:t>
      </w:r>
    </w:p>
    <w:p w:rsidR="003807A5" w:rsidRPr="00AC77DF" w:rsidRDefault="003807A5" w:rsidP="007373B4">
      <w:pPr>
        <w:pStyle w:val="1---"/>
        <w:ind w:leftChars="100" w:left="600" w:hangingChars="150" w:hanging="360"/>
        <w:rPr>
          <w:rFonts w:eastAsiaTheme="majorEastAsia"/>
        </w:rPr>
      </w:pPr>
      <w:r w:rsidRPr="00AC77DF">
        <w:t>1</w:t>
      </w:r>
      <w:r w:rsidRPr="00AC77DF">
        <w:t>、新北市政府</w:t>
      </w:r>
    </w:p>
    <w:p w:rsidR="003807A5" w:rsidRPr="00AC77DF" w:rsidRDefault="003807A5" w:rsidP="009624C7">
      <w:pPr>
        <w:pStyle w:val="1--1"/>
        <w:ind w:left="1080" w:hanging="600"/>
      </w:pPr>
      <w:r w:rsidRPr="00AC77DF">
        <w:t>（</w:t>
      </w:r>
      <w:r w:rsidRPr="00AC77DF">
        <w:t>1</w:t>
      </w:r>
      <w:r w:rsidRPr="00AC77DF">
        <w:t>）已加強執行老人長期照顧場所消防安全檢查、防火管理自衛消防編組演練。</w:t>
      </w:r>
    </w:p>
    <w:p w:rsidR="003807A5" w:rsidRPr="00AC77DF" w:rsidRDefault="003807A5" w:rsidP="009624C7">
      <w:pPr>
        <w:pStyle w:val="1--1"/>
        <w:ind w:left="1080" w:hanging="600"/>
      </w:pPr>
      <w:r w:rsidRPr="00AC77DF">
        <w:t>（</w:t>
      </w:r>
      <w:r w:rsidRPr="00AC77DF">
        <w:t>2</w:t>
      </w:r>
      <w:r w:rsidRPr="00AC77DF">
        <w:t>）加強防火宣導並提升場所管理權人自我財產應依法自我保護之認知。</w:t>
      </w:r>
    </w:p>
    <w:p w:rsidR="003807A5" w:rsidRPr="00AC77DF" w:rsidRDefault="003807A5" w:rsidP="009624C7">
      <w:pPr>
        <w:pStyle w:val="1--1"/>
        <w:ind w:left="1080" w:hanging="600"/>
      </w:pPr>
      <w:r w:rsidRPr="00AC77DF">
        <w:t>（</w:t>
      </w:r>
      <w:r w:rsidRPr="00AC77DF">
        <w:t>3</w:t>
      </w:r>
      <w:r w:rsidRPr="00AC77DF">
        <w:t>）持續落實老人福利機構不定期非預警稽查作業。</w:t>
      </w:r>
    </w:p>
    <w:p w:rsidR="003807A5" w:rsidRPr="00AC77DF" w:rsidRDefault="003807A5" w:rsidP="009624C7">
      <w:pPr>
        <w:pStyle w:val="1--1"/>
        <w:ind w:left="1080" w:hanging="600"/>
      </w:pPr>
      <w:r w:rsidRPr="00AC77DF">
        <w:t>（</w:t>
      </w:r>
      <w:r w:rsidRPr="00AC77DF">
        <w:t>4</w:t>
      </w:r>
      <w:r w:rsidRPr="00AC77DF">
        <w:t>）於老人機構專業人員在職教育訓練、評鑑相關教育訓練及老人福利機構聯繫會報等相關會議中增加防火防災之教育訓練課程。</w:t>
      </w:r>
    </w:p>
    <w:p w:rsidR="003807A5" w:rsidRPr="00AC77DF" w:rsidRDefault="003807A5" w:rsidP="009624C7">
      <w:pPr>
        <w:pStyle w:val="1--1"/>
        <w:ind w:left="1080" w:hanging="600"/>
      </w:pPr>
      <w:r w:rsidRPr="00AC77DF">
        <w:t>（</w:t>
      </w:r>
      <w:r w:rsidRPr="00AC77DF">
        <w:t>5</w:t>
      </w:r>
      <w:r w:rsidRPr="00AC77DF">
        <w:t>）建議中央主管機關律訂火警受信總機開關未定位，應予管理權人直接舉發處分。考量火警受信總機面板設計加裝防止誤操作裝置，建議衛福部修法，針對人力查核或其它重大缺失部</w:t>
      </w:r>
      <w:r w:rsidR="00271C0E">
        <w:rPr>
          <w:rFonts w:hint="eastAsia"/>
        </w:rPr>
        <w:t>分</w:t>
      </w:r>
      <w:r w:rsidRPr="00AC77DF">
        <w:t>，如發現違規者，可逕行罰鍰等作為。</w:t>
      </w:r>
    </w:p>
    <w:p w:rsidR="003807A5" w:rsidRPr="00AC77DF" w:rsidRDefault="003807A5" w:rsidP="007373B4">
      <w:pPr>
        <w:pStyle w:val="1---"/>
        <w:ind w:leftChars="100" w:left="600" w:hangingChars="150" w:hanging="360"/>
      </w:pPr>
      <w:r w:rsidRPr="00AC77DF">
        <w:t>2</w:t>
      </w:r>
      <w:r w:rsidRPr="00AC77DF">
        <w:t>、消防署：修正火警受信總機認可基準，增訂火警受信總機應有火警警鈴未定位或關閉時之強制啟動功能，且火警受信總機應設置於經常有人之處所。執勤人員能防止場所內或外部之人員等隨意操作，故應</w:t>
      </w:r>
      <w:r w:rsidR="007F2D63">
        <w:rPr>
          <w:rFonts w:hint="eastAsia"/>
          <w:lang w:eastAsia="zh-TW"/>
        </w:rPr>
        <w:t>須</w:t>
      </w:r>
      <w:r w:rsidRPr="00AC77DF">
        <w:t>研訂火警受信總機面板上鎖或加裝透明壓克力板規範。</w:t>
      </w:r>
    </w:p>
    <w:p w:rsidR="009624C7" w:rsidRPr="00AC77DF" w:rsidRDefault="003807A5" w:rsidP="007373B4">
      <w:pPr>
        <w:pStyle w:val="1---"/>
        <w:ind w:leftChars="100" w:left="600" w:hangingChars="150" w:hanging="360"/>
        <w:rPr>
          <w:lang w:eastAsia="zh-TW"/>
        </w:rPr>
      </w:pPr>
      <w:r w:rsidRPr="00AC77DF">
        <w:t>3</w:t>
      </w:r>
      <w:r w:rsidRPr="00AC77DF">
        <w:t>、衛福部：修正老人福利法有關老人福利機構違反老人福利法相關罰則規定，以加強老人福利機構管理效能。</w:t>
      </w:r>
    </w:p>
    <w:p w:rsidR="003807A5" w:rsidRPr="00AC77DF" w:rsidRDefault="00A14369" w:rsidP="00A14369">
      <w:pPr>
        <w:pStyle w:val="afff1"/>
        <w:spacing w:before="360" w:after="360"/>
      </w:pPr>
      <w:r>
        <w:rPr>
          <w:rFonts w:hint="eastAsia"/>
        </w:rPr>
        <w:lastRenderedPageBreak/>
        <w:t>(四)</w:t>
      </w:r>
      <w:r w:rsidR="003807A5" w:rsidRPr="00AC77DF">
        <w:t>案件進展</w:t>
      </w:r>
    </w:p>
    <w:p w:rsidR="003807A5" w:rsidRDefault="003807A5" w:rsidP="002B4E20">
      <w:pPr>
        <w:pStyle w:val="1---"/>
        <w:ind w:firstLine="480"/>
        <w:rPr>
          <w:lang w:eastAsia="zh-TW"/>
        </w:rPr>
      </w:pPr>
      <w:r w:rsidRPr="00AC77DF">
        <w:t>本案監察院仍持續追蹤改善情形。</w:t>
      </w:r>
    </w:p>
    <w:p w:rsidR="009624C7" w:rsidRPr="00AC77DF" w:rsidRDefault="009624C7" w:rsidP="002B4E20">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4843"/>
      </w:tblGrid>
      <w:tr w:rsidR="009624C7" w:rsidTr="009624C7">
        <w:tc>
          <w:tcPr>
            <w:tcW w:w="4843" w:type="dxa"/>
            <w:shd w:val="clear" w:color="auto" w:fill="D9D9D9" w:themeFill="background1" w:themeFillShade="D9"/>
          </w:tcPr>
          <w:p w:rsidR="009624C7" w:rsidRDefault="009624C7" w:rsidP="009624C7">
            <w:pPr>
              <w:pStyle w:val="11-"/>
              <w:spacing w:before="72" w:after="108"/>
              <w:rPr>
                <w:bdr w:val="none" w:sz="0" w:space="0" w:color="auto" w:frame="1"/>
              </w:rPr>
            </w:pPr>
            <w:bookmarkStart w:id="84" w:name="_Toc535228329"/>
            <w:bookmarkStart w:id="85" w:name="_Toc4058739"/>
            <w:r w:rsidRPr="00AC77DF">
              <w:rPr>
                <w:bdr w:val="none" w:sz="0" w:space="0" w:color="auto" w:frame="1"/>
              </w:rPr>
              <w:t>保齡球館消防救災作業涉有違失案</w:t>
            </w:r>
          </w:p>
        </w:tc>
      </w:tr>
    </w:tbl>
    <w:bookmarkEnd w:id="84"/>
    <w:bookmarkEnd w:id="85"/>
    <w:p w:rsidR="003807A5" w:rsidRPr="00AC77DF" w:rsidRDefault="00D758EC" w:rsidP="00D758EC">
      <w:pPr>
        <w:pStyle w:val="afff1"/>
        <w:spacing w:before="360" w:after="360"/>
      </w:pPr>
      <w:r>
        <w:rPr>
          <w:rFonts w:hint="eastAsia"/>
        </w:rPr>
        <w:t>(一)</w:t>
      </w:r>
      <w:r w:rsidR="003807A5" w:rsidRPr="00AC77DF">
        <w:t>案情簡述</w:t>
      </w:r>
    </w:p>
    <w:p w:rsidR="003807A5" w:rsidRPr="00AC77DF" w:rsidRDefault="003807A5" w:rsidP="002B4E20">
      <w:pPr>
        <w:pStyle w:val="1---"/>
        <w:ind w:firstLine="480"/>
      </w:pPr>
      <w:r w:rsidRPr="00AC77DF">
        <w:t>104</w:t>
      </w:r>
      <w:r w:rsidRPr="00AC77DF">
        <w:t>年</w:t>
      </w:r>
      <w:r w:rsidRPr="00AC77DF">
        <w:t>1</w:t>
      </w:r>
      <w:r w:rsidRPr="00AC77DF">
        <w:t>月</w:t>
      </w:r>
      <w:r w:rsidRPr="00AC77DF">
        <w:t>20</w:t>
      </w:r>
      <w:r w:rsidRPr="00AC77DF">
        <w:t>日凌晨</w:t>
      </w:r>
      <w:r w:rsidRPr="00AC77DF">
        <w:t>2</w:t>
      </w:r>
      <w:r w:rsidRPr="00AC77DF">
        <w:t>時，</w:t>
      </w:r>
      <w:r w:rsidR="007F2D63">
        <w:rPr>
          <w:rFonts w:hint="eastAsia"/>
          <w:lang w:eastAsia="zh-TW"/>
        </w:rPr>
        <w:t>前桃園縣新屋鄉（現為</w:t>
      </w:r>
      <w:r w:rsidRPr="00AC77DF">
        <w:t>桃園市新屋區</w:t>
      </w:r>
      <w:r w:rsidR="007F2D63">
        <w:rPr>
          <w:rFonts w:hint="eastAsia"/>
          <w:lang w:eastAsia="zh-TW"/>
        </w:rPr>
        <w:t>）</w:t>
      </w:r>
      <w:r w:rsidRPr="00AC77DF">
        <w:t>疑似違建且無營業登記之亞洲保齡球館發生火警，消防局動員大批人力搶救，</w:t>
      </w:r>
      <w:r w:rsidRPr="00AC77DF">
        <w:t>6</w:t>
      </w:r>
      <w:r w:rsidRPr="00AC77DF">
        <w:t>名年輕消防隊員卻不幸殉職，</w:t>
      </w:r>
      <w:r w:rsidR="004D0068">
        <w:t>顯示</w:t>
      </w:r>
      <w:r w:rsidRPr="00AC77DF">
        <w:t>國內消防救災作業存有諸多問題，爰經監察委員立案調查。</w:t>
      </w:r>
    </w:p>
    <w:p w:rsidR="003807A5" w:rsidRPr="00AC77DF" w:rsidRDefault="00D758EC" w:rsidP="00D758EC">
      <w:pPr>
        <w:pStyle w:val="afff1"/>
        <w:spacing w:before="360" w:after="360"/>
      </w:pPr>
      <w:r>
        <w:rPr>
          <w:rFonts w:hint="eastAsia"/>
        </w:rPr>
        <w:t>(二)</w:t>
      </w:r>
      <w:r w:rsidR="003807A5" w:rsidRPr="00AC77DF">
        <w:t>監察院調查發現與建議</w:t>
      </w:r>
    </w:p>
    <w:p w:rsidR="003807A5" w:rsidRPr="00AC77DF" w:rsidRDefault="00682251" w:rsidP="00D92DAE">
      <w:pPr>
        <w:pStyle w:val="1--13"/>
        <w:spacing w:before="180" w:after="180"/>
      </w:pPr>
      <w:r w:rsidRPr="008E1832">
        <w:rPr>
          <w:rFonts w:hint="eastAsia"/>
        </w:rPr>
        <w:t>˙</w:t>
      </w:r>
      <w:r w:rsidR="003807A5" w:rsidRPr="00AC77DF">
        <w:t>主要構造與設計圖樣顯不相符</w:t>
      </w:r>
    </w:p>
    <w:p w:rsidR="003807A5" w:rsidRPr="00AC77DF" w:rsidRDefault="003807A5" w:rsidP="002B4E20">
      <w:pPr>
        <w:pStyle w:val="1---"/>
        <w:ind w:firstLine="480"/>
      </w:pPr>
      <w:r w:rsidRPr="00AC77DF">
        <w:t>本案建物核准面積僅</w:t>
      </w:r>
      <w:r w:rsidRPr="00AC77DF">
        <w:t>819.47</w:t>
      </w:r>
      <w:r w:rsidRPr="00AC77DF">
        <w:t>平方公尺，完成之建物面積竟高達</w:t>
      </w:r>
      <w:r w:rsidRPr="00AC77DF">
        <w:t>5,338.37</w:t>
      </w:r>
      <w:r w:rsidRPr="00AC77DF">
        <w:t>平方公尺，合法面積僅</w:t>
      </w:r>
      <w:r w:rsidRPr="00AC77DF">
        <w:t>15.35%</w:t>
      </w:r>
      <w:r w:rsidRPr="00AC77DF">
        <w:t>，違建部分坐落於農業區，用目測即知本案建物之主要構造與設計圖樣顯不相符，依法不得核發使用執照，</w:t>
      </w:r>
      <w:r w:rsidR="007F2D63">
        <w:rPr>
          <w:rFonts w:hint="eastAsia"/>
          <w:lang w:eastAsia="zh-TW"/>
        </w:rPr>
        <w:t>前</w:t>
      </w:r>
      <w:r w:rsidRPr="00AC77DF">
        <w:t>桃園</w:t>
      </w:r>
      <w:r w:rsidR="00230916">
        <w:rPr>
          <w:rFonts w:hint="eastAsia"/>
          <w:lang w:eastAsia="zh-TW"/>
        </w:rPr>
        <w:t>縣</w:t>
      </w:r>
      <w:r w:rsidRPr="00AC77DF">
        <w:t>政府工務局竟違法核發使用執照。</w:t>
      </w:r>
    </w:p>
    <w:p w:rsidR="003807A5" w:rsidRPr="00AC77DF" w:rsidRDefault="007F2D63" w:rsidP="002B4E20">
      <w:pPr>
        <w:pStyle w:val="1---"/>
        <w:ind w:firstLine="480"/>
      </w:pPr>
      <w:r>
        <w:rPr>
          <w:rFonts w:hint="eastAsia"/>
          <w:lang w:eastAsia="zh-TW"/>
        </w:rPr>
        <w:t>前</w:t>
      </w:r>
      <w:r w:rsidR="003807A5" w:rsidRPr="00AC77DF">
        <w:t>桃園縣新屋鄉公所明知設於本案建物內之「佳宜音樂餐坊」違建物面積</w:t>
      </w:r>
      <w:r w:rsidR="003807A5" w:rsidRPr="00AC77DF">
        <w:t>4,518</w:t>
      </w:r>
      <w:r w:rsidR="003807A5" w:rsidRPr="00AC77DF">
        <w:t>平方公尺，於</w:t>
      </w:r>
      <w:r w:rsidR="003807A5" w:rsidRPr="00AC77DF">
        <w:t>99</w:t>
      </w:r>
      <w:r w:rsidR="003807A5" w:rsidRPr="00AC77DF">
        <w:t>年</w:t>
      </w:r>
      <w:r w:rsidR="003807A5" w:rsidRPr="00AC77DF">
        <w:t>8</w:t>
      </w:r>
      <w:r w:rsidR="003807A5" w:rsidRPr="00AC77DF">
        <w:t>月</w:t>
      </w:r>
      <w:r w:rsidR="003807A5" w:rsidRPr="00AC77DF">
        <w:t>5</w:t>
      </w:r>
      <w:r w:rsidR="003807A5" w:rsidRPr="00AC77DF">
        <w:t>日卻僅向縣府城鄉發展處陳報位於住宅區之面積</w:t>
      </w:r>
      <w:r w:rsidR="003807A5" w:rsidRPr="00AC77DF">
        <w:t>132</w:t>
      </w:r>
      <w:r w:rsidR="003807A5" w:rsidRPr="00AC77DF">
        <w:t>平方公尺。</w:t>
      </w:r>
    </w:p>
    <w:p w:rsidR="003807A5" w:rsidRPr="00AC77DF" w:rsidRDefault="00682251" w:rsidP="00D92DAE">
      <w:pPr>
        <w:pStyle w:val="1--13"/>
        <w:spacing w:before="180" w:after="180"/>
      </w:pPr>
      <w:r w:rsidRPr="008E1832">
        <w:rPr>
          <w:rFonts w:hint="eastAsia"/>
        </w:rPr>
        <w:lastRenderedPageBreak/>
        <w:t>˙</w:t>
      </w:r>
      <w:r w:rsidR="003807A5" w:rsidRPr="00AC77DF">
        <w:t>建物違法未依規定處理</w:t>
      </w:r>
    </w:p>
    <w:p w:rsidR="003807A5" w:rsidRPr="00AC77DF" w:rsidRDefault="007F2D63" w:rsidP="002B4E20">
      <w:pPr>
        <w:pStyle w:val="1---"/>
        <w:ind w:firstLine="480"/>
      </w:pPr>
      <w:r>
        <w:rPr>
          <w:rFonts w:hint="eastAsia"/>
          <w:lang w:eastAsia="zh-TW"/>
        </w:rPr>
        <w:t>前</w:t>
      </w:r>
      <w:r w:rsidR="003807A5" w:rsidRPr="00AC77DF">
        <w:t>桃園縣政府城鄉發展局於</w:t>
      </w:r>
      <w:r w:rsidR="003807A5" w:rsidRPr="00AC77DF">
        <w:t>102</w:t>
      </w:r>
      <w:r w:rsidR="003807A5" w:rsidRPr="00AC77DF">
        <w:t>年間明知本案建物違法做為保齡球館等使用，竟未依都市計畫法第</w:t>
      </w:r>
      <w:r w:rsidR="003807A5" w:rsidRPr="00AC77DF">
        <w:t>79</w:t>
      </w:r>
      <w:r w:rsidR="003807A5" w:rsidRPr="00AC77DF">
        <w:t>條規定裁罰，並勒令拆除、改建、停止使用或恢復原狀。至本案建物大火造成消防隊員死亡後，始進行裁罰，該局長期放任業者違法經營，致釀災害慘劇。</w:t>
      </w:r>
    </w:p>
    <w:p w:rsidR="003807A5" w:rsidRPr="00AC77DF" w:rsidRDefault="007F2D63" w:rsidP="002B4E20">
      <w:pPr>
        <w:pStyle w:val="1---"/>
        <w:ind w:firstLine="480"/>
      </w:pPr>
      <w:r>
        <w:rPr>
          <w:rFonts w:hint="eastAsia"/>
          <w:lang w:eastAsia="zh-TW"/>
        </w:rPr>
        <w:t>前</w:t>
      </w:r>
      <w:r w:rsidR="003807A5" w:rsidRPr="00AC77DF">
        <w:t>桃園縣政府工務局於</w:t>
      </w:r>
      <w:r w:rsidR="003807A5" w:rsidRPr="00AC77DF">
        <w:t>86</w:t>
      </w:r>
      <w:r w:rsidR="003807A5" w:rsidRPr="00AC77DF">
        <w:t>年</w:t>
      </w:r>
      <w:r w:rsidR="003807A5" w:rsidRPr="00AC77DF">
        <w:t>11</w:t>
      </w:r>
      <w:r w:rsidR="003807A5" w:rsidRPr="00AC77DF">
        <w:t>月</w:t>
      </w:r>
      <w:r w:rsidR="003807A5" w:rsidRPr="00AC77DF">
        <w:t>5</w:t>
      </w:r>
      <w:r w:rsidR="003807A5" w:rsidRPr="00AC77DF">
        <w:t>日稽查時發現本案建物有違法使用經營亞洲保齡球館情形，竟僅拆除「通道木門加栓乙扇、安全門加設木門乙扇</w:t>
      </w:r>
      <w:r w:rsidR="003807A5" w:rsidRPr="00A86B54">
        <w:rPr>
          <w:spacing w:val="-30"/>
        </w:rPr>
        <w:t>」</w:t>
      </w:r>
      <w:r w:rsidR="003807A5" w:rsidRPr="00AC77DF">
        <w:t>，未依法將其拆除，期間對本案建物違法使用，未依法連續處罰、未派員依法查察、草率記載複查合格。</w:t>
      </w:r>
    </w:p>
    <w:p w:rsidR="003807A5" w:rsidRPr="00AC77DF" w:rsidRDefault="007F2D63" w:rsidP="002B4E20">
      <w:pPr>
        <w:pStyle w:val="1---"/>
        <w:ind w:firstLine="480"/>
        <w:rPr>
          <w:lang w:eastAsia="zh-TW"/>
        </w:rPr>
      </w:pPr>
      <w:r>
        <w:rPr>
          <w:rFonts w:hint="eastAsia"/>
          <w:lang w:eastAsia="zh-TW"/>
        </w:rPr>
        <w:t>前</w:t>
      </w:r>
      <w:r w:rsidR="003807A5" w:rsidRPr="00AC77DF">
        <w:t>桃園縣新屋鄉公所工務課於</w:t>
      </w:r>
      <w:r w:rsidR="003807A5" w:rsidRPr="00AC77DF">
        <w:t>103</w:t>
      </w:r>
      <w:r w:rsidR="003807A5" w:rsidRPr="00AC77DF">
        <w:t>年</w:t>
      </w:r>
      <w:r w:rsidR="003807A5" w:rsidRPr="00AC77DF">
        <w:t>8</w:t>
      </w:r>
      <w:r w:rsidR="003807A5" w:rsidRPr="00AC77DF">
        <w:t>月間查報本案違建物時，明知屬於應於第</w:t>
      </w:r>
      <w:r w:rsidR="003807A5" w:rsidRPr="00AC77DF">
        <w:t>1</w:t>
      </w:r>
      <w:r w:rsidR="003807A5" w:rsidRPr="00AC77DF">
        <w:t>階段處理、填發拆除單並於</w:t>
      </w:r>
      <w:r w:rsidR="003807A5" w:rsidRPr="00AC77DF">
        <w:t>30</w:t>
      </w:r>
      <w:r w:rsidR="003807A5" w:rsidRPr="00AC77DF">
        <w:t>個工作天內拆除之</w:t>
      </w:r>
      <w:r w:rsidR="003807A5" w:rsidRPr="00AC77DF">
        <w:t>A3</w:t>
      </w:r>
      <w:r w:rsidR="003807A5" w:rsidRPr="00AC77DF">
        <w:t>類違建物，竟填載屬於應於第二階段處理之</w:t>
      </w:r>
      <w:r w:rsidR="003807A5" w:rsidRPr="00AC77DF">
        <w:t>B</w:t>
      </w:r>
      <w:r w:rsidR="003807A5" w:rsidRPr="00AC77DF">
        <w:t>類違建物。</w:t>
      </w:r>
      <w:r>
        <w:rPr>
          <w:rFonts w:hint="eastAsia"/>
          <w:lang w:eastAsia="zh-TW"/>
        </w:rPr>
        <w:t>前</w:t>
      </w:r>
      <w:r w:rsidR="003807A5" w:rsidRPr="00AC77DF">
        <w:t>桃園縣政府工務局明知登載有誤，而違法更改為應經審查、確認拆除對象及排定拆除順序</w:t>
      </w:r>
      <w:r w:rsidR="003807A5" w:rsidRPr="00A86B54">
        <w:rPr>
          <w:spacing w:val="-20"/>
        </w:rPr>
        <w:t>之</w:t>
      </w:r>
      <w:r w:rsidR="003807A5" w:rsidRPr="00AC77DF">
        <w:t>A</w:t>
      </w:r>
      <w:r w:rsidR="003807A5" w:rsidRPr="00A86B54">
        <w:rPr>
          <w:spacing w:val="-20"/>
        </w:rPr>
        <w:t>7</w:t>
      </w:r>
      <w:r w:rsidR="003807A5" w:rsidRPr="00AC77DF">
        <w:t>類，使本案建物之拆除順序延後。</w:t>
      </w:r>
    </w:p>
    <w:p w:rsidR="003807A5" w:rsidRPr="00AC77DF" w:rsidRDefault="007F2D63" w:rsidP="002B4E20">
      <w:pPr>
        <w:pStyle w:val="1---"/>
        <w:ind w:firstLine="480"/>
        <w:rPr>
          <w:lang w:eastAsia="zh-TW"/>
        </w:rPr>
      </w:pPr>
      <w:r>
        <w:rPr>
          <w:rFonts w:hint="eastAsia"/>
          <w:lang w:eastAsia="zh-TW"/>
        </w:rPr>
        <w:t>前</w:t>
      </w:r>
      <w:r w:rsidR="003807A5" w:rsidRPr="00AC77DF">
        <w:t>桃園縣政府農業局做成農地違規案件處理流程及處理原則，該局知悉本案建物坐落農地違法使用，不能取得合法設立使用文件，無法輔導使其合法化，卻函請土地所有權人取得合法設立使用文件或恢復農業使用狀態。</w:t>
      </w:r>
    </w:p>
    <w:p w:rsidR="003807A5" w:rsidRPr="00AC77DF" w:rsidRDefault="00682251" w:rsidP="00D92DAE">
      <w:pPr>
        <w:pStyle w:val="1--13"/>
        <w:spacing w:before="180" w:after="180"/>
      </w:pPr>
      <w:r w:rsidRPr="008E1832">
        <w:rPr>
          <w:rFonts w:hint="eastAsia"/>
        </w:rPr>
        <w:t>˙</w:t>
      </w:r>
      <w:r w:rsidR="003807A5" w:rsidRPr="00AC77DF">
        <w:t>欠缺橫向聯繫</w:t>
      </w:r>
    </w:p>
    <w:p w:rsidR="003807A5" w:rsidRPr="00AC77DF" w:rsidRDefault="007F2D63" w:rsidP="002B4E20">
      <w:pPr>
        <w:pStyle w:val="1---"/>
        <w:ind w:firstLine="480"/>
      </w:pPr>
      <w:r>
        <w:rPr>
          <w:rFonts w:hint="eastAsia"/>
          <w:lang w:eastAsia="zh-TW"/>
        </w:rPr>
        <w:t>前</w:t>
      </w:r>
      <w:r w:rsidR="003807A5" w:rsidRPr="00AC77DF">
        <w:t>桃園縣政府經濟發展局對於未辦理營利事登記違法設</w:t>
      </w:r>
      <w:r>
        <w:rPr>
          <w:rFonts w:hint="eastAsia"/>
          <w:lang w:eastAsia="zh-TW"/>
        </w:rPr>
        <w:t xml:space="preserve">　</w:t>
      </w:r>
      <w:r w:rsidR="003807A5" w:rsidRPr="00AC77DF">
        <w:lastRenderedPageBreak/>
        <w:t>於本案建物之「亞洲音樂餐坊」，於裁處後未依規定命勒令停業；又核發商業登記許可，僅以副本方式通知目的事業主管機關自行查核，欠缺橫向聯繫，使業者可以藉由合法掩護非法經營。</w:t>
      </w:r>
    </w:p>
    <w:p w:rsidR="003807A5" w:rsidRPr="00AC77DF" w:rsidRDefault="00682251" w:rsidP="00D92DAE">
      <w:pPr>
        <w:pStyle w:val="1--13"/>
        <w:spacing w:before="180" w:after="180"/>
      </w:pPr>
      <w:r w:rsidRPr="008E1832">
        <w:rPr>
          <w:rFonts w:hint="eastAsia"/>
        </w:rPr>
        <w:t>˙</w:t>
      </w:r>
      <w:r w:rsidR="003807A5" w:rsidRPr="00AC77DF">
        <w:t>消防安檢流於形式</w:t>
      </w:r>
    </w:p>
    <w:p w:rsidR="003807A5" w:rsidRPr="007F2D63" w:rsidRDefault="007F2D63" w:rsidP="007F2D63">
      <w:pPr>
        <w:pStyle w:val="1---"/>
        <w:ind w:firstLine="480"/>
        <w:rPr>
          <w:lang w:eastAsia="zh-TW"/>
        </w:rPr>
      </w:pPr>
      <w:r>
        <w:rPr>
          <w:rFonts w:hint="eastAsia"/>
          <w:lang w:eastAsia="zh-TW"/>
        </w:rPr>
        <w:t>前</w:t>
      </w:r>
      <w:r w:rsidR="003807A5" w:rsidRPr="00AC77DF">
        <w:t>桃園縣政府消防局新屋分隊就該保齡球館，前後共</w:t>
      </w:r>
      <w:r w:rsidR="003807A5" w:rsidRPr="00AC77DF">
        <w:t>6</w:t>
      </w:r>
      <w:r w:rsidR="003807A5" w:rsidRPr="00AC77DF">
        <w:t>次「消防安全設備檢修申報書」均記載自動撒水設備等</w:t>
      </w:r>
      <w:r w:rsidR="003807A5" w:rsidRPr="00AC77DF">
        <w:t>6</w:t>
      </w:r>
      <w:r w:rsidR="003807A5" w:rsidRPr="00AC77DF">
        <w:t>項目持續存在多項相同缺失，從未進行改善，卻分別辦理消防安全檢查或複查時，勾選合格並蓋章，造成火災自動警報設備等未發生作用。該局對於「檢修申報結果一再不合格，複查結果一再</w:t>
      </w:r>
      <w:r w:rsidR="003807A5" w:rsidRPr="007F2D63">
        <w:t>合格問題」未能列管，致安檢放水情事長期存在，檢查流於形式。</w:t>
      </w:r>
    </w:p>
    <w:p w:rsidR="003807A5" w:rsidRPr="00AC77DF" w:rsidRDefault="00682251" w:rsidP="00D92DAE">
      <w:pPr>
        <w:pStyle w:val="1--13"/>
        <w:spacing w:before="180" w:after="180"/>
      </w:pPr>
      <w:r w:rsidRPr="008E1832">
        <w:rPr>
          <w:rFonts w:hint="eastAsia"/>
        </w:rPr>
        <w:t>˙</w:t>
      </w:r>
      <w:r w:rsidR="003807A5" w:rsidRPr="00AC77DF">
        <w:t>未掌握火場狀況</w:t>
      </w:r>
    </w:p>
    <w:p w:rsidR="003807A5" w:rsidRPr="00AC77DF" w:rsidRDefault="003807A5" w:rsidP="002B4E20">
      <w:pPr>
        <w:pStyle w:val="1---"/>
        <w:ind w:firstLine="480"/>
      </w:pPr>
      <w:r w:rsidRPr="00AC77DF">
        <w:t>本案建物後方</w:t>
      </w:r>
      <w:r w:rsidRPr="00AC77DF">
        <w:t>2</w:t>
      </w:r>
      <w:r w:rsidRPr="00AC77DF">
        <w:t>樓可供進入作為直接攻擊火點用，救火指揮官知悉受困居民已全部救出，卻未詢問入室人員火場狀況，掌握水帶可否進入有效攻擊位置情形，即貿然決定，不須派員從後方直接攻擊火點，而派員從前方進入室內搜救，造成全面燃燒後，消防員無法撤出而殉職，致生憾事。</w:t>
      </w:r>
    </w:p>
    <w:p w:rsidR="003807A5" w:rsidRPr="00AC77DF" w:rsidRDefault="003807A5" w:rsidP="002B4E20">
      <w:pPr>
        <w:pStyle w:val="1---"/>
        <w:ind w:firstLine="480"/>
      </w:pPr>
      <w:r w:rsidRPr="00AC77DF">
        <w:t>救火指揮官未依規定於入室搜索前先登錄管制搜救小組之姓名、人數、時間及氣瓶壓力，且未指派專人管制進出，致無人知悉室內救災人數。</w:t>
      </w:r>
    </w:p>
    <w:p w:rsidR="003807A5" w:rsidRPr="00AC77DF" w:rsidRDefault="003807A5" w:rsidP="002B4E20">
      <w:pPr>
        <w:pStyle w:val="1---"/>
        <w:ind w:firstLine="480"/>
      </w:pPr>
      <w:r w:rsidRPr="00AC77DF">
        <w:t>救火指揮官於火災當日僅攜帶</w:t>
      </w:r>
      <w:r w:rsidRPr="00AC77DF">
        <w:t>1</w:t>
      </w:r>
      <w:r w:rsidRPr="00AC77DF">
        <w:t>支無線電手提台救災，雖未違反規定，但因疏於注意大型鐵皮屋對電磁波傳遞之重大阻</w:t>
      </w:r>
      <w:r w:rsidRPr="00AC77DF">
        <w:lastRenderedPageBreak/>
        <w:t>礙，未使用直通頻道，全程以「中繼頻道」指揮現場救災，且未曾與室內人員進行無線電測試，或確認通信是否良好。</w:t>
      </w:r>
    </w:p>
    <w:p w:rsidR="003807A5" w:rsidRPr="00AC77DF" w:rsidRDefault="003807A5" w:rsidP="002B4E20">
      <w:pPr>
        <w:pStyle w:val="1---"/>
        <w:ind w:firstLine="480"/>
        <w:rPr>
          <w:lang w:eastAsia="zh-TW"/>
        </w:rPr>
      </w:pPr>
      <w:r w:rsidRPr="00AC77DF">
        <w:t>新屋保齡球館屬甲類場所及「無開口樓層</w:t>
      </w:r>
      <w:r w:rsidRPr="001F6D10">
        <w:rPr>
          <w:spacing w:val="-30"/>
        </w:rPr>
        <w:t>」</w:t>
      </w:r>
      <w:r w:rsidRPr="00AC77DF">
        <w:t>，依「各類場所消防安全設備設置標準」應設排煙設備，惟新屋消防分隊歷次安全檢查均未要求設置。</w:t>
      </w:r>
    </w:p>
    <w:p w:rsidR="003807A5" w:rsidRPr="00AC77DF" w:rsidRDefault="00682251" w:rsidP="00D92DAE">
      <w:pPr>
        <w:pStyle w:val="1--13"/>
        <w:spacing w:before="180" w:after="180"/>
      </w:pPr>
      <w:r w:rsidRPr="008E1832">
        <w:rPr>
          <w:rFonts w:hint="eastAsia"/>
        </w:rPr>
        <w:t>˙</w:t>
      </w:r>
      <w:r w:rsidR="003807A5" w:rsidRPr="00AC77DF">
        <w:t>所需裝備不足</w:t>
      </w:r>
    </w:p>
    <w:p w:rsidR="003807A5" w:rsidRPr="00AC77DF" w:rsidRDefault="003807A5" w:rsidP="002B4E20">
      <w:pPr>
        <w:pStyle w:val="1---"/>
        <w:ind w:firstLine="480"/>
      </w:pPr>
      <w:r w:rsidRPr="00AC77DF">
        <w:t>消防人員個人防護裝備及熱顯像儀等，攸關第一線救災人員之生命安全，惟本案新屋分隊當日未獲配置熱顯像儀，部分消防員無防爆手電筒，消防署於事件後已研提計畫補足迫切需求裝備，各地方政府亦應檢視消防人員設備需求，以免因所需裝備不足，影響災害搶救。</w:t>
      </w:r>
    </w:p>
    <w:p w:rsidR="003807A5" w:rsidRPr="00AC77DF" w:rsidRDefault="003807A5" w:rsidP="002B4E20">
      <w:pPr>
        <w:pStyle w:val="1---"/>
        <w:ind w:firstLine="480"/>
      </w:pPr>
      <w:r w:rsidRPr="00AC77DF">
        <w:t>依據本案調查意見</w:t>
      </w:r>
      <w:r w:rsidRPr="005F1DE2">
        <w:rPr>
          <w:rStyle w:val="aff2"/>
          <w:lang w:eastAsia="zh-TW"/>
        </w:rPr>
        <w:footnoteReference w:id="47"/>
      </w:r>
      <w:r w:rsidRPr="00AC77DF">
        <w:t>，監察院糾正桃園市政府，並議處相關人員違失責任；另函請消防署督促各地方政府檢討改善。</w:t>
      </w:r>
    </w:p>
    <w:p w:rsidR="003807A5" w:rsidRPr="00AC77DF" w:rsidRDefault="001F6D10" w:rsidP="001F6D10">
      <w:pPr>
        <w:pStyle w:val="afff1"/>
        <w:spacing w:before="360" w:after="360"/>
      </w:pPr>
      <w:r>
        <w:rPr>
          <w:rFonts w:hint="eastAsia"/>
        </w:rPr>
        <w:t>(三)</w:t>
      </w:r>
      <w:r w:rsidR="003807A5" w:rsidRPr="00AC77DF">
        <w:t>政府機關改善情形</w:t>
      </w:r>
    </w:p>
    <w:p w:rsidR="003807A5" w:rsidRPr="00AC77DF" w:rsidRDefault="003807A5" w:rsidP="007373B4">
      <w:pPr>
        <w:pStyle w:val="1---"/>
        <w:ind w:leftChars="100" w:left="600" w:hangingChars="150" w:hanging="360"/>
      </w:pPr>
      <w:r w:rsidRPr="00AC77DF">
        <w:t>1</w:t>
      </w:r>
      <w:r w:rsidRPr="00AC77DF">
        <w:t>、落實建築物所有權人、使用人依核定之使用類組使用，以及提升使用執照核發品質。另強化機關橫向溝通，並訂定施工勘驗作業規定。</w:t>
      </w:r>
    </w:p>
    <w:p w:rsidR="003807A5" w:rsidRPr="00AC77DF" w:rsidRDefault="003807A5" w:rsidP="007373B4">
      <w:pPr>
        <w:pStyle w:val="1---"/>
        <w:ind w:leftChars="100" w:left="600" w:hangingChars="150" w:hanging="360"/>
      </w:pPr>
      <w:r w:rsidRPr="00AC77DF">
        <w:t>2</w:t>
      </w:r>
      <w:r w:rsidRPr="00AC77DF">
        <w:t>、桃園市政府於</w:t>
      </w:r>
      <w:r w:rsidRPr="00AC77DF">
        <w:t>105</w:t>
      </w:r>
      <w:r w:rsidRPr="00AC77DF">
        <w:t>年</w:t>
      </w:r>
      <w:r w:rsidRPr="00AC77DF">
        <w:t>11</w:t>
      </w:r>
      <w:r w:rsidRPr="00AC77DF">
        <w:t>月</w:t>
      </w:r>
      <w:r w:rsidRPr="00AC77DF">
        <w:t>14</w:t>
      </w:r>
      <w:r w:rsidRPr="00AC77DF">
        <w:t>日發布實施「桃園市政府處理違反都市計畫法案件裁罰基準</w:t>
      </w:r>
      <w:r w:rsidRPr="001F6D10">
        <w:rPr>
          <w:spacing w:val="-30"/>
        </w:rPr>
        <w:t>」</w:t>
      </w:r>
      <w:r w:rsidRPr="00AC77DF">
        <w:t>，建置裁罰案件管理系統，以控管違反都市計畫法案件。</w:t>
      </w:r>
    </w:p>
    <w:p w:rsidR="003807A5" w:rsidRPr="00AC77DF" w:rsidRDefault="003807A5" w:rsidP="007373B4">
      <w:pPr>
        <w:pStyle w:val="1---"/>
        <w:ind w:leftChars="100" w:left="600" w:hangingChars="150" w:hanging="360"/>
      </w:pPr>
      <w:r w:rsidRPr="00AC77DF">
        <w:lastRenderedPageBreak/>
        <w:t>3</w:t>
      </w:r>
      <w:r w:rsidRPr="00AC77DF">
        <w:t>、強化營業場所之公共安全管理制度，訂定重點營業場所之公共安全檢查取締措施，並落實違反土地使用分區管制規定案件之通報措施。</w:t>
      </w:r>
    </w:p>
    <w:p w:rsidR="003807A5" w:rsidRPr="00AC77DF" w:rsidRDefault="003807A5" w:rsidP="007373B4">
      <w:pPr>
        <w:pStyle w:val="1---"/>
        <w:ind w:leftChars="100" w:left="600" w:hangingChars="150" w:hanging="360"/>
      </w:pPr>
      <w:r w:rsidRPr="00AC77DF">
        <w:t>4</w:t>
      </w:r>
      <w:r w:rsidRPr="00AC77DF">
        <w:t>、修正「桃園市違章建築處理要點」之違建拆除順序。</w:t>
      </w:r>
    </w:p>
    <w:p w:rsidR="003807A5" w:rsidRPr="00AC77DF" w:rsidRDefault="003807A5" w:rsidP="007373B4">
      <w:pPr>
        <w:pStyle w:val="1---"/>
        <w:ind w:leftChars="100" w:left="600" w:hangingChars="150" w:hanging="360"/>
      </w:pPr>
      <w:r w:rsidRPr="00AC77DF">
        <w:t>5</w:t>
      </w:r>
      <w:r w:rsidRPr="00AC77DF">
        <w:t>、該府農業局</w:t>
      </w:r>
      <w:r w:rsidR="001B7615">
        <w:t>制定</w:t>
      </w:r>
      <w:r w:rsidRPr="00AC77DF">
        <w:t>「桃園市政府執行賦稅減免及興建農舍之農業用地抽查作業要點</w:t>
      </w:r>
      <w:r w:rsidRPr="001F6D10">
        <w:rPr>
          <w:spacing w:val="-30"/>
        </w:rPr>
        <w:t>」</w:t>
      </w:r>
      <w:r w:rsidRPr="00AC77DF">
        <w:t>，組成稽查小組，於每年度以隨機方式辦理，以加強農地農業用地管理。</w:t>
      </w:r>
    </w:p>
    <w:p w:rsidR="003807A5" w:rsidRPr="00AC77DF" w:rsidRDefault="003807A5" w:rsidP="007373B4">
      <w:pPr>
        <w:pStyle w:val="1---"/>
        <w:ind w:leftChars="100" w:left="600" w:hangingChars="150" w:hanging="360"/>
      </w:pPr>
      <w:r w:rsidRPr="00AC77DF">
        <w:t>6</w:t>
      </w:r>
      <w:r w:rsidRPr="00AC77DF">
        <w:t>、消防局實施專責消防安全檢查，如推動安檢小組及幹部機動帶班，落實專責消防安檢，並強化消防設備功能測試。</w:t>
      </w:r>
    </w:p>
    <w:p w:rsidR="003807A5" w:rsidRPr="00AC77DF" w:rsidRDefault="003807A5" w:rsidP="007373B4">
      <w:pPr>
        <w:pStyle w:val="1---"/>
        <w:ind w:leftChars="100" w:left="600" w:hangingChars="150" w:hanging="360"/>
      </w:pPr>
      <w:r w:rsidRPr="00AC77DF">
        <w:t>7</w:t>
      </w:r>
      <w:r w:rsidRPr="00AC77DF">
        <w:t>、消防局持續規劃加強幹部、在職及新進同仁各種執勤必要之基礎及進階火場搶救與指揮等訓練。</w:t>
      </w:r>
    </w:p>
    <w:p w:rsidR="003807A5" w:rsidRPr="00AC77DF" w:rsidRDefault="001F6D10" w:rsidP="001F6D10">
      <w:pPr>
        <w:pStyle w:val="afff1"/>
        <w:spacing w:before="360" w:after="360"/>
      </w:pPr>
      <w:r>
        <w:rPr>
          <w:rFonts w:hint="eastAsia"/>
        </w:rPr>
        <w:t>(四)</w:t>
      </w:r>
      <w:r w:rsidR="003807A5" w:rsidRPr="00AC77DF">
        <w:t>案件進展</w:t>
      </w:r>
    </w:p>
    <w:p w:rsidR="003807A5" w:rsidRDefault="003807A5" w:rsidP="002B4E20">
      <w:pPr>
        <w:pStyle w:val="1---"/>
        <w:ind w:firstLine="480"/>
        <w:rPr>
          <w:lang w:eastAsia="zh-TW"/>
        </w:rPr>
      </w:pPr>
      <w:r w:rsidRPr="00AC77DF">
        <w:t>本案監察院仍列管追蹤，除究明相關違失人員責任，並落實依法行政，以維人民生命及財產安全。</w:t>
      </w:r>
    </w:p>
    <w:p w:rsidR="001F6D10" w:rsidRDefault="001F6D10" w:rsidP="002B4E20">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4560"/>
      </w:tblGrid>
      <w:tr w:rsidR="00835560" w:rsidTr="00835560">
        <w:tc>
          <w:tcPr>
            <w:tcW w:w="4560" w:type="dxa"/>
            <w:shd w:val="clear" w:color="auto" w:fill="D9D9D9" w:themeFill="background1" w:themeFillShade="D9"/>
          </w:tcPr>
          <w:p w:rsidR="00835560" w:rsidRDefault="00835560" w:rsidP="00835560">
            <w:pPr>
              <w:pStyle w:val="11-"/>
              <w:spacing w:before="72" w:after="108"/>
              <w:rPr>
                <w:b/>
                <w:lang w:eastAsia="zh-TW"/>
              </w:rPr>
            </w:pPr>
            <w:bookmarkStart w:id="86" w:name="_Toc535228330"/>
            <w:bookmarkStart w:id="87" w:name="_Toc4058740"/>
            <w:r w:rsidRPr="00AC77DF">
              <w:rPr>
                <w:bdr w:val="none" w:sz="0" w:space="0" w:color="auto" w:frame="1"/>
              </w:rPr>
              <w:t>住宅用火災警報器</w:t>
            </w:r>
            <w:r w:rsidRPr="00AC77DF">
              <w:rPr>
                <w:bdr w:val="none" w:sz="0" w:space="0" w:color="auto" w:frame="1"/>
                <w:lang w:eastAsia="zh-HK"/>
              </w:rPr>
              <w:t>設置</w:t>
            </w:r>
            <w:r w:rsidRPr="00AC77DF">
              <w:rPr>
                <w:bdr w:val="none" w:sz="0" w:space="0" w:color="auto" w:frame="1"/>
              </w:rPr>
              <w:t>成效不彰</w:t>
            </w:r>
            <w:bookmarkEnd w:id="86"/>
            <w:bookmarkEnd w:id="87"/>
          </w:p>
        </w:tc>
      </w:tr>
    </w:tbl>
    <w:p w:rsidR="001F6D10" w:rsidRPr="00AC77DF" w:rsidRDefault="001F6D10" w:rsidP="002B4E20">
      <w:pPr>
        <w:pStyle w:val="1---"/>
        <w:ind w:firstLine="480"/>
        <w:rPr>
          <w:b/>
          <w:lang w:eastAsia="zh-TW"/>
        </w:rPr>
      </w:pPr>
    </w:p>
    <w:tbl>
      <w:tblPr>
        <w:tblStyle w:val="aff5"/>
        <w:tblW w:w="5000" w:type="pct"/>
        <w:tblInd w:w="113" w:type="dxa"/>
        <w:tblLook w:val="04A0" w:firstRow="1" w:lastRow="0" w:firstColumn="1" w:lastColumn="0" w:noHBand="0" w:noVBand="1"/>
      </w:tblPr>
      <w:tblGrid>
        <w:gridCol w:w="6850"/>
      </w:tblGrid>
      <w:tr w:rsidR="00473691" w:rsidTr="00835560">
        <w:tc>
          <w:tcPr>
            <w:tcW w:w="5000" w:type="pct"/>
          </w:tcPr>
          <w:p w:rsidR="00473691" w:rsidRPr="00473691" w:rsidRDefault="00473691" w:rsidP="00835560">
            <w:pPr>
              <w:spacing w:line="360" w:lineRule="exact"/>
              <w:jc w:val="both"/>
              <w:rPr>
                <w:lang w:val="x-none"/>
              </w:rPr>
            </w:pPr>
            <w:r w:rsidRPr="00AC77DF">
              <w:rPr>
                <w:b/>
                <w:lang w:val="x-none"/>
              </w:rPr>
              <w:t>相關國際人權公約：</w:t>
            </w:r>
            <w:r w:rsidRPr="00AC77DF">
              <w:t>公民與政治權利國際公約第</w:t>
            </w:r>
            <w:r w:rsidRPr="00AC77DF">
              <w:t>6</w:t>
            </w:r>
            <w:r w:rsidRPr="00AC77DF">
              <w:t>條、經濟社會文化權利國際公約第</w:t>
            </w:r>
            <w:r w:rsidRPr="00AC77DF">
              <w:t>12</w:t>
            </w:r>
            <w:r w:rsidRPr="00AC77DF">
              <w:t>條、公民與政治權利國際公約第</w:t>
            </w:r>
            <w:r w:rsidRPr="00AC77DF">
              <w:t>6</w:t>
            </w:r>
            <w:r w:rsidRPr="00AC77DF">
              <w:t>號一般性意見、經濟社會文化權利國際公約第</w:t>
            </w:r>
            <w:r w:rsidRPr="00AC77DF">
              <w:t>4</w:t>
            </w:r>
            <w:r w:rsidRPr="00AC77DF">
              <w:t>號一般性意見第</w:t>
            </w:r>
            <w:r w:rsidRPr="00835560">
              <w:rPr>
                <w:spacing w:val="-2"/>
              </w:rPr>
              <w:t>8</w:t>
            </w:r>
            <w:r w:rsidRPr="00835560">
              <w:rPr>
                <w:spacing w:val="-2"/>
              </w:rPr>
              <w:t>點及第</w:t>
            </w:r>
            <w:r w:rsidRPr="00835560">
              <w:rPr>
                <w:spacing w:val="-2"/>
              </w:rPr>
              <w:t>13</w:t>
            </w:r>
            <w:r w:rsidRPr="00835560">
              <w:rPr>
                <w:spacing w:val="-2"/>
              </w:rPr>
              <w:t>點、經濟社會文化權利國際公約第</w:t>
            </w:r>
            <w:r w:rsidRPr="00835560">
              <w:rPr>
                <w:spacing w:val="-2"/>
              </w:rPr>
              <w:t>14</w:t>
            </w:r>
            <w:r w:rsidRPr="00835560">
              <w:rPr>
                <w:spacing w:val="-2"/>
              </w:rPr>
              <w:t>號一般性意見</w:t>
            </w:r>
            <w:r w:rsidRPr="00AC77DF">
              <w:t>第</w:t>
            </w:r>
            <w:r w:rsidRPr="00AC77DF">
              <w:t>12</w:t>
            </w:r>
            <w:r w:rsidRPr="00AC77DF">
              <w:t>點</w:t>
            </w:r>
          </w:p>
        </w:tc>
      </w:tr>
    </w:tbl>
    <w:p w:rsidR="003807A5" w:rsidRPr="00AC77DF" w:rsidRDefault="009F64BA" w:rsidP="009F64BA">
      <w:pPr>
        <w:pStyle w:val="afff1"/>
        <w:spacing w:before="360" w:after="360"/>
      </w:pPr>
      <w:r>
        <w:rPr>
          <w:rFonts w:hint="eastAsia"/>
        </w:rPr>
        <w:lastRenderedPageBreak/>
        <w:t>(一)</w:t>
      </w:r>
      <w:r w:rsidR="003807A5" w:rsidRPr="00AC77DF">
        <w:t>案情簡述</w:t>
      </w:r>
    </w:p>
    <w:p w:rsidR="003807A5" w:rsidRPr="00AC77DF" w:rsidRDefault="003807A5" w:rsidP="002B4E20">
      <w:pPr>
        <w:pStyle w:val="1---"/>
        <w:ind w:firstLine="480"/>
      </w:pPr>
      <w:r w:rsidRPr="00AC77DF">
        <w:t>99</w:t>
      </w:r>
      <w:r w:rsidRPr="00AC77DF">
        <w:t>年</w:t>
      </w:r>
      <w:r w:rsidRPr="00AC77DF">
        <w:t>5</w:t>
      </w:r>
      <w:r w:rsidRPr="00AC77DF">
        <w:t>月</w:t>
      </w:r>
      <w:r w:rsidRPr="00AC77DF">
        <w:t>19</w:t>
      </w:r>
      <w:r w:rsidRPr="00AC77DF">
        <w:t>日修正消防法第</w:t>
      </w:r>
      <w:r w:rsidRPr="00AC77DF">
        <w:t>6</w:t>
      </w:r>
      <w:r w:rsidRPr="00AC77DF">
        <w:t>條，增列依法免設火警自動警報設備之旅館、老人福利機構及住宅場所等場所，應設置住宅用火災警報器（簡稱住警器）。然推廣設置迄今成效不彰，影響公共安全，經監察院內政及少數民族委員會決議調查。</w:t>
      </w:r>
    </w:p>
    <w:p w:rsidR="003807A5" w:rsidRPr="00AC77DF" w:rsidRDefault="009F64BA" w:rsidP="009F64BA">
      <w:pPr>
        <w:pStyle w:val="afff1"/>
        <w:spacing w:before="360" w:after="360"/>
      </w:pPr>
      <w:r>
        <w:rPr>
          <w:rFonts w:hint="eastAsia"/>
        </w:rPr>
        <w:t>(二)</w:t>
      </w:r>
      <w:r w:rsidR="003807A5" w:rsidRPr="00AC77DF">
        <w:t>監察院調查發現與建議</w:t>
      </w:r>
    </w:p>
    <w:p w:rsidR="003807A5" w:rsidRPr="00AC77DF" w:rsidRDefault="00682251" w:rsidP="00D92DAE">
      <w:pPr>
        <w:pStyle w:val="1--13"/>
        <w:spacing w:before="180" w:after="180"/>
      </w:pPr>
      <w:r w:rsidRPr="008E1832">
        <w:rPr>
          <w:rFonts w:hint="eastAsia"/>
        </w:rPr>
        <w:t>˙</w:t>
      </w:r>
      <w:r w:rsidR="003807A5" w:rsidRPr="00AC77DF">
        <w:t>住警器宣傳輔導機制不佳</w:t>
      </w:r>
    </w:p>
    <w:p w:rsidR="003807A5" w:rsidRPr="00AC77DF" w:rsidRDefault="003807A5" w:rsidP="002B4E20">
      <w:pPr>
        <w:pStyle w:val="1---"/>
        <w:ind w:firstLine="480"/>
      </w:pPr>
      <w:r w:rsidRPr="00AC77DF">
        <w:t>全國住警器之設置率不到</w:t>
      </w:r>
      <w:r w:rsidRPr="00AC77DF">
        <w:t>3</w:t>
      </w:r>
      <w:r w:rsidRPr="00AC77DF">
        <w:t>成，臺南市等</w:t>
      </w:r>
      <w:r w:rsidRPr="00AC77DF">
        <w:t>8</w:t>
      </w:r>
      <w:r w:rsidRPr="00AC77DF">
        <w:t>縣市設置率更低於</w:t>
      </w:r>
      <w:r w:rsidRPr="00AC77DF">
        <w:t>10</w:t>
      </w:r>
      <w:r w:rsidR="00F9266D">
        <w:t>%</w:t>
      </w:r>
      <w:r w:rsidRPr="00AC77DF">
        <w:t>。足見相關機關對住警器宣傳效果不佳，</w:t>
      </w:r>
      <w:r w:rsidR="007F2D63">
        <w:rPr>
          <w:rFonts w:hint="eastAsia"/>
          <w:lang w:eastAsia="zh-TW"/>
        </w:rPr>
        <w:t>又</w:t>
      </w:r>
      <w:r w:rsidRPr="00AC77DF">
        <w:t>弱勢族群、高風險地區住警器補助金額偏低且逐年下降。</w:t>
      </w:r>
    </w:p>
    <w:p w:rsidR="003807A5" w:rsidRPr="00AC77DF" w:rsidRDefault="00682251" w:rsidP="00D92DAE">
      <w:pPr>
        <w:pStyle w:val="1--13"/>
        <w:spacing w:before="180" w:after="180"/>
      </w:pPr>
      <w:r w:rsidRPr="008E1832">
        <w:rPr>
          <w:rFonts w:hint="eastAsia"/>
        </w:rPr>
        <w:t>˙</w:t>
      </w:r>
      <w:r w:rsidR="003807A5" w:rsidRPr="00AC77DF">
        <w:t>主關機關過度側重補助，未建立課責及政府稽查機制</w:t>
      </w:r>
    </w:p>
    <w:p w:rsidR="003807A5" w:rsidRPr="00AC77DF" w:rsidRDefault="003807A5" w:rsidP="002B4E20">
      <w:pPr>
        <w:pStyle w:val="1---"/>
        <w:ind w:firstLine="480"/>
      </w:pPr>
      <w:r w:rsidRPr="00AC77DF">
        <w:t>相關機關對於協助消防水源不足地區及狹小巷道地區之住宅場所設置住警器，有欠積極。且對於現行以一戶設置</w:t>
      </w:r>
      <w:r w:rsidRPr="00AC77DF">
        <w:t>1</w:t>
      </w:r>
      <w:r w:rsidRPr="00AC77DF">
        <w:t>至</w:t>
      </w:r>
      <w:r w:rsidRPr="00AC77DF">
        <w:t>2</w:t>
      </w:r>
      <w:r w:rsidRPr="00AC77DF">
        <w:t>只住警器之推廣模式，仍有所不足。</w:t>
      </w:r>
    </w:p>
    <w:p w:rsidR="003807A5" w:rsidRDefault="003807A5" w:rsidP="00274413">
      <w:pPr>
        <w:pStyle w:val="1---"/>
        <w:spacing w:after="180"/>
        <w:ind w:firstLine="480"/>
        <w:rPr>
          <w:lang w:eastAsia="zh-TW"/>
        </w:rPr>
      </w:pPr>
      <w:r w:rsidRPr="00AC77DF">
        <w:t>依據本案調查意見</w:t>
      </w:r>
      <w:r w:rsidRPr="00F85A65">
        <w:rPr>
          <w:rStyle w:val="aff2"/>
        </w:rPr>
        <w:footnoteReference w:id="48"/>
      </w:r>
      <w:r w:rsidRPr="00AC77DF">
        <w:t>，監察院函請內政部及所屬確實檢討改進見復。</w:t>
      </w:r>
    </w:p>
    <w:p w:rsidR="009E423F" w:rsidRPr="00AC77DF" w:rsidRDefault="009E423F" w:rsidP="00274413">
      <w:pPr>
        <w:pStyle w:val="1---"/>
        <w:spacing w:after="180"/>
        <w:ind w:firstLine="480"/>
        <w:rPr>
          <w:lang w:eastAsia="zh-TW"/>
        </w:rPr>
      </w:pPr>
    </w:p>
    <w:p w:rsidR="003807A5" w:rsidRPr="00AC77DF" w:rsidRDefault="009F64BA" w:rsidP="009F64BA">
      <w:pPr>
        <w:pStyle w:val="afff1"/>
        <w:spacing w:before="360" w:after="360"/>
      </w:pPr>
      <w:r>
        <w:rPr>
          <w:rFonts w:hint="eastAsia"/>
        </w:rPr>
        <w:lastRenderedPageBreak/>
        <w:t>(三)</w:t>
      </w:r>
      <w:r w:rsidR="003807A5" w:rsidRPr="00AC77DF">
        <w:t>政府機關改善情形</w:t>
      </w:r>
    </w:p>
    <w:p w:rsidR="003807A5" w:rsidRPr="00AC77DF" w:rsidRDefault="003807A5" w:rsidP="007373B4">
      <w:pPr>
        <w:pStyle w:val="1---"/>
        <w:ind w:leftChars="100" w:left="600" w:hangingChars="150" w:hanging="360"/>
      </w:pPr>
      <w:r w:rsidRPr="00AC77DF">
        <w:t>1</w:t>
      </w:r>
      <w:r w:rsidRPr="00AC77DF">
        <w:t>、內政部為提升住警器安裝率、確保住宅民眾生命財產安全，業研修相關精進計畫及細部作為：</w:t>
      </w:r>
    </w:p>
    <w:p w:rsidR="003807A5" w:rsidRPr="00AC77DF" w:rsidRDefault="003807A5" w:rsidP="009E423F">
      <w:pPr>
        <w:pStyle w:val="1--1"/>
        <w:ind w:left="1080" w:hanging="600"/>
      </w:pPr>
      <w:r w:rsidRPr="00AC77DF">
        <w:t>（</w:t>
      </w:r>
      <w:r w:rsidRPr="00AC77DF">
        <w:t>1</w:t>
      </w:r>
      <w:r w:rsidRPr="00AC77DF">
        <w:t>）</w:t>
      </w:r>
      <w:r w:rsidRPr="00AC77DF">
        <w:t>106</w:t>
      </w:r>
      <w:r w:rsidRPr="00AC77DF">
        <w:t>年</w:t>
      </w:r>
      <w:r w:rsidRPr="00AC77DF">
        <w:t>9</w:t>
      </w:r>
      <w:r w:rsidRPr="00AC77DF">
        <w:t>月</w:t>
      </w:r>
      <w:r w:rsidRPr="00AC77DF">
        <w:t>28</w:t>
      </w:r>
      <w:r w:rsidRPr="00AC77DF">
        <w:t>日函請各直轄市、縣（市）政府積極檢討改進，並於</w:t>
      </w:r>
      <w:r w:rsidRPr="00AC77DF">
        <w:t>106</w:t>
      </w:r>
      <w:r w:rsidRPr="00AC77DF">
        <w:t>年</w:t>
      </w:r>
      <w:r w:rsidRPr="00AC77DF">
        <w:t>11</w:t>
      </w:r>
      <w:r w:rsidRPr="00AC77DF">
        <w:t>月</w:t>
      </w:r>
      <w:r w:rsidRPr="00AC77DF">
        <w:t>21</w:t>
      </w:r>
      <w:r w:rsidRPr="00AC77DF">
        <w:t>日函送「住宅防火對策</w:t>
      </w:r>
      <w:r w:rsidRPr="00AC77DF">
        <w:t>2.0</w:t>
      </w:r>
      <w:r w:rsidRPr="00AC77DF">
        <w:t>草案</w:t>
      </w:r>
      <w:r w:rsidRPr="002C05F7">
        <w:rPr>
          <w:spacing w:val="-30"/>
        </w:rPr>
        <w:t>」</w:t>
      </w:r>
      <w:r w:rsidRPr="00AC77DF">
        <w:t>，請相關部會、各直轄市、縣（市）政府檢視。</w:t>
      </w:r>
    </w:p>
    <w:p w:rsidR="003807A5" w:rsidRPr="00AC77DF" w:rsidRDefault="003807A5" w:rsidP="009E423F">
      <w:pPr>
        <w:pStyle w:val="1--1"/>
        <w:ind w:left="1080" w:hanging="600"/>
      </w:pPr>
      <w:r w:rsidRPr="00AC77DF">
        <w:t>（</w:t>
      </w:r>
      <w:r w:rsidRPr="00AC77DF">
        <w:t>2</w:t>
      </w:r>
      <w:r w:rsidRPr="00AC77DF">
        <w:t>）修正「推廣住宅用火災警報器執行計畫</w:t>
      </w:r>
      <w:r w:rsidRPr="00AC77DF">
        <w:t>2.0</w:t>
      </w:r>
      <w:r w:rsidRPr="00AC77DF">
        <w:t>（草案）</w:t>
      </w:r>
      <w:r w:rsidRPr="009E423F">
        <w:rPr>
          <w:spacing w:val="-30"/>
        </w:rPr>
        <w:t>」</w:t>
      </w:r>
      <w:r w:rsidRPr="00AC77DF">
        <w:t>，配合「住宅防火對</w:t>
      </w:r>
      <w:r w:rsidRPr="009E423F">
        <w:rPr>
          <w:spacing w:val="-6"/>
        </w:rPr>
        <w:t>策</w:t>
      </w:r>
      <w:r w:rsidRPr="00AC77DF">
        <w:t>2.</w:t>
      </w:r>
      <w:r w:rsidRPr="009E423F">
        <w:rPr>
          <w:spacing w:val="-6"/>
        </w:rPr>
        <w:t>0</w:t>
      </w:r>
      <w:r w:rsidRPr="00AC77DF">
        <w:t>草案</w:t>
      </w:r>
      <w:r w:rsidRPr="009E423F">
        <w:rPr>
          <w:spacing w:val="-30"/>
        </w:rPr>
        <w:t>」</w:t>
      </w:r>
      <w:r w:rsidRPr="00AC77DF">
        <w:t>，逐年設定住警器裝置率以每年增</w:t>
      </w:r>
      <w:r w:rsidRPr="009E423F">
        <w:rPr>
          <w:spacing w:val="-30"/>
        </w:rPr>
        <w:t>加</w:t>
      </w:r>
      <w:r w:rsidRPr="00AC77DF">
        <w:t>5%</w:t>
      </w:r>
      <w:r w:rsidRPr="00AC77DF">
        <w:t>為努力目標，函請各直轄市、縣（市）政府共同努力辦理。</w:t>
      </w:r>
    </w:p>
    <w:p w:rsidR="003807A5" w:rsidRPr="00AC77DF" w:rsidRDefault="003807A5" w:rsidP="009E423F">
      <w:pPr>
        <w:pStyle w:val="1--1"/>
        <w:ind w:left="1080" w:hanging="600"/>
      </w:pPr>
      <w:r w:rsidRPr="00AC77DF">
        <w:t>（</w:t>
      </w:r>
      <w:r w:rsidRPr="00AC77DF">
        <w:t>3</w:t>
      </w:r>
      <w:r w:rsidRPr="00AC77DF">
        <w:t>）持續推動「補助直轄市、縣（市）政府推動設置住宅用火災警報器作業原則</w:t>
      </w:r>
      <w:r w:rsidRPr="009E423F">
        <w:rPr>
          <w:spacing w:val="-30"/>
        </w:rPr>
        <w:t>」</w:t>
      </w:r>
      <w:r w:rsidRPr="00AC77DF">
        <w:t>，配合各直轄市、縣（市）政府逐年爭取預算，優先安裝於弱勢族群。</w:t>
      </w:r>
    </w:p>
    <w:p w:rsidR="003807A5" w:rsidRPr="00AC77DF" w:rsidRDefault="003807A5" w:rsidP="009E423F">
      <w:pPr>
        <w:pStyle w:val="1--1"/>
        <w:ind w:left="1080" w:hanging="600"/>
      </w:pPr>
      <w:r w:rsidRPr="00AC77DF">
        <w:t>（</w:t>
      </w:r>
      <w:r w:rsidRPr="00AC77DF">
        <w:t>4</w:t>
      </w:r>
      <w:r w:rsidRPr="00AC77DF">
        <w:t>）配合上開相關計畫作為，邀請相關部會、直轄市、縣（市）政府、各相關公會全國聯合會（如室內裝修、熱水器承裝業、液化石油氣燃料商業同業公會、台灣區水管工程工業同業公會、台灣區電氣工程工業同業公會、產險公會、銀行公會）研商協助推廣設置住警器。</w:t>
      </w:r>
    </w:p>
    <w:p w:rsidR="003807A5" w:rsidRPr="00AC77DF" w:rsidRDefault="003807A5" w:rsidP="007373B4">
      <w:pPr>
        <w:pStyle w:val="1---"/>
        <w:ind w:leftChars="100" w:left="600" w:hangingChars="150" w:hanging="360"/>
      </w:pPr>
      <w:r w:rsidRPr="00AC77DF">
        <w:t>2</w:t>
      </w:r>
      <w:r w:rsidRPr="00AC77DF">
        <w:t>、針對弱勢族群住宅場所、高風險地區設置住警器，補助金額偏低且逐年下降，檢討改進措施如下</w:t>
      </w:r>
      <w:r w:rsidRPr="009E423F">
        <w:rPr>
          <w:spacing w:val="-30"/>
          <w:kern w:val="0"/>
          <w:szCs w:val="22"/>
        </w:rPr>
        <w:t>：</w:t>
      </w:r>
      <w:r w:rsidRPr="00AC77DF">
        <w:t>（</w:t>
      </w:r>
      <w:r w:rsidRPr="00AC77DF">
        <w:t>1</w:t>
      </w:r>
      <w:r w:rsidRPr="00AC77DF">
        <w:t>）住警器設置係定位在民眾的自我責任範疇，以自主設置為原則，弱勢族群部分透過補助協助設置，係輔助措施，自</w:t>
      </w:r>
      <w:r w:rsidRPr="00AC77DF">
        <w:t>103</w:t>
      </w:r>
      <w:r w:rsidRPr="00AC77DF">
        <w:t>年迄</w:t>
      </w:r>
      <w:r w:rsidRPr="00AC77DF">
        <w:lastRenderedPageBreak/>
        <w:t>今，已補助多年，補助金額雖逐年遞減，但民眾自主裝設率也逐漸提升，後續仍持續編列年度預算及請直轄市、縣（市）政府編列相對配合款協助設置</w:t>
      </w:r>
      <w:r w:rsidRPr="009E423F">
        <w:rPr>
          <w:spacing w:val="-30"/>
          <w:kern w:val="0"/>
          <w:szCs w:val="22"/>
        </w:rPr>
        <w:t>。</w:t>
      </w:r>
      <w:r w:rsidRPr="00AC77DF">
        <w:t>（</w:t>
      </w:r>
      <w:r w:rsidRPr="00AC77DF">
        <w:t>2</w:t>
      </w:r>
      <w:r w:rsidRPr="00AC77DF">
        <w:t>）依各地方政府查復情形，持續照顧弱勢。另訪視住宅式宮廟，評估火災風險及環境因子，優先設立專案補助等。</w:t>
      </w:r>
    </w:p>
    <w:p w:rsidR="003807A5" w:rsidRPr="00AC77DF" w:rsidRDefault="003807A5" w:rsidP="007373B4">
      <w:pPr>
        <w:pStyle w:val="1---"/>
        <w:ind w:leftChars="100" w:left="600" w:hangingChars="150" w:hanging="360"/>
      </w:pPr>
      <w:r w:rsidRPr="00AC77DF">
        <w:t>3</w:t>
      </w:r>
      <w:r w:rsidRPr="00AC77DF">
        <w:t>、針對建立課責及政府稽查機制方面：</w:t>
      </w:r>
    </w:p>
    <w:p w:rsidR="003807A5" w:rsidRPr="00AC77DF" w:rsidRDefault="003807A5" w:rsidP="009E423F">
      <w:pPr>
        <w:pStyle w:val="1--1"/>
        <w:ind w:left="1080" w:hanging="600"/>
      </w:pPr>
      <w:r w:rsidRPr="00AC77DF">
        <w:t>（</w:t>
      </w:r>
      <w:r w:rsidRPr="00AC77DF">
        <w:t>1</w:t>
      </w:r>
      <w:r w:rsidRPr="00AC77DF">
        <w:t>）消防署</w:t>
      </w:r>
      <w:r w:rsidRPr="00AC77DF">
        <w:t>106</w:t>
      </w:r>
      <w:r w:rsidRPr="00AC77DF">
        <w:t>年</w:t>
      </w:r>
      <w:r w:rsidRPr="00AC77DF">
        <w:t>6</w:t>
      </w:r>
      <w:r w:rsidRPr="00AC77DF">
        <w:t>月</w:t>
      </w:r>
      <w:r w:rsidRPr="00AC77DF">
        <w:t>22</w:t>
      </w:r>
      <w:r w:rsidRPr="00AC77DF">
        <w:t>日函請該部營建署協助轉知各地方主管建築機關，針對非屬供公眾使用建築物之新建住宅，於核發使用執照時，於備註欄註記應設置及維護住警器之規範。</w:t>
      </w:r>
    </w:p>
    <w:p w:rsidR="003807A5" w:rsidRPr="00AC77DF" w:rsidRDefault="003807A5" w:rsidP="009E423F">
      <w:pPr>
        <w:pStyle w:val="1--1"/>
        <w:ind w:left="1080" w:hanging="600"/>
      </w:pPr>
      <w:r w:rsidRPr="00AC77DF">
        <w:t>（</w:t>
      </w:r>
      <w:r w:rsidRPr="00AC77DF">
        <w:t>2</w:t>
      </w:r>
      <w:r w:rsidRPr="00AC77DF">
        <w:t>）配合教育部加強辦理</w:t>
      </w:r>
      <w:r w:rsidRPr="00AC77DF">
        <w:t>106</w:t>
      </w:r>
      <w:r w:rsidRPr="00AC77DF">
        <w:t>年度校外賃居學生訪視及賃建物安全評核工作，該部消防署於</w:t>
      </w:r>
      <w:r w:rsidRPr="00AC77DF">
        <w:t>106</w:t>
      </w:r>
      <w:r w:rsidRPr="00AC77DF">
        <w:t>年</w:t>
      </w:r>
      <w:r w:rsidRPr="00AC77DF">
        <w:t>2</w:t>
      </w:r>
      <w:r w:rsidRPr="00AC77DF">
        <w:t>月</w:t>
      </w:r>
      <w:r w:rsidRPr="00AC77DF">
        <w:t>17</w:t>
      </w:r>
      <w:r w:rsidRPr="00AC77DF">
        <w:t>日函請各直轄市、縣（市）消防局修正以賃居處所</w:t>
      </w:r>
      <w:r w:rsidRPr="00AC77DF">
        <w:t>10</w:t>
      </w:r>
      <w:r w:rsidRPr="00AC77DF">
        <w:t>床（含）以上為目標，且各校持續追蹤管制</w:t>
      </w:r>
      <w:r w:rsidRPr="00AC77DF">
        <w:t>105</w:t>
      </w:r>
      <w:r w:rsidRPr="00AC77DF">
        <w:t>年安全評核</w:t>
      </w:r>
      <w:r w:rsidRPr="00AC77DF">
        <w:t>1</w:t>
      </w:r>
      <w:r w:rsidRPr="00AC77DF">
        <w:t>床（含）以上未評核及待改善且仍有賃居學生之建物實施複查，該部消防署每年度均會配合教育部持續針對學生賃居住所，實施消防安全檢查。</w:t>
      </w:r>
    </w:p>
    <w:p w:rsidR="003807A5" w:rsidRPr="00AC77DF" w:rsidRDefault="003807A5" w:rsidP="009E423F">
      <w:pPr>
        <w:pStyle w:val="1--1"/>
        <w:ind w:left="1080" w:hanging="600"/>
      </w:pPr>
      <w:r w:rsidRPr="00AC77DF">
        <w:t>（</w:t>
      </w:r>
      <w:r w:rsidRPr="00AC77DF">
        <w:t>3</w:t>
      </w:r>
      <w:r w:rsidRPr="00AC77DF">
        <w:t>）針對既有建築物部分，研提「推廣住宅用火災警報器執行計畫</w:t>
      </w:r>
      <w:r w:rsidRPr="00AC77DF">
        <w:t>2.0</w:t>
      </w:r>
      <w:r w:rsidRPr="00AC77DF">
        <w:t>（草案</w:t>
      </w:r>
      <w:r w:rsidRPr="009E423F">
        <w:rPr>
          <w:spacing w:val="-30"/>
        </w:rPr>
        <w:t>）」</w:t>
      </w:r>
      <w:r w:rsidRPr="00AC77DF">
        <w:t>，以</w:t>
      </w:r>
      <w:r w:rsidRPr="00AC77DF">
        <w:t>5</w:t>
      </w:r>
      <w:r w:rsidRPr="00AC77DF">
        <w:t>年內達設置火警自動警報設備或住警器</w:t>
      </w:r>
      <w:r w:rsidRPr="009E423F">
        <w:rPr>
          <w:spacing w:val="-12"/>
        </w:rPr>
        <w:t>達</w:t>
      </w:r>
      <w:r w:rsidRPr="00AC77DF">
        <w:t>100</w:t>
      </w:r>
      <w:r w:rsidR="00F9266D">
        <w:t>%</w:t>
      </w:r>
      <w:r w:rsidRPr="00AC77DF">
        <w:t>為期程目標，將邀集各相關單位開會研商後函頒實施。</w:t>
      </w:r>
    </w:p>
    <w:p w:rsidR="003807A5" w:rsidRPr="00AC77DF" w:rsidRDefault="003807A5" w:rsidP="009E423F">
      <w:pPr>
        <w:pStyle w:val="1--1"/>
        <w:ind w:left="1080" w:hanging="600"/>
      </w:pPr>
      <w:r w:rsidRPr="00AC77DF">
        <w:t>（</w:t>
      </w:r>
      <w:r w:rsidRPr="00AC77DF">
        <w:t>4</w:t>
      </w:r>
      <w:r w:rsidRPr="00AC77DF">
        <w:t>）研議新建住宅（不分是否供公眾使用）均應依消防法第</w:t>
      </w:r>
      <w:r w:rsidRPr="00AC77DF">
        <w:t>10</w:t>
      </w:r>
      <w:r w:rsidRPr="00AC77DF">
        <w:t>條第</w:t>
      </w:r>
      <w:r w:rsidRPr="00AC77DF">
        <w:t>1</w:t>
      </w:r>
      <w:r w:rsidRPr="00AC77DF">
        <w:t>項規定實施消防安全設備圖說審查及竣工查驗事宜，並邀集該部營建署、各直轄市、縣（市）政府研商核發消防法第</w:t>
      </w:r>
      <w:r w:rsidRPr="00AC77DF">
        <w:t>6</w:t>
      </w:r>
      <w:r w:rsidRPr="00AC77DF">
        <w:t>條第</w:t>
      </w:r>
      <w:r w:rsidRPr="00AC77DF">
        <w:t>5</w:t>
      </w:r>
      <w:r w:rsidRPr="00AC77DF">
        <w:t>項規定之場所（不</w:t>
      </w:r>
      <w:r w:rsidRPr="00AC77DF">
        <w:lastRenderedPageBreak/>
        <w:t>屬於各類場所消防安全設備設置標準應設置火警自動警報設備住宅場所）建築物使用執照時，須經消防機關會勘是否裝設住警器，始得發照，從新建、增建及改建住戶源頭管制。</w:t>
      </w:r>
    </w:p>
    <w:p w:rsidR="003807A5" w:rsidRPr="00AC77DF" w:rsidRDefault="009F64BA" w:rsidP="009F64BA">
      <w:pPr>
        <w:pStyle w:val="afff1"/>
        <w:spacing w:before="360" w:after="360"/>
      </w:pPr>
      <w:r>
        <w:rPr>
          <w:rFonts w:hint="eastAsia"/>
        </w:rPr>
        <w:t>(四)</w:t>
      </w:r>
      <w:r w:rsidR="003807A5" w:rsidRPr="00AC77DF">
        <w:t>案件進展</w:t>
      </w:r>
    </w:p>
    <w:p w:rsidR="003807A5" w:rsidRDefault="003807A5" w:rsidP="002B4E20">
      <w:pPr>
        <w:pStyle w:val="1---"/>
        <w:ind w:firstLine="480"/>
        <w:rPr>
          <w:lang w:eastAsia="zh-TW"/>
        </w:rPr>
      </w:pPr>
      <w:r w:rsidRPr="00AC77DF">
        <w:t>本案監察院仍列管追蹤，並函請內政部持續督促直轄市、縣（市）政府積極改善。</w:t>
      </w:r>
    </w:p>
    <w:p w:rsidR="009E423F" w:rsidRDefault="009E423F" w:rsidP="002B4E20">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4531"/>
      </w:tblGrid>
      <w:tr w:rsidR="009E423F" w:rsidTr="00931F25">
        <w:tc>
          <w:tcPr>
            <w:tcW w:w="4531" w:type="dxa"/>
            <w:shd w:val="clear" w:color="auto" w:fill="D9D9D9" w:themeFill="background1" w:themeFillShade="D9"/>
          </w:tcPr>
          <w:p w:rsidR="009E423F" w:rsidRDefault="009E423F" w:rsidP="00931F25">
            <w:pPr>
              <w:pStyle w:val="11-"/>
              <w:spacing w:before="72" w:after="108"/>
              <w:rPr>
                <w:lang w:eastAsia="zh-TW"/>
              </w:rPr>
            </w:pPr>
            <w:bookmarkStart w:id="88" w:name="_Toc535228331"/>
            <w:bookmarkStart w:id="89" w:name="_Toc4058741"/>
            <w:r w:rsidRPr="00AC77DF">
              <w:rPr>
                <w:lang w:eastAsia="zh-HK"/>
              </w:rPr>
              <w:t>大客車</w:t>
            </w:r>
            <w:r w:rsidRPr="00AC77DF">
              <w:t>安檢管理及災害應變機制</w:t>
            </w:r>
            <w:bookmarkEnd w:id="88"/>
            <w:bookmarkEnd w:id="89"/>
          </w:p>
        </w:tc>
      </w:tr>
    </w:tbl>
    <w:p w:rsidR="003807A5" w:rsidRPr="00AC77DF" w:rsidRDefault="00931F25" w:rsidP="007F2D63">
      <w:pPr>
        <w:pStyle w:val="afff1"/>
        <w:spacing w:beforeLines="150" w:before="540" w:after="360"/>
      </w:pPr>
      <w:r>
        <w:rPr>
          <w:rFonts w:hint="eastAsia"/>
        </w:rPr>
        <w:t>(一)</w:t>
      </w:r>
      <w:r w:rsidR="003807A5" w:rsidRPr="00AC77DF">
        <w:t>案情簡述</w:t>
      </w:r>
    </w:p>
    <w:p w:rsidR="003807A5" w:rsidRDefault="003807A5" w:rsidP="002B4E20">
      <w:pPr>
        <w:pStyle w:val="1---"/>
        <w:ind w:firstLine="480"/>
        <w:rPr>
          <w:lang w:eastAsia="zh-TW"/>
        </w:rPr>
      </w:pPr>
      <w:r w:rsidRPr="00AC77DF">
        <w:t>據悉，</w:t>
      </w:r>
      <w:r w:rsidRPr="00AC77DF">
        <w:t>105</w:t>
      </w:r>
      <w:r w:rsidRPr="00AC77DF">
        <w:t>年</w:t>
      </w:r>
      <w:r w:rsidRPr="00AC77DF">
        <w:t>7</w:t>
      </w:r>
      <w:r w:rsidRPr="00AC77DF">
        <w:t>月</w:t>
      </w:r>
      <w:r w:rsidRPr="00AC77DF">
        <w:t>19</w:t>
      </w:r>
      <w:r w:rsidRPr="00AC77DF">
        <w:t>日中午</w:t>
      </w:r>
      <w:r w:rsidRPr="00AC77DF">
        <w:t>12</w:t>
      </w:r>
      <w:r w:rsidRPr="00AC77DF">
        <w:t>時</w:t>
      </w:r>
      <w:r w:rsidRPr="00AC77DF">
        <w:t>57</w:t>
      </w:r>
      <w:r w:rsidRPr="00AC77DF">
        <w:t>分國道</w:t>
      </w:r>
      <w:r w:rsidRPr="00AC77DF">
        <w:t>2</w:t>
      </w:r>
      <w:r w:rsidRPr="00AC77DF">
        <w:t>號往桃園機場方向，一輛行駛中遊覽車，疑似失控撞上護欄，車頭起火燃燒，安全門亦未開啟，致車上</w:t>
      </w:r>
      <w:r w:rsidRPr="00AC77DF">
        <w:t>26</w:t>
      </w:r>
      <w:r w:rsidRPr="00AC77DF">
        <w:t>人全數罹難。發生意外之遊覽車屬玫瑰石通運有限公司所有，據監理服務網資料指出，該遊覽車車齡</w:t>
      </w:r>
      <w:r w:rsidRPr="00AC77DF">
        <w:t>6</w:t>
      </w:r>
      <w:r w:rsidRPr="00AC77DF">
        <w:t>年，有</w:t>
      </w:r>
      <w:r w:rsidRPr="00AC77DF">
        <w:t>5</w:t>
      </w:r>
      <w:r w:rsidRPr="00AC77DF">
        <w:t>次違規，蘇姓駕駛</w:t>
      </w:r>
      <w:r w:rsidRPr="00AC77DF">
        <w:t>104</w:t>
      </w:r>
      <w:r w:rsidRPr="00AC77DF">
        <w:t>年</w:t>
      </w:r>
      <w:r w:rsidRPr="00AC77DF">
        <w:t>10</w:t>
      </w:r>
      <w:r w:rsidRPr="00AC77DF">
        <w:t>月才取得大客車駕駛執照，並有</w:t>
      </w:r>
      <w:r w:rsidRPr="00AC77DF">
        <w:t>2</w:t>
      </w:r>
      <w:r w:rsidRPr="00AC77DF">
        <w:t>次違規紀錄。相關肇事原因、安全檢查規範與管理及災害應變機制是否完備與落實，均有深入瞭解之必要，爰經監察委員立案調查。</w:t>
      </w:r>
    </w:p>
    <w:p w:rsidR="002C05F7" w:rsidRPr="00AC77DF" w:rsidRDefault="002C05F7" w:rsidP="002B4E20">
      <w:pPr>
        <w:pStyle w:val="1---"/>
        <w:ind w:firstLine="480"/>
        <w:rPr>
          <w:b/>
          <w:lang w:eastAsia="zh-TW"/>
        </w:rPr>
      </w:pPr>
    </w:p>
    <w:p w:rsidR="003807A5" w:rsidRPr="00AC77DF" w:rsidRDefault="003E09B0" w:rsidP="00742F51">
      <w:pPr>
        <w:pStyle w:val="afff1"/>
        <w:spacing w:before="360" w:after="360"/>
      </w:pPr>
      <w:r>
        <w:rPr>
          <w:rFonts w:hint="eastAsia"/>
        </w:rPr>
        <w:lastRenderedPageBreak/>
        <w:t>(二)</w:t>
      </w:r>
      <w:r w:rsidR="003807A5" w:rsidRPr="00AC77DF">
        <w:t>監察院調查發現與建議</w:t>
      </w:r>
    </w:p>
    <w:p w:rsidR="003807A5" w:rsidRPr="00AC77DF" w:rsidRDefault="00682251" w:rsidP="00D92DAE">
      <w:pPr>
        <w:pStyle w:val="1--13"/>
        <w:spacing w:before="180" w:after="180"/>
      </w:pPr>
      <w:r w:rsidRPr="008E1832">
        <w:rPr>
          <w:rFonts w:hint="eastAsia"/>
        </w:rPr>
        <w:t>˙</w:t>
      </w:r>
      <w:r w:rsidR="003807A5" w:rsidRPr="00AC77DF">
        <w:t>未能遏阻業者修改原車設備裝置</w:t>
      </w:r>
    </w:p>
    <w:p w:rsidR="003807A5" w:rsidRPr="00AC77DF" w:rsidRDefault="003807A5" w:rsidP="002B4E20">
      <w:pPr>
        <w:pStyle w:val="1---"/>
        <w:ind w:firstLine="480"/>
        <w:rPr>
          <w:lang w:eastAsia="zh-TW"/>
        </w:rPr>
      </w:pPr>
      <w:r w:rsidRPr="00AC77DF">
        <w:t>交通部核准之安審（</w:t>
      </w:r>
      <w:r w:rsidRPr="00AC77DF">
        <w:t>98</w:t>
      </w:r>
      <w:r w:rsidRPr="00AC77DF">
        <w:t>）第</w:t>
      </w:r>
      <w:r w:rsidRPr="00AC77DF">
        <w:t>1620</w:t>
      </w:r>
      <w:r w:rsidRPr="00AC77DF">
        <w:t>號車型大客車，其檢測報告判定緊急出口符合法規，得於車輛靜止時由車內及車外徒手開啟，然</w:t>
      </w:r>
      <w:r w:rsidRPr="00AC77DF">
        <w:t>0719</w:t>
      </w:r>
      <w:r w:rsidRPr="00AC77DF">
        <w:t>陸客團火燒車事故發生時卻因遊覽車左側安全門掛有鐵鍊並未即時開啟，其相同型式</w:t>
      </w:r>
      <w:r w:rsidRPr="00AC77DF">
        <w:t>20</w:t>
      </w:r>
      <w:r w:rsidRPr="00AC77DF">
        <w:t>部車輛經查核亦逾八成於安全門裝置暗鎖，迄至召回臨時檢驗始移除或剪除。交通部事故發生後加強稽檢攔查仍有高達</w:t>
      </w:r>
      <w:r w:rsidRPr="00AC77DF">
        <w:t>42</w:t>
      </w:r>
      <w:r w:rsidRPr="00AC77DF">
        <w:t>部遊覽車安全門無法徒手開啟或加裝暗鎖鐵鍊，顯見業者違法變更施作，行之有年，嚴重威脅乘客逃生機會。</w:t>
      </w:r>
    </w:p>
    <w:p w:rsidR="003807A5" w:rsidRPr="00AC77DF" w:rsidRDefault="003807A5" w:rsidP="002B4E20">
      <w:pPr>
        <w:pStyle w:val="1---"/>
        <w:ind w:firstLine="480"/>
        <w:rPr>
          <w:b/>
        </w:rPr>
      </w:pPr>
      <w:r w:rsidRPr="00AC77DF">
        <w:t>交通部漠視國內遊覽車業者為增設原廠設計所無之相關配備，擅自變更底盤電路系統，致未符原廠底盤車電系配備規格等情事，迄未訂定相關查驗機制或配套措施，影響公共運輸安全。另交通部新核定之大客車電氣設備審驗補充作業規定並未包含使用中之舊車型大客車，恐難避免使用中之遊覽車車輛電路系統因加裝配備施工不良或過度負荷引發火災之可能性，造成人民生命財產之嚴重危害。</w:t>
      </w:r>
    </w:p>
    <w:p w:rsidR="003807A5" w:rsidRPr="00AC77DF" w:rsidRDefault="00682251" w:rsidP="00D92DAE">
      <w:pPr>
        <w:pStyle w:val="1--13"/>
        <w:spacing w:before="180" w:after="180"/>
      </w:pPr>
      <w:r w:rsidRPr="008E1832">
        <w:rPr>
          <w:rFonts w:hint="eastAsia"/>
        </w:rPr>
        <w:t>˙</w:t>
      </w:r>
      <w:r w:rsidR="003807A5" w:rsidRPr="00AC77DF">
        <w:t>未一致確保大客車之安全品質</w:t>
      </w:r>
    </w:p>
    <w:p w:rsidR="003807A5" w:rsidRPr="00AC77DF" w:rsidRDefault="003807A5" w:rsidP="002B4E20">
      <w:pPr>
        <w:pStyle w:val="1---"/>
        <w:ind w:firstLine="480"/>
        <w:rPr>
          <w:b/>
        </w:rPr>
      </w:pPr>
      <w:r w:rsidRPr="00AC77DF">
        <w:t>交通部於核發車輛型式安全審驗合格證明書後，未善盡監督車身打造廠依法落實執行品質一致性管制計畫書，對於森勇公司就部分項目於車輛出廠前違法未依安審（</w:t>
      </w:r>
      <w:r w:rsidRPr="00AC77DF">
        <w:t>98</w:t>
      </w:r>
      <w:r w:rsidRPr="00AC77DF">
        <w:t>）字第</w:t>
      </w:r>
      <w:r w:rsidRPr="00AC77DF">
        <w:t>1620</w:t>
      </w:r>
      <w:r w:rsidRPr="00AC77DF">
        <w:t>號合格證明書所載內容進行車身打造未事先查核，以致</w:t>
      </w:r>
      <w:r w:rsidRPr="00AC77DF">
        <w:t>0719</w:t>
      </w:r>
      <w:r w:rsidRPr="00AC77DF">
        <w:t>陸客</w:t>
      </w:r>
      <w:r w:rsidRPr="00AC77DF">
        <w:lastRenderedPageBreak/>
        <w:t>團火燒車事故後，執行安審（</w:t>
      </w:r>
      <w:r w:rsidRPr="00AC77DF">
        <w:t>104</w:t>
      </w:r>
      <w:r w:rsidRPr="00AC77DF">
        <w:t>）字第</w:t>
      </w:r>
      <w:r w:rsidRPr="00AC77DF">
        <w:t>2542</w:t>
      </w:r>
      <w:r w:rsidRPr="00AC77DF">
        <w:t>號現場核驗始發現該公司有</w:t>
      </w:r>
      <w:r w:rsidRPr="00AC77DF">
        <w:t>6</w:t>
      </w:r>
      <w:r w:rsidRPr="00AC77DF">
        <w:t>項未依品質一致性管制計畫書所訂程序執行，無法確保大客車之安全品質具有一致性。</w:t>
      </w:r>
    </w:p>
    <w:p w:rsidR="003807A5" w:rsidRPr="00AC77DF" w:rsidRDefault="00682251" w:rsidP="00D92DAE">
      <w:pPr>
        <w:pStyle w:val="1--13"/>
        <w:spacing w:before="180" w:after="180"/>
      </w:pPr>
      <w:r w:rsidRPr="008E1832">
        <w:rPr>
          <w:rFonts w:hint="eastAsia"/>
        </w:rPr>
        <w:t>˙</w:t>
      </w:r>
      <w:r w:rsidR="003807A5" w:rsidRPr="00AC77DF">
        <w:t>落實安全檢查機制</w:t>
      </w:r>
    </w:p>
    <w:p w:rsidR="003807A5" w:rsidRPr="00AC77DF" w:rsidRDefault="003807A5" w:rsidP="002B4E20">
      <w:pPr>
        <w:pStyle w:val="1---"/>
        <w:ind w:firstLine="480"/>
        <w:rPr>
          <w:b/>
        </w:rPr>
      </w:pPr>
      <w:r w:rsidRPr="00AC77DF">
        <w:t>交通部應嚴格要求遊覽車客運業者及旅行業者共同執行遊覽車出發前之安全檢查機制，落實檢查紀錄表內各項內容，並確認緊急逃生設備可正常使用，以確保意外情況發生時，乘客保有適當逃生動線。另應研議大客車安全窗供乘客使用之便捷性，以利第一時間能掌握逃生時效，保障人身安全。</w:t>
      </w:r>
    </w:p>
    <w:p w:rsidR="003807A5" w:rsidRPr="00AC77DF" w:rsidRDefault="003807A5" w:rsidP="002B4E20">
      <w:pPr>
        <w:pStyle w:val="1---"/>
        <w:ind w:firstLine="480"/>
        <w:rPr>
          <w:b/>
        </w:rPr>
      </w:pPr>
      <w:r w:rsidRPr="00AC77DF">
        <w:t>交通部現行職業大客車駕駛人之體格檢查機制除無精神診斷項目外，欠缺道路交通管理處罰條例第</w:t>
      </w:r>
      <w:r w:rsidRPr="00AC77DF">
        <w:t>37</w:t>
      </w:r>
      <w:r w:rsidRPr="00AC77DF">
        <w:t>條所定計程車駕駛人符合相關刑法罪名判決確定者不得執業之規範，僅憑出車前由承租人等確認駕駛精神狀態之作為，難以保障乘客安全。</w:t>
      </w:r>
    </w:p>
    <w:p w:rsidR="003807A5" w:rsidRPr="00AC77DF" w:rsidRDefault="003807A5" w:rsidP="002B4E20">
      <w:pPr>
        <w:pStyle w:val="1---"/>
        <w:ind w:firstLine="480"/>
        <w:rPr>
          <w:b/>
        </w:rPr>
      </w:pPr>
      <w:r w:rsidRPr="00AC77DF">
        <w:t>依據本案調查意見</w:t>
      </w:r>
      <w:r w:rsidRPr="00AC77DF">
        <w:rPr>
          <w:rStyle w:val="aff2"/>
        </w:rPr>
        <w:footnoteReference w:id="49"/>
      </w:r>
      <w:r w:rsidRPr="00AC77DF">
        <w:t>，監察院糾正交通部，並函請該部確實檢討改進見復。</w:t>
      </w:r>
    </w:p>
    <w:p w:rsidR="003807A5" w:rsidRPr="00AC77DF" w:rsidRDefault="00742F51" w:rsidP="00C55320">
      <w:pPr>
        <w:pStyle w:val="afff1"/>
        <w:spacing w:before="360" w:after="360"/>
      </w:pPr>
      <w:r>
        <w:rPr>
          <w:rFonts w:hint="eastAsia"/>
        </w:rPr>
        <w:t>(三)</w:t>
      </w:r>
      <w:r w:rsidR="003807A5" w:rsidRPr="00AC77DF">
        <w:t xml:space="preserve">政府機關改善情形 </w:t>
      </w:r>
    </w:p>
    <w:p w:rsidR="003807A5" w:rsidRPr="00AC77DF" w:rsidRDefault="003807A5" w:rsidP="007373B4">
      <w:pPr>
        <w:pStyle w:val="1---"/>
        <w:ind w:leftChars="100" w:left="600" w:hangingChars="150" w:hanging="360"/>
        <w:rPr>
          <w:b/>
        </w:rPr>
      </w:pPr>
      <w:r w:rsidRPr="00AC77DF">
        <w:t>1</w:t>
      </w:r>
      <w:r w:rsidRPr="00AC77DF">
        <w:t>、公路總局於</w:t>
      </w:r>
      <w:r w:rsidRPr="00AC77DF">
        <w:t>105</w:t>
      </w:r>
      <w:r w:rsidRPr="00AC77DF">
        <w:t>年</w:t>
      </w:r>
      <w:r w:rsidRPr="00AC77DF">
        <w:t>11</w:t>
      </w:r>
      <w:r w:rsidRPr="00AC77DF">
        <w:t>月</w:t>
      </w:r>
      <w:r w:rsidRPr="00AC77DF">
        <w:t>25</w:t>
      </w:r>
      <w:r w:rsidRPr="00AC77DF">
        <w:t>日函訂大客車安全門夜停鎖定裝置實務車籍登記原則，經該局統計「</w:t>
      </w:r>
      <w:r w:rsidRPr="00AC77DF">
        <w:t>105</w:t>
      </w:r>
      <w:r w:rsidRPr="00AC77DF">
        <w:t>年</w:t>
      </w:r>
      <w:r w:rsidRPr="00AC77DF">
        <w:t>7</w:t>
      </w:r>
      <w:r w:rsidRPr="00AC77DF">
        <w:t>月</w:t>
      </w:r>
      <w:r w:rsidRPr="00AC77DF">
        <w:t>19</w:t>
      </w:r>
      <w:r w:rsidRPr="00AC77DF">
        <w:t>日至</w:t>
      </w:r>
      <w:r w:rsidRPr="00AC77DF">
        <w:t>106</w:t>
      </w:r>
      <w:r w:rsidRPr="00AC77DF">
        <w:t>年</w:t>
      </w:r>
      <w:r w:rsidRPr="00AC77DF">
        <w:t>3</w:t>
      </w:r>
      <w:r w:rsidRPr="00AC77DF">
        <w:t>月</w:t>
      </w:r>
      <w:r w:rsidRPr="00AC77DF">
        <w:t>31</w:t>
      </w:r>
      <w:r w:rsidRPr="00AC77DF">
        <w:t>日」及「</w:t>
      </w:r>
      <w:r w:rsidRPr="00AC77DF">
        <w:t>106</w:t>
      </w:r>
      <w:r w:rsidRPr="00AC77DF">
        <w:t>年</w:t>
      </w:r>
      <w:r w:rsidRPr="00AC77DF">
        <w:t>4</w:t>
      </w:r>
      <w:r w:rsidRPr="00AC77DF">
        <w:t>月</w:t>
      </w:r>
      <w:r w:rsidRPr="00AC77DF">
        <w:t>1</w:t>
      </w:r>
      <w:r w:rsidRPr="00AC77DF">
        <w:t>日至</w:t>
      </w:r>
      <w:r w:rsidRPr="00AC77DF">
        <w:t>12</w:t>
      </w:r>
      <w:r w:rsidRPr="00AC77DF">
        <w:t>月</w:t>
      </w:r>
      <w:r w:rsidRPr="00AC77DF">
        <w:t>31</w:t>
      </w:r>
      <w:r w:rsidRPr="00AC77DF">
        <w:t>日」查獲遊覽車安全門違規情形，安全門違規總數由</w:t>
      </w:r>
      <w:r w:rsidRPr="00AC77DF">
        <w:t>60</w:t>
      </w:r>
      <w:r w:rsidRPr="00AC77DF">
        <w:t>件</w:t>
      </w:r>
      <w:r w:rsidRPr="00AC77DF">
        <w:lastRenderedPageBreak/>
        <w:t>下降至</w:t>
      </w:r>
      <w:r w:rsidRPr="00AC77DF">
        <w:t>16</w:t>
      </w:r>
      <w:r w:rsidRPr="00AC77DF">
        <w:t>件。</w:t>
      </w:r>
    </w:p>
    <w:p w:rsidR="003807A5" w:rsidRPr="00AC77DF" w:rsidRDefault="003807A5" w:rsidP="007373B4">
      <w:pPr>
        <w:pStyle w:val="1---"/>
        <w:ind w:leftChars="100" w:left="600" w:hangingChars="150" w:hanging="360"/>
        <w:rPr>
          <w:b/>
        </w:rPr>
      </w:pPr>
      <w:r w:rsidRPr="00AC77DF">
        <w:t>2</w:t>
      </w:r>
      <w:r w:rsidRPr="00AC77DF">
        <w:t>、交通部於</w:t>
      </w:r>
      <w:r w:rsidRPr="00AC77DF">
        <w:t>103</w:t>
      </w:r>
      <w:r w:rsidRPr="00AC77DF">
        <w:t>年</w:t>
      </w:r>
      <w:r w:rsidRPr="00AC77DF">
        <w:t>6</w:t>
      </w:r>
      <w:r w:rsidRPr="00AC77DF">
        <w:t>月</w:t>
      </w:r>
      <w:r w:rsidRPr="00AC77DF">
        <w:t>9</w:t>
      </w:r>
      <w:r w:rsidRPr="00AC77DF">
        <w:t>日公告施行「加強車輛型式安全審驗之品質一致性核驗管理措施」規定，每</w:t>
      </w:r>
      <w:r w:rsidRPr="00AC77DF">
        <w:t>3</w:t>
      </w:r>
      <w:r w:rsidRPr="00AC77DF">
        <w:t>年執行</w:t>
      </w:r>
      <w:r w:rsidRPr="00AC77DF">
        <w:t>1</w:t>
      </w:r>
      <w:r w:rsidRPr="00AC77DF">
        <w:t>次現場核驗，並將視核驗結果調整現場核驗次數；另該部於</w:t>
      </w:r>
      <w:r w:rsidRPr="00AC77DF">
        <w:t>106</w:t>
      </w:r>
      <w:r w:rsidRPr="00AC77DF">
        <w:t>年</w:t>
      </w:r>
      <w:r w:rsidRPr="00AC77DF">
        <w:t>11</w:t>
      </w:r>
      <w:r w:rsidRPr="00AC77DF">
        <w:t>月起將大客車實車比對查檢表檢查項目由</w:t>
      </w:r>
      <w:r w:rsidRPr="00AC77DF">
        <w:t>20</w:t>
      </w:r>
      <w:r w:rsidRPr="00AC77DF">
        <w:t>項增加為</w:t>
      </w:r>
      <w:r w:rsidRPr="00AC77DF">
        <w:t>23</w:t>
      </w:r>
      <w:r w:rsidRPr="00AC77DF">
        <w:t>項，加強查檢常見不符合項目，並增列大客車應符合法規之檢查項目，以藉此調整提升大客車安全管理強度。</w:t>
      </w:r>
    </w:p>
    <w:p w:rsidR="003807A5" w:rsidRPr="00AC77DF" w:rsidRDefault="003807A5" w:rsidP="007373B4">
      <w:pPr>
        <w:pStyle w:val="1---"/>
        <w:ind w:leftChars="100" w:left="600" w:hangingChars="150" w:hanging="360"/>
      </w:pPr>
      <w:r w:rsidRPr="00AC77DF">
        <w:t>3</w:t>
      </w:r>
      <w:r w:rsidRPr="00AC77DF">
        <w:t>、交通部於</w:t>
      </w:r>
      <w:r w:rsidRPr="00AC77DF">
        <w:t>106</w:t>
      </w:r>
      <w:r w:rsidRPr="00AC77DF">
        <w:t>年</w:t>
      </w:r>
      <w:r w:rsidRPr="00AC77DF">
        <w:t>8</w:t>
      </w:r>
      <w:r w:rsidRPr="00AC77DF">
        <w:t>月</w:t>
      </w:r>
      <w:r w:rsidRPr="00AC77DF">
        <w:t>30</w:t>
      </w:r>
      <w:r w:rsidRPr="00AC77DF">
        <w:t>日修正發布道路交通安全規則第</w:t>
      </w:r>
      <w:r w:rsidRPr="00AC77DF">
        <w:t>39</w:t>
      </w:r>
      <w:r w:rsidRPr="00AC77DF">
        <w:t>條及第</w:t>
      </w:r>
      <w:r w:rsidRPr="00AC77DF">
        <w:t>39</w:t>
      </w:r>
      <w:r w:rsidRPr="00AC77DF">
        <w:t>條之</w:t>
      </w:r>
      <w:r w:rsidRPr="00AC77DF">
        <w:t>1</w:t>
      </w:r>
      <w:r w:rsidRPr="00AC77DF">
        <w:t>規定，新車申請牌照檢驗自</w:t>
      </w:r>
      <w:r w:rsidRPr="00AC77DF">
        <w:t>108</w:t>
      </w:r>
      <w:r w:rsidRPr="00AC77DF">
        <w:t>年</w:t>
      </w:r>
      <w:r w:rsidRPr="00AC77DF">
        <w:t>1</w:t>
      </w:r>
      <w:r w:rsidRPr="00AC77DF">
        <w:t>月</w:t>
      </w:r>
      <w:r w:rsidRPr="00AC77DF">
        <w:t>1</w:t>
      </w:r>
      <w:r w:rsidRPr="00AC77DF">
        <w:t>日起，大客車電氣設備數量及位置應與安全審驗合格證明書紀錄相符。另使用中車輛定期檢驗部分，依前開規則第</w:t>
      </w:r>
      <w:r w:rsidRPr="00AC77DF">
        <w:t>39</w:t>
      </w:r>
      <w:r w:rsidRPr="00AC77DF">
        <w:t>條之</w:t>
      </w:r>
      <w:r w:rsidRPr="00AC77DF">
        <w:t>1</w:t>
      </w:r>
      <w:r w:rsidRPr="00AC77DF">
        <w:t>規定，自</w:t>
      </w:r>
      <w:r w:rsidRPr="00AC77DF">
        <w:t>108</w:t>
      </w:r>
      <w:r w:rsidRPr="00AC77DF">
        <w:t>年</w:t>
      </w:r>
      <w:r w:rsidRPr="00AC77DF">
        <w:t>1</w:t>
      </w:r>
      <w:r w:rsidRPr="00AC77DF">
        <w:t>月</w:t>
      </w:r>
      <w:r w:rsidRPr="00AC77DF">
        <w:t>1</w:t>
      </w:r>
      <w:r w:rsidRPr="00AC77DF">
        <w:t>日起，大客車電氣設備數量應與紀錄相符。</w:t>
      </w:r>
    </w:p>
    <w:p w:rsidR="003807A5" w:rsidRPr="00AC77DF" w:rsidRDefault="003807A5" w:rsidP="007373B4">
      <w:pPr>
        <w:pStyle w:val="1---"/>
        <w:ind w:leftChars="100" w:left="600" w:hangingChars="150" w:hanging="360"/>
        <w:rPr>
          <w:b/>
        </w:rPr>
      </w:pPr>
      <w:r w:rsidRPr="00AC77DF">
        <w:t>4</w:t>
      </w:r>
      <w:r w:rsidRPr="00AC77DF">
        <w:t>、交通部觀光局要求旅行業、隨團服務及導遊人員應於遊覽車出發前實施遊覽車逃生安全解說及示範。交通部明定各型式之甲、乙類大客車新車自</w:t>
      </w:r>
      <w:r w:rsidRPr="00AC77DF">
        <w:t>106</w:t>
      </w:r>
      <w:r w:rsidRPr="00AC77DF">
        <w:t>年</w:t>
      </w:r>
      <w:r w:rsidRPr="00AC77DF">
        <w:t>1</w:t>
      </w:r>
      <w:r w:rsidRPr="00AC77DF">
        <w:t>月</w:t>
      </w:r>
      <w:r w:rsidRPr="00AC77DF">
        <w:t>1</w:t>
      </w:r>
      <w:r w:rsidRPr="00AC77DF">
        <w:t>日起，均應設置活動式安全窗或車內可開啟之玻璃式安全窗，以供乘客逃生。</w:t>
      </w:r>
    </w:p>
    <w:p w:rsidR="003807A5" w:rsidRPr="00AC77DF" w:rsidRDefault="003807A5" w:rsidP="007373B4">
      <w:pPr>
        <w:pStyle w:val="1---"/>
        <w:ind w:leftChars="100" w:left="600" w:hangingChars="150" w:hanging="360"/>
        <w:rPr>
          <w:b/>
        </w:rPr>
      </w:pPr>
      <w:r w:rsidRPr="00AC77DF">
        <w:t>5</w:t>
      </w:r>
      <w:r w:rsidRPr="00AC77DF">
        <w:t>、公路總局業邀集相關醫學會就影響駕車之精神疾病種類及體檢，實施精神診斷可行性進行研議。</w:t>
      </w:r>
    </w:p>
    <w:p w:rsidR="003807A5" w:rsidRPr="00AC77DF" w:rsidRDefault="00742F51" w:rsidP="002C05F7">
      <w:pPr>
        <w:pStyle w:val="afff1"/>
        <w:spacing w:beforeLines="90" w:before="324" w:afterLines="90" w:after="324"/>
      </w:pPr>
      <w:r>
        <w:rPr>
          <w:rFonts w:hint="eastAsia"/>
        </w:rPr>
        <w:t>(四)</w:t>
      </w:r>
      <w:r w:rsidR="003807A5" w:rsidRPr="00AC77DF">
        <w:t>案件進展</w:t>
      </w:r>
    </w:p>
    <w:p w:rsidR="003807A5" w:rsidRPr="002C05F7" w:rsidRDefault="003807A5" w:rsidP="002C05F7">
      <w:pPr>
        <w:pStyle w:val="1---"/>
        <w:ind w:firstLine="464"/>
        <w:jc w:val="distribute"/>
        <w:rPr>
          <w:spacing w:val="-4"/>
          <w:lang w:eastAsia="zh-TW"/>
        </w:rPr>
      </w:pPr>
      <w:r w:rsidRPr="002C05F7">
        <w:rPr>
          <w:spacing w:val="-4"/>
        </w:rPr>
        <w:t>本案</w:t>
      </w:r>
      <w:r w:rsidR="007E5B72" w:rsidRPr="002C05F7">
        <w:rPr>
          <w:rFonts w:hint="eastAsia"/>
          <w:spacing w:val="-4"/>
        </w:rPr>
        <w:t>經行政院督促交通部檢討改進，尚屬妥適，爰已結案</w:t>
      </w:r>
      <w:r w:rsidRPr="002C05F7">
        <w:rPr>
          <w:spacing w:val="-4"/>
        </w:rPr>
        <w:t>。</w:t>
      </w:r>
    </w:p>
    <w:tbl>
      <w:tblPr>
        <w:tblStyle w:val="aff5"/>
        <w:tblW w:w="0" w:type="auto"/>
        <w:tblInd w:w="113" w:type="dxa"/>
        <w:shd w:val="clear" w:color="auto" w:fill="D9D9D9" w:themeFill="background1" w:themeFillShade="D9"/>
        <w:tblLook w:val="04A0" w:firstRow="1" w:lastRow="0" w:firstColumn="1" w:lastColumn="0" w:noHBand="0" w:noVBand="1"/>
      </w:tblPr>
      <w:tblGrid>
        <w:gridCol w:w="2688"/>
      </w:tblGrid>
      <w:tr w:rsidR="00742F51" w:rsidTr="002C05F7">
        <w:tc>
          <w:tcPr>
            <w:tcW w:w="2688" w:type="dxa"/>
            <w:shd w:val="clear" w:color="auto" w:fill="D9D9D9" w:themeFill="background1" w:themeFillShade="D9"/>
          </w:tcPr>
          <w:p w:rsidR="00742F51" w:rsidRDefault="002C05F7" w:rsidP="002C05F7">
            <w:pPr>
              <w:pStyle w:val="11-"/>
              <w:spacing w:before="72" w:after="108"/>
              <w:rPr>
                <w:lang w:eastAsia="zh-TW"/>
              </w:rPr>
            </w:pPr>
            <w:bookmarkStart w:id="90" w:name="_Toc535228332"/>
            <w:bookmarkStart w:id="91" w:name="_Toc4058742"/>
            <w:r w:rsidRPr="00AC77DF">
              <w:lastRenderedPageBreak/>
              <w:t>遊覽車國道翻覆案</w:t>
            </w:r>
            <w:bookmarkEnd w:id="90"/>
            <w:bookmarkEnd w:id="91"/>
          </w:p>
        </w:tc>
      </w:tr>
    </w:tbl>
    <w:p w:rsidR="003807A5" w:rsidRPr="00AC77DF" w:rsidRDefault="00742F51" w:rsidP="00C55320">
      <w:pPr>
        <w:pStyle w:val="afff1"/>
        <w:spacing w:before="360" w:after="360"/>
      </w:pPr>
      <w:r>
        <w:rPr>
          <w:rFonts w:hint="eastAsia"/>
        </w:rPr>
        <w:t>(一)</w:t>
      </w:r>
      <w:r w:rsidR="003807A5" w:rsidRPr="00AC77DF">
        <w:t>案情簡述</w:t>
      </w:r>
    </w:p>
    <w:p w:rsidR="003807A5" w:rsidRPr="00AC77DF" w:rsidRDefault="003807A5" w:rsidP="002B4E20">
      <w:pPr>
        <w:pStyle w:val="1---"/>
        <w:ind w:firstLine="480"/>
        <w:rPr>
          <w:b/>
        </w:rPr>
      </w:pPr>
      <w:r w:rsidRPr="00AC77DF">
        <w:t>106</w:t>
      </w:r>
      <w:r w:rsidRPr="00AC77DF">
        <w:t>年</w:t>
      </w:r>
      <w:r w:rsidRPr="00AC77DF">
        <w:t>2</w:t>
      </w:r>
      <w:r w:rsidRPr="00AC77DF">
        <w:t>月</w:t>
      </w:r>
      <w:r w:rsidRPr="00AC77DF">
        <w:t>13</w:t>
      </w:r>
      <w:r w:rsidRPr="00AC77DF">
        <w:t>日晚間一輛載有蝶戀花旅行社旅客的遊覽車在國道高速公路</w:t>
      </w:r>
      <w:r w:rsidRPr="00AC77DF">
        <w:t>5</w:t>
      </w:r>
      <w:r w:rsidRPr="00AC77DF">
        <w:t>號接</w:t>
      </w:r>
      <w:r w:rsidRPr="00C13BF4">
        <w:t>3</w:t>
      </w:r>
      <w:r w:rsidRPr="00AC77DF">
        <w:t>號的匝道路段翻覆，死傷慘重。究相關主管機關對遊覽車業者之管理，駕駛有無超時工作，及行車安全管理等相關問題，有無違失？後續相關因應檢討改善對策為何？均有深入查究之必要，監察委員爰立案調查。</w:t>
      </w:r>
    </w:p>
    <w:p w:rsidR="003807A5" w:rsidRPr="00AC77DF" w:rsidRDefault="00742F51" w:rsidP="00C55320">
      <w:pPr>
        <w:pStyle w:val="afff1"/>
        <w:spacing w:before="360" w:after="360"/>
      </w:pPr>
      <w:r>
        <w:rPr>
          <w:rFonts w:hint="eastAsia"/>
        </w:rPr>
        <w:t>(二)</w:t>
      </w:r>
      <w:r w:rsidR="003807A5" w:rsidRPr="00AC77DF">
        <w:t>監察院調查發現與建議</w:t>
      </w:r>
    </w:p>
    <w:p w:rsidR="003807A5" w:rsidRPr="00AC77DF" w:rsidRDefault="00682251" w:rsidP="00D92DAE">
      <w:pPr>
        <w:pStyle w:val="1--13"/>
        <w:spacing w:before="180" w:after="180"/>
      </w:pPr>
      <w:r w:rsidRPr="008E1832">
        <w:rPr>
          <w:rFonts w:hint="eastAsia"/>
        </w:rPr>
        <w:t>˙</w:t>
      </w:r>
      <w:r w:rsidR="003807A5" w:rsidRPr="00AC77DF">
        <w:t>安全管理疏失</w:t>
      </w:r>
    </w:p>
    <w:p w:rsidR="003807A5" w:rsidRPr="00AC77DF" w:rsidRDefault="003807A5" w:rsidP="002B4E20">
      <w:pPr>
        <w:pStyle w:val="1---"/>
        <w:ind w:firstLine="480"/>
      </w:pPr>
      <w:r w:rsidRPr="00AC77DF">
        <w:t>近年來，遊覽車靠行情形普遍，且有增加之勢，與公路法等相關法令欲藉由公司經營型態管理運輸業者之規範意旨有違，並衍生諸多安全及管理問題，交通部長久以來未能提出具體有效之管理因應作為。</w:t>
      </w:r>
    </w:p>
    <w:p w:rsidR="003807A5" w:rsidRPr="00AC77DF" w:rsidRDefault="003807A5" w:rsidP="002B4E20">
      <w:pPr>
        <w:pStyle w:val="1---"/>
        <w:ind w:firstLine="480"/>
      </w:pPr>
      <w:r w:rsidRPr="00AC77DF">
        <w:t>公路總局對於遊覽車客運業雖有安全考核及評鑑機制，惟友力通運公司未依法對所屬車輛及駕駛人善盡管理職責，違失情形存在已久，且近期安全與服務品質評鑑結果不佳，公路總局未能預防機先，事故發生後始察覺問題而廢止其執照；又該局以往安全考核作業未採無預警方式辦理，考核作業流於形式，評鑑制度督導成效不彰。而交通部對於外界關注之遊覽車安全管理問題，亦未能發現疏漏，以促其改善。</w:t>
      </w:r>
    </w:p>
    <w:p w:rsidR="003807A5" w:rsidRPr="00AC77DF" w:rsidRDefault="00682251" w:rsidP="00D92DAE">
      <w:pPr>
        <w:pStyle w:val="1--13"/>
        <w:spacing w:before="180" w:after="180"/>
      </w:pPr>
      <w:r w:rsidRPr="008E1832">
        <w:rPr>
          <w:rFonts w:hint="eastAsia"/>
        </w:rPr>
        <w:lastRenderedPageBreak/>
        <w:t>˙</w:t>
      </w:r>
      <w:r w:rsidR="003807A5" w:rsidRPr="00AC77DF">
        <w:t>監督查核不力</w:t>
      </w:r>
    </w:p>
    <w:p w:rsidR="003807A5" w:rsidRPr="00AC77DF" w:rsidRDefault="003807A5" w:rsidP="002B4E20">
      <w:pPr>
        <w:pStyle w:val="1---"/>
        <w:ind w:firstLine="480"/>
      </w:pPr>
      <w:r w:rsidRPr="00AC77DF">
        <w:t>發展觀光條例及旅行業管理規則明定旅行業不得經營遊覽車業務，觀光局未依法嚴查，交通部疏於督導，使蝶戀花旅行社得以違法經營遊覽車業務長達</w:t>
      </w:r>
      <w:r w:rsidRPr="00AC77DF">
        <w:t>2</w:t>
      </w:r>
      <w:r w:rsidRPr="00AC77DF">
        <w:t>年之久，危及消費者生命財產安全。</w:t>
      </w:r>
    </w:p>
    <w:p w:rsidR="003807A5" w:rsidRPr="00AC77DF" w:rsidRDefault="003807A5" w:rsidP="002B4E20">
      <w:pPr>
        <w:pStyle w:val="1---"/>
        <w:ind w:firstLine="480"/>
      </w:pPr>
      <w:r w:rsidRPr="00AC77DF">
        <w:t>觀光局未積極督促旅行業妥適安排旅遊行程，疏於查核及處罰；公路總局遲至本案發生後，始採用科技化管理方式，輔助監控營業大客車業者調派駕駛勤務之執法，且交通部未確實督導考核上開機關之執法情形。</w:t>
      </w:r>
    </w:p>
    <w:p w:rsidR="003807A5" w:rsidRPr="00AC77DF" w:rsidRDefault="00682251" w:rsidP="00D92DAE">
      <w:pPr>
        <w:pStyle w:val="1--13"/>
        <w:spacing w:before="180" w:after="180"/>
      </w:pPr>
      <w:r w:rsidRPr="008E1832">
        <w:rPr>
          <w:rFonts w:hint="eastAsia"/>
        </w:rPr>
        <w:t>˙</w:t>
      </w:r>
      <w:r w:rsidR="003807A5" w:rsidRPr="00AC77DF">
        <w:t>行車安全問題</w:t>
      </w:r>
    </w:p>
    <w:p w:rsidR="003807A5" w:rsidRPr="00AC77DF" w:rsidRDefault="003807A5" w:rsidP="002B4E20">
      <w:pPr>
        <w:pStyle w:val="1---"/>
        <w:ind w:firstLine="480"/>
      </w:pPr>
      <w:r w:rsidRPr="00AC77DF">
        <w:t>鑑於國內甲類大客車遊覽車均為「底盤架裝車體」，車輛安全性向來備受質疑，尤以老舊車輛已為領照使用之完成車，無法採用車身結構強度檢測或電腦模擬整車翻覆分析其安全性</w:t>
      </w:r>
      <w:r w:rsidR="0024642A">
        <w:t>；</w:t>
      </w:r>
      <w:r w:rsidR="0024642A">
        <w:rPr>
          <w:rFonts w:hint="eastAsia"/>
        </w:rPr>
        <w:t>又</w:t>
      </w:r>
      <w:r w:rsidRPr="00AC77DF">
        <w:t>現行監理檢驗機制僅能查核車輛外觀及基本安全性，致使老舊車輛車身結構強度安全性問題已成為灰色地帶，恐影響乘客生命安全，交通部應檢討改善。</w:t>
      </w:r>
    </w:p>
    <w:p w:rsidR="003807A5" w:rsidRPr="00AC77DF" w:rsidRDefault="003807A5" w:rsidP="002B4E20">
      <w:pPr>
        <w:pStyle w:val="1---"/>
        <w:ind w:firstLine="480"/>
        <w:rPr>
          <w:lang w:eastAsia="zh-TW"/>
        </w:rPr>
      </w:pPr>
      <w:r w:rsidRPr="00AC77DF">
        <w:t>鑑於大客車行駛國道發生人員重大傷亡事件頻傳，交通部應從速檢討評估大客車行駛於高速公路或快速道路全車強制繫安全帶可行性，完備相關法制並妥為宣導。</w:t>
      </w:r>
    </w:p>
    <w:p w:rsidR="003807A5" w:rsidRPr="00AC77DF" w:rsidRDefault="00682251" w:rsidP="00D92DAE">
      <w:pPr>
        <w:pStyle w:val="1--13"/>
        <w:spacing w:before="180" w:after="180"/>
      </w:pPr>
      <w:r w:rsidRPr="008E1832">
        <w:rPr>
          <w:rFonts w:hint="eastAsia"/>
        </w:rPr>
        <w:t>˙</w:t>
      </w:r>
      <w:r w:rsidR="003807A5" w:rsidRPr="00AC77DF">
        <w:t>漠視勞工權益</w:t>
      </w:r>
    </w:p>
    <w:p w:rsidR="003807A5" w:rsidRPr="00AC77DF" w:rsidRDefault="003807A5" w:rsidP="002B4E20">
      <w:pPr>
        <w:pStyle w:val="1---"/>
        <w:ind w:firstLine="480"/>
      </w:pPr>
      <w:r w:rsidRPr="00AC77DF">
        <w:t>蝶戀花旅行社為掩飾以靠行方式違法經營遊覽車業務，而規避勞工保險強制規定，剝削勞工權益，勞動部未能督促所屬</w:t>
      </w:r>
      <w:r w:rsidRPr="00AC77DF">
        <w:lastRenderedPageBreak/>
        <w:t>勞保及勞檢機關找出問題，落實查核及處罰。</w:t>
      </w:r>
    </w:p>
    <w:p w:rsidR="003807A5" w:rsidRPr="00AC77DF" w:rsidRDefault="003807A5" w:rsidP="002B4E20">
      <w:pPr>
        <w:pStyle w:val="1---"/>
        <w:ind w:firstLine="480"/>
      </w:pPr>
      <w:r w:rsidRPr="00AC77DF">
        <w:t>避免遊覽車駕駛人疲勞駕駛，非僅個人勞動權益，亦攸關公共安全。勞動部至本案發生後，方針對遊覽車客運業之工作特性明定勞檢之輔助判斷標準。對於駕駛人勞動情形，勞動主管機關應審慎把關，尤其</w:t>
      </w:r>
      <w:r w:rsidRPr="0025002C">
        <w:rPr>
          <w:rFonts w:hint="eastAsia"/>
        </w:rPr>
        <w:t>勞動基準法（簡稱勞基法）</w:t>
      </w:r>
      <w:r w:rsidRPr="00AC77DF">
        <w:t>對於工作時間雖有限制，惟法制繁雜，且遊覽車客運業之工時計算在實務上存有諸多疑義。</w:t>
      </w:r>
    </w:p>
    <w:p w:rsidR="003807A5" w:rsidRPr="00AC77DF" w:rsidRDefault="003807A5" w:rsidP="002B4E20">
      <w:pPr>
        <w:pStyle w:val="1---"/>
        <w:ind w:firstLine="480"/>
        <w:rPr>
          <w:b/>
        </w:rPr>
      </w:pPr>
      <w:r w:rsidRPr="00AC77DF">
        <w:t>遊覽車駕駛人依法應受到交通及勞動兩部會之雙重保護，卻因相關機關缺乏分工合作及行政一體概念，業務協調整合功能不彰，導致旅行社未納入專案勞檢，旅行社與遊覽車公司均以靠行規避雇主責任，嚴重剝削駕駛人勞動權益，也衍生違法經營危及旅客生命安全、機關執法威信備受質疑等缺失，行政院應督促所屬確實檢討改善。</w:t>
      </w:r>
    </w:p>
    <w:p w:rsidR="003807A5" w:rsidRPr="00AC77DF" w:rsidRDefault="003807A5" w:rsidP="002C05F7">
      <w:pPr>
        <w:pStyle w:val="1---"/>
        <w:ind w:firstLine="480"/>
        <w:jc w:val="distribute"/>
        <w:rPr>
          <w:b/>
        </w:rPr>
      </w:pPr>
      <w:r w:rsidRPr="00AC77DF">
        <w:t>依據本案調查意見</w:t>
      </w:r>
      <w:r w:rsidRPr="00AC77DF">
        <w:rPr>
          <w:rStyle w:val="aff2"/>
        </w:rPr>
        <w:footnoteReference w:id="50"/>
      </w:r>
      <w:r w:rsidRPr="00AC77DF">
        <w:t>，監察院糾正交通部、該部公路總局及觀光局，勞動部；並函請行政院督促交通部確實檢討改進；</w:t>
      </w:r>
      <w:r w:rsidRPr="002C05F7">
        <w:rPr>
          <w:spacing w:val="-2"/>
        </w:rPr>
        <w:t>另函請行政院檢討交通部各項違失情節，並議處失職人員見復。</w:t>
      </w:r>
    </w:p>
    <w:p w:rsidR="003807A5" w:rsidRPr="00AC77DF" w:rsidRDefault="00742F51" w:rsidP="00C55320">
      <w:pPr>
        <w:pStyle w:val="afff1"/>
        <w:spacing w:before="360" w:after="360"/>
      </w:pPr>
      <w:r>
        <w:rPr>
          <w:rFonts w:hint="eastAsia"/>
        </w:rPr>
        <w:t>(三)</w:t>
      </w:r>
      <w:r w:rsidR="003807A5" w:rsidRPr="00AC77DF">
        <w:t>政府機關改善情形</w:t>
      </w:r>
    </w:p>
    <w:p w:rsidR="003807A5" w:rsidRDefault="003807A5" w:rsidP="007373B4">
      <w:pPr>
        <w:pStyle w:val="1---"/>
        <w:ind w:leftChars="100" w:left="600" w:hangingChars="150" w:hanging="360"/>
        <w:rPr>
          <w:lang w:eastAsia="zh-TW"/>
        </w:rPr>
      </w:pPr>
      <w:r w:rsidRPr="00AC77DF">
        <w:t>1</w:t>
      </w:r>
      <w:r w:rsidRPr="00AC77DF">
        <w:t>、公路總局由「公司管理</w:t>
      </w:r>
      <w:r w:rsidRPr="002C05F7">
        <w:rPr>
          <w:rFonts w:eastAsia="標楷體"/>
          <w:spacing w:val="-30"/>
        </w:rPr>
        <w:t>」</w:t>
      </w:r>
      <w:r w:rsidRPr="002C05F7">
        <w:rPr>
          <w:spacing w:val="-30"/>
        </w:rPr>
        <w:t>、</w:t>
      </w:r>
      <w:r w:rsidRPr="00AC77DF">
        <w:t>「駕駛人管理</w:t>
      </w:r>
      <w:r w:rsidRPr="002C05F7">
        <w:rPr>
          <w:rFonts w:eastAsia="標楷體"/>
          <w:spacing w:val="-30"/>
        </w:rPr>
        <w:t>」</w:t>
      </w:r>
      <w:r w:rsidRPr="002C05F7">
        <w:rPr>
          <w:spacing w:val="-30"/>
        </w:rPr>
        <w:t>、</w:t>
      </w:r>
      <w:r w:rsidRPr="00AC77DF">
        <w:t>「車輛管理</w:t>
      </w:r>
      <w:r w:rsidRPr="00AC77DF">
        <w:rPr>
          <w:rFonts w:eastAsia="標楷體"/>
        </w:rPr>
        <w:t>」</w:t>
      </w:r>
      <w:r w:rsidRPr="002C05F7">
        <w:rPr>
          <w:spacing w:val="-30"/>
        </w:rPr>
        <w:t>、</w:t>
      </w:r>
      <w:r w:rsidRPr="00AC77DF">
        <w:t>「監理作為</w:t>
      </w:r>
      <w:r w:rsidRPr="00AC77DF">
        <w:rPr>
          <w:rFonts w:eastAsia="標楷體"/>
        </w:rPr>
        <w:t>」</w:t>
      </w:r>
      <w:r w:rsidRPr="00AC77DF">
        <w:t>四個面向解決公司管理鬆散及監理執行漏洞衍生之靠行問題。</w:t>
      </w:r>
    </w:p>
    <w:p w:rsidR="00207EB8" w:rsidRPr="00AC77DF" w:rsidRDefault="00207EB8" w:rsidP="007373B4">
      <w:pPr>
        <w:pStyle w:val="1---"/>
        <w:ind w:leftChars="100" w:left="600" w:hangingChars="150" w:hanging="360"/>
        <w:rPr>
          <w:b/>
          <w:lang w:eastAsia="zh-TW"/>
        </w:rPr>
      </w:pPr>
    </w:p>
    <w:p w:rsidR="003807A5" w:rsidRPr="00AC77DF" w:rsidRDefault="003807A5" w:rsidP="007373B4">
      <w:pPr>
        <w:pStyle w:val="1---"/>
        <w:ind w:leftChars="100" w:left="600" w:hangingChars="150" w:hanging="360"/>
        <w:rPr>
          <w:b/>
        </w:rPr>
      </w:pPr>
      <w:r w:rsidRPr="00AC77DF">
        <w:lastRenderedPageBreak/>
        <w:t>2</w:t>
      </w:r>
      <w:r w:rsidRPr="00AC77DF">
        <w:t>、修正汽車運輸業管理規則第</w:t>
      </w:r>
      <w:r w:rsidRPr="00AC77DF">
        <w:t>19</w:t>
      </w:r>
      <w:r w:rsidRPr="00AC77DF">
        <w:t>條之</w:t>
      </w:r>
      <w:r w:rsidRPr="00AC77DF">
        <w:t>2</w:t>
      </w:r>
      <w:r w:rsidRPr="00AC77DF">
        <w:t>規定，明確駕駛時間與勞動法令工時關係。修正汽車運輸業管理規則第</w:t>
      </w:r>
      <w:r w:rsidRPr="00AC77DF">
        <w:t>19</w:t>
      </w:r>
      <w:r w:rsidRPr="00AC77DF">
        <w:t>條之</w:t>
      </w:r>
      <w:r w:rsidRPr="00AC77DF">
        <w:t>4</w:t>
      </w:r>
      <w:r w:rsidRPr="00AC77DF">
        <w:t>規定，自</w:t>
      </w:r>
      <w:r w:rsidRPr="00AC77DF">
        <w:t>106</w:t>
      </w:r>
      <w:r w:rsidRPr="00AC77DF">
        <w:t>年</w:t>
      </w:r>
      <w:r w:rsidRPr="00AC77DF">
        <w:t>9</w:t>
      </w:r>
      <w:r w:rsidRPr="00AC77DF">
        <w:t>月</w:t>
      </w:r>
      <w:r w:rsidRPr="00AC77DF">
        <w:t>1</w:t>
      </w:r>
      <w:r w:rsidRPr="00AC77DF">
        <w:t>日起，遊覽車客運業車輛應全面裝置具有</w:t>
      </w:r>
      <w:r w:rsidRPr="00AC77DF">
        <w:t>GPS</w:t>
      </w:r>
      <w:r w:rsidRPr="00AC77DF">
        <w:t>功能設備。</w:t>
      </w:r>
    </w:p>
    <w:p w:rsidR="003807A5" w:rsidRPr="00AC77DF" w:rsidRDefault="003807A5" w:rsidP="007373B4">
      <w:pPr>
        <w:pStyle w:val="1---"/>
        <w:ind w:leftChars="100" w:left="600" w:hangingChars="150" w:hanging="360"/>
        <w:rPr>
          <w:b/>
        </w:rPr>
      </w:pPr>
      <w:r w:rsidRPr="00AC77DF">
        <w:t>3</w:t>
      </w:r>
      <w:r w:rsidRPr="00AC77DF">
        <w:t>、修訂遊覽車客運業安全考核作業要點，採無預警方式分級分群加強查核密度及處置作業。</w:t>
      </w:r>
    </w:p>
    <w:p w:rsidR="003807A5" w:rsidRPr="00AC77DF" w:rsidRDefault="003807A5" w:rsidP="002C05F7">
      <w:pPr>
        <w:pStyle w:val="1---"/>
        <w:ind w:leftChars="100" w:left="600" w:hangingChars="150" w:hanging="360"/>
        <w:rPr>
          <w:b/>
        </w:rPr>
      </w:pPr>
      <w:r w:rsidRPr="00AC77DF">
        <w:t>4</w:t>
      </w:r>
      <w:r w:rsidRPr="002C05F7">
        <w:rPr>
          <w:rFonts w:eastAsia="標楷體"/>
          <w:spacing w:val="-16"/>
        </w:rPr>
        <w:t>、</w:t>
      </w:r>
      <w:r w:rsidRPr="002C05F7">
        <w:rPr>
          <w:spacing w:val="-4"/>
        </w:rPr>
        <w:t>修訂遊覽車客運業審議作業要點，管控業者增加營運車</w:t>
      </w:r>
      <w:r w:rsidR="002C05F7">
        <w:rPr>
          <w:rFonts w:hint="eastAsia"/>
          <w:spacing w:val="-4"/>
          <w:lang w:eastAsia="zh-TW"/>
        </w:rPr>
        <w:t xml:space="preserve">   </w:t>
      </w:r>
      <w:r w:rsidRPr="002C05F7">
        <w:rPr>
          <w:spacing w:val="-4"/>
        </w:rPr>
        <w:t>輛。</w:t>
      </w:r>
    </w:p>
    <w:p w:rsidR="003807A5" w:rsidRPr="00AC77DF" w:rsidRDefault="003807A5" w:rsidP="007373B4">
      <w:pPr>
        <w:pStyle w:val="1---"/>
        <w:ind w:leftChars="100" w:left="600" w:hangingChars="150" w:hanging="360"/>
        <w:rPr>
          <w:b/>
        </w:rPr>
      </w:pPr>
      <w:r w:rsidRPr="00AC77DF">
        <w:t>5</w:t>
      </w:r>
      <w:r w:rsidRPr="00AC77DF">
        <w:rPr>
          <w:rFonts w:eastAsia="標楷體"/>
        </w:rPr>
        <w:t>、</w:t>
      </w:r>
      <w:r w:rsidRPr="00AC77DF">
        <w:t>對於重大違規及高頻次違規紀錄駕駛人進行專案調訓。</w:t>
      </w:r>
    </w:p>
    <w:p w:rsidR="003807A5" w:rsidRPr="00AC77DF" w:rsidRDefault="003807A5" w:rsidP="007373B4">
      <w:pPr>
        <w:pStyle w:val="1---"/>
        <w:ind w:leftChars="100" w:left="600" w:hangingChars="150" w:hanging="360"/>
        <w:rPr>
          <w:b/>
        </w:rPr>
      </w:pPr>
      <w:r w:rsidRPr="00AC77DF">
        <w:t>6</w:t>
      </w:r>
      <w:r w:rsidRPr="00AC77DF">
        <w:rPr>
          <w:rFonts w:eastAsia="標楷體"/>
        </w:rPr>
        <w:t>、</w:t>
      </w:r>
      <w:r w:rsidRPr="00AC77DF">
        <w:t>訂定「常態性遊覽車客運業年度聯合稽查計畫」將靠行車主納入稽查對象。</w:t>
      </w:r>
    </w:p>
    <w:p w:rsidR="003807A5" w:rsidRPr="00AC77DF" w:rsidRDefault="003807A5" w:rsidP="007373B4">
      <w:pPr>
        <w:pStyle w:val="1---"/>
        <w:ind w:leftChars="100" w:left="600" w:hangingChars="150" w:hanging="360"/>
        <w:rPr>
          <w:b/>
        </w:rPr>
      </w:pPr>
      <w:r w:rsidRPr="00AC77DF">
        <w:t>7</w:t>
      </w:r>
      <w:r w:rsidRPr="00AC77DF">
        <w:rPr>
          <w:rFonts w:eastAsia="標楷體"/>
        </w:rPr>
        <w:t>、</w:t>
      </w:r>
      <w:r w:rsidRPr="00AC77DF">
        <w:t>交通部會同勞動部訂定「常態性遊覽車客運業年度聯合稽查計畫</w:t>
      </w:r>
      <w:r w:rsidRPr="002C05F7">
        <w:rPr>
          <w:spacing w:val="-20"/>
        </w:rPr>
        <w:t>」</w:t>
      </w:r>
      <w:r w:rsidRPr="00AC77DF">
        <w:t>。</w:t>
      </w:r>
    </w:p>
    <w:p w:rsidR="003807A5" w:rsidRPr="00AC77DF" w:rsidRDefault="003807A5" w:rsidP="007373B4">
      <w:pPr>
        <w:pStyle w:val="1---"/>
        <w:ind w:leftChars="100" w:left="600" w:hangingChars="150" w:hanging="360"/>
        <w:rPr>
          <w:b/>
        </w:rPr>
      </w:pPr>
      <w:r w:rsidRPr="00AC77DF">
        <w:rPr>
          <w:rFonts w:eastAsiaTheme="majorEastAsia"/>
          <w:bCs/>
        </w:rPr>
        <w:t>8</w:t>
      </w:r>
      <w:r w:rsidRPr="00AC77DF">
        <w:rPr>
          <w:rFonts w:eastAsiaTheme="majorEastAsia"/>
          <w:bCs/>
        </w:rPr>
        <w:t>、交通部已針對</w:t>
      </w:r>
      <w:r w:rsidRPr="00AC77DF">
        <w:t>老舊遊覽車車身結構安全問題研提</w:t>
      </w:r>
      <w:r w:rsidRPr="00AC77DF">
        <w:t>2</w:t>
      </w:r>
      <w:r w:rsidRPr="00AC77DF">
        <w:t>項具體改善作為，並對「行駛高速及快速公路應否全車強制繫安全帶」問題，研提修法草案函行政院送立法院修法中。</w:t>
      </w:r>
    </w:p>
    <w:p w:rsidR="003807A5" w:rsidRPr="00AC77DF" w:rsidRDefault="00742F51" w:rsidP="00C55320">
      <w:pPr>
        <w:pStyle w:val="afff1"/>
        <w:spacing w:before="360" w:after="360"/>
      </w:pPr>
      <w:r>
        <w:rPr>
          <w:rFonts w:hint="eastAsia"/>
        </w:rPr>
        <w:t>(四)</w:t>
      </w:r>
      <w:r w:rsidR="003807A5" w:rsidRPr="00AC77DF">
        <w:rPr>
          <w:lang w:eastAsia="zh-HK"/>
        </w:rPr>
        <w:t>案件進展</w:t>
      </w:r>
    </w:p>
    <w:p w:rsidR="003807A5" w:rsidRDefault="003807A5" w:rsidP="00274413">
      <w:pPr>
        <w:pStyle w:val="1---"/>
        <w:spacing w:after="180"/>
        <w:ind w:firstLine="480"/>
        <w:rPr>
          <w:lang w:eastAsia="zh-TW"/>
        </w:rPr>
      </w:pPr>
      <w:r w:rsidRPr="00AC77DF">
        <w:t>本案監察院仍列管追蹤中。</w:t>
      </w:r>
    </w:p>
    <w:p w:rsidR="008156DA" w:rsidRDefault="008156DA" w:rsidP="00274413">
      <w:pPr>
        <w:pStyle w:val="1---"/>
        <w:spacing w:after="180"/>
        <w:ind w:firstLine="480"/>
        <w:rPr>
          <w:lang w:eastAsia="zh-TW"/>
        </w:rPr>
      </w:pPr>
    </w:p>
    <w:p w:rsidR="008156DA" w:rsidRDefault="008156DA" w:rsidP="00274413">
      <w:pPr>
        <w:pStyle w:val="1---"/>
        <w:spacing w:after="180"/>
        <w:ind w:firstLine="480"/>
        <w:rPr>
          <w:lang w:eastAsia="zh-TW"/>
        </w:rPr>
      </w:pPr>
    </w:p>
    <w:p w:rsidR="008156DA" w:rsidRDefault="008156DA" w:rsidP="00274413">
      <w:pPr>
        <w:pStyle w:val="1---"/>
        <w:spacing w:after="180"/>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4248"/>
      </w:tblGrid>
      <w:tr w:rsidR="00742F51" w:rsidTr="002C05F7">
        <w:tc>
          <w:tcPr>
            <w:tcW w:w="4248" w:type="dxa"/>
            <w:shd w:val="clear" w:color="auto" w:fill="D9D9D9" w:themeFill="background1" w:themeFillShade="D9"/>
          </w:tcPr>
          <w:p w:rsidR="00742F51" w:rsidRDefault="002C05F7" w:rsidP="002C05F7">
            <w:pPr>
              <w:pStyle w:val="11-"/>
              <w:spacing w:before="72" w:after="108"/>
              <w:rPr>
                <w:lang w:eastAsia="zh-TW"/>
              </w:rPr>
            </w:pPr>
            <w:bookmarkStart w:id="92" w:name="_Toc535228333"/>
            <w:bookmarkStart w:id="93" w:name="_Toc4058743"/>
            <w:r w:rsidRPr="00AC77DF">
              <w:lastRenderedPageBreak/>
              <w:t>港區船舶運輸危險品管理機制</w:t>
            </w:r>
            <w:bookmarkEnd w:id="92"/>
            <w:bookmarkEnd w:id="93"/>
          </w:p>
        </w:tc>
      </w:tr>
    </w:tbl>
    <w:p w:rsidR="003807A5" w:rsidRPr="00AC77DF" w:rsidRDefault="00742F51" w:rsidP="004C1696">
      <w:pPr>
        <w:pStyle w:val="afff1"/>
        <w:spacing w:before="360" w:afterLines="70" w:after="252"/>
      </w:pPr>
      <w:r>
        <w:rPr>
          <w:rFonts w:hint="eastAsia"/>
        </w:rPr>
        <w:t>(一)</w:t>
      </w:r>
      <w:r w:rsidR="003807A5" w:rsidRPr="00AC77DF">
        <w:t>案情簡述</w:t>
      </w:r>
    </w:p>
    <w:p w:rsidR="003807A5" w:rsidRPr="00AC77DF" w:rsidRDefault="003807A5" w:rsidP="002B4E20">
      <w:pPr>
        <w:pStyle w:val="1---"/>
        <w:ind w:firstLine="480"/>
        <w:rPr>
          <w:b/>
        </w:rPr>
      </w:pPr>
      <w:r w:rsidRPr="00AC77DF">
        <w:t>104</w:t>
      </w:r>
      <w:r w:rsidRPr="00AC77DF">
        <w:t>年</w:t>
      </w:r>
      <w:r w:rsidRPr="00AC77DF">
        <w:t>8</w:t>
      </w:r>
      <w:r w:rsidRPr="00AC77DF">
        <w:t>月大陸天津濱海新區發生大爆炸，經「天津港爆炸事故調查組」的調查報告認定，其直接原因是貨櫃內硝化棉局部乾燥，在高溫等因素的作用下加速分解放熱，積熱自燃，最後致硝酸銨等危險化學品發生爆炸。事故共造</w:t>
      </w:r>
      <w:r w:rsidRPr="00207EB8">
        <w:rPr>
          <w:spacing w:val="-12"/>
        </w:rPr>
        <w:t>成</w:t>
      </w:r>
      <w:r w:rsidRPr="00AC77DF">
        <w:t>16</w:t>
      </w:r>
      <w:r w:rsidRPr="00207EB8">
        <w:rPr>
          <w:spacing w:val="-12"/>
        </w:rPr>
        <w:t>5</w:t>
      </w:r>
      <w:r w:rsidRPr="00AC77DF">
        <w:t>人死亡、</w:t>
      </w:r>
      <w:r w:rsidRPr="00AC77DF">
        <w:t>8</w:t>
      </w:r>
      <w:r w:rsidRPr="00AC77DF">
        <w:t>人失蹤</w:t>
      </w:r>
      <w:r w:rsidR="007F2D63" w:rsidRPr="00AC77DF">
        <w:t>、</w:t>
      </w:r>
      <w:r w:rsidRPr="00AC77DF">
        <w:t>798</w:t>
      </w:r>
      <w:r w:rsidRPr="00AC77DF">
        <w:t>人受傷，已核定直接經濟損失人民幣</w:t>
      </w:r>
      <w:r w:rsidRPr="00AC77DF">
        <w:t>68.66</w:t>
      </w:r>
      <w:r w:rsidRPr="00AC77DF">
        <w:t>億元。其中消防公安人員占死亡人數</w:t>
      </w:r>
      <w:r w:rsidRPr="00207EB8">
        <w:rPr>
          <w:spacing w:val="-12"/>
        </w:rPr>
        <w:t>的</w:t>
      </w:r>
      <w:r w:rsidRPr="00AC77DF">
        <w:t>11</w:t>
      </w:r>
      <w:r w:rsidRPr="00207EB8">
        <w:rPr>
          <w:spacing w:val="-12"/>
        </w:rPr>
        <w:t>0</w:t>
      </w:r>
      <w:r w:rsidRPr="00AC77DF">
        <w:t>人，顯見港區危險品落實管理之重要性。又本案係據審計部函送「中華民</w:t>
      </w:r>
      <w:r w:rsidRPr="00207EB8">
        <w:rPr>
          <w:spacing w:val="-12"/>
        </w:rPr>
        <w:t>國</w:t>
      </w:r>
      <w:r w:rsidRPr="00AC77DF">
        <w:t>10</w:t>
      </w:r>
      <w:r w:rsidRPr="00207EB8">
        <w:rPr>
          <w:spacing w:val="-12"/>
        </w:rPr>
        <w:t>4</w:t>
      </w:r>
      <w:r w:rsidRPr="00AC77DF">
        <w:t>年度中央政府總決算審核報告</w:t>
      </w:r>
      <w:r w:rsidRPr="00207EB8">
        <w:rPr>
          <w:spacing w:val="-30"/>
        </w:rPr>
        <w:t>」</w:t>
      </w:r>
      <w:r w:rsidRPr="00AC77DF">
        <w:t>，案由係交通部為健全危險物品船舶運輸安全管理，制定商港法等規範，惟相關規範及管理機制仍欠周妥，亟待賡續研謀改善等情，案經</w:t>
      </w:r>
      <w:r w:rsidRPr="00AC77DF">
        <w:t>105</w:t>
      </w:r>
      <w:r w:rsidRPr="00AC77DF">
        <w:t>年</w:t>
      </w:r>
      <w:r w:rsidRPr="00AC77DF">
        <w:t>10</w:t>
      </w:r>
      <w:r w:rsidRPr="00AC77DF">
        <w:t>月</w:t>
      </w:r>
      <w:r w:rsidRPr="00AC77DF">
        <w:t>11</w:t>
      </w:r>
      <w:r w:rsidRPr="00AC77DF">
        <w:t>日監察院交通及採購委員會決議，推派監察委員進行調查。</w:t>
      </w:r>
    </w:p>
    <w:p w:rsidR="003807A5" w:rsidRPr="00AC77DF" w:rsidRDefault="00742F51" w:rsidP="00C55320">
      <w:pPr>
        <w:pStyle w:val="afff1"/>
        <w:spacing w:before="360" w:after="360"/>
      </w:pPr>
      <w:r>
        <w:rPr>
          <w:rFonts w:hint="eastAsia"/>
        </w:rPr>
        <w:t>(二)</w:t>
      </w:r>
      <w:r w:rsidR="003807A5" w:rsidRPr="00AC77DF">
        <w:t>監察院調查發現與建議</w:t>
      </w:r>
    </w:p>
    <w:p w:rsidR="003807A5" w:rsidRPr="00AC77DF" w:rsidRDefault="00682251" w:rsidP="00D92DAE">
      <w:pPr>
        <w:pStyle w:val="1--13"/>
        <w:spacing w:before="180" w:after="180"/>
      </w:pPr>
      <w:r w:rsidRPr="008E1832">
        <w:rPr>
          <w:rFonts w:hint="eastAsia"/>
        </w:rPr>
        <w:t>˙</w:t>
      </w:r>
      <w:r w:rsidR="003807A5" w:rsidRPr="00AC77DF">
        <w:t>港區危險品運送監管不足</w:t>
      </w:r>
    </w:p>
    <w:p w:rsidR="003807A5" w:rsidRPr="00AC77DF" w:rsidRDefault="003807A5" w:rsidP="002B4E20">
      <w:pPr>
        <w:pStyle w:val="1---"/>
        <w:ind w:firstLine="480"/>
        <w:rPr>
          <w:b/>
        </w:rPr>
      </w:pPr>
      <w:r w:rsidRPr="00AC77DF">
        <w:t>交通部主管危險品船舶運輸安全管理，分由港務公司負責經營及航港局負責監理，惟因欠缺危險品運送資料之分享與勾稽機制，亦未善用財稅機關之艙單報單資料，致生業者未依規定申報危險品情事屢見不鮮，顯見港區危險品運送之經營及監理仍有提升改善之處。</w:t>
      </w:r>
    </w:p>
    <w:p w:rsidR="003807A5" w:rsidRPr="00AC77DF" w:rsidRDefault="003807A5" w:rsidP="002B4E20">
      <w:pPr>
        <w:pStyle w:val="1---"/>
        <w:ind w:firstLine="480"/>
        <w:rPr>
          <w:b/>
        </w:rPr>
      </w:pPr>
      <w:r w:rsidRPr="00AC77DF">
        <w:lastRenderedPageBreak/>
        <w:t>交通部督導港區危險品安全管理，分由港務公司掌握危險品之動向，及航港局制定危險品之處置。惟對危險品於港區之儲運狀態欠缺即時掌握，且對高度危險品之處置規範不明，皆不利於港區危險品之掌握及處置。</w:t>
      </w:r>
    </w:p>
    <w:p w:rsidR="003807A5" w:rsidRPr="00AC77DF" w:rsidRDefault="003807A5" w:rsidP="002B4E20">
      <w:pPr>
        <w:pStyle w:val="1---"/>
        <w:ind w:firstLine="480"/>
      </w:pPr>
      <w:r w:rsidRPr="00AC77DF">
        <w:t>港務公司執行港區液化危險品安全查核作業，漏未將管線維護情形納入查核項目，無法確保危險品管線運輸特性之安全要求；航港局稽核業者進行安全督導，未依規定查核港區內貨櫃場及倉儲業者之安全管理情形，且未能強化危險物品安全督導查核缺失之後續追蹤改善機制，難以確保港區內危險物品作業安全。</w:t>
      </w:r>
    </w:p>
    <w:p w:rsidR="003807A5" w:rsidRPr="00AC77DF" w:rsidRDefault="00682251" w:rsidP="00D92DAE">
      <w:pPr>
        <w:pStyle w:val="1--13"/>
        <w:spacing w:before="180" w:after="180"/>
      </w:pPr>
      <w:r w:rsidRPr="008E1832">
        <w:rPr>
          <w:rFonts w:hint="eastAsia"/>
        </w:rPr>
        <w:t>˙</w:t>
      </w:r>
      <w:r w:rsidR="003807A5" w:rsidRPr="00AC77DF">
        <w:t>防杜危險物品跨國運輸</w:t>
      </w:r>
    </w:p>
    <w:p w:rsidR="003807A5" w:rsidRPr="00AC77DF" w:rsidRDefault="003807A5" w:rsidP="002B4E20">
      <w:pPr>
        <w:pStyle w:val="1---"/>
        <w:ind w:firstLine="480"/>
        <w:rPr>
          <w:b/>
        </w:rPr>
      </w:pPr>
      <w:r w:rsidRPr="00AC77DF">
        <w:t>交通部為規範國際商港港區危險物品裝卸、倉儲作業需要，除應以通用之國際運輸專用名稱，落實危險物品申報、審核機制，以利國際接軌外；對於裝卸作業及倉儲管理亦應負督導責任，提升危機意識與人員教育訓練，以維港區危險物品作業安全。</w:t>
      </w:r>
    </w:p>
    <w:p w:rsidR="003807A5" w:rsidRPr="00AC77DF" w:rsidRDefault="003807A5" w:rsidP="00B7222B">
      <w:pPr>
        <w:pStyle w:val="1---"/>
        <w:ind w:firstLine="480"/>
        <w:rPr>
          <w:b/>
        </w:rPr>
      </w:pPr>
      <w:r w:rsidRPr="00AC77DF">
        <w:t>交通部依法督促業者應遵照國際海運危險品準則等相關公約及規定，對該等準則之變更或修正，應有明確規範，並以公文書方式公告周知，以利業者確實遵行。又對違反相關規定之業者，亦應明定法律義務關係，以落實罰則之執行。</w:t>
      </w:r>
    </w:p>
    <w:p w:rsidR="003807A5" w:rsidRPr="00AC77DF" w:rsidRDefault="003807A5" w:rsidP="00B7222B">
      <w:pPr>
        <w:pStyle w:val="1---"/>
        <w:ind w:firstLine="480"/>
        <w:rPr>
          <w:b/>
        </w:rPr>
      </w:pPr>
      <w:r w:rsidRPr="00AC77DF">
        <w:t>危險物品運輸已邁入全球化，而海、空運等國際複合運輸都需以公路運送方能達到及戶服務，故公路危險物品運送之法制面、執行面及督導面之健全與落實，皆與海運危險品運送同等重要，應予正視。</w:t>
      </w:r>
    </w:p>
    <w:p w:rsidR="003807A5" w:rsidRPr="00AC77DF" w:rsidRDefault="003807A5" w:rsidP="00B7222B">
      <w:pPr>
        <w:pStyle w:val="1---"/>
        <w:ind w:firstLine="480"/>
        <w:rPr>
          <w:b/>
        </w:rPr>
      </w:pPr>
      <w:r w:rsidRPr="00AC77DF">
        <w:lastRenderedPageBreak/>
        <w:t>依據本案調查意見</w:t>
      </w:r>
      <w:r w:rsidRPr="00AC77DF">
        <w:rPr>
          <w:rStyle w:val="aff2"/>
        </w:rPr>
        <w:footnoteReference w:id="51"/>
      </w:r>
      <w:r w:rsidRPr="00AC77DF">
        <w:t>，監察院函請交通部督促所屬確實檢討改進見復。</w:t>
      </w:r>
    </w:p>
    <w:p w:rsidR="003807A5" w:rsidRPr="00AC77DF" w:rsidRDefault="00742F51" w:rsidP="00C55320">
      <w:pPr>
        <w:pStyle w:val="afff1"/>
        <w:spacing w:before="360" w:after="360"/>
      </w:pPr>
      <w:r>
        <w:rPr>
          <w:rFonts w:hint="eastAsia"/>
        </w:rPr>
        <w:t>(三)</w:t>
      </w:r>
      <w:r w:rsidR="003807A5" w:rsidRPr="00AC77DF">
        <w:t>政府機關改善情形</w:t>
      </w:r>
    </w:p>
    <w:p w:rsidR="003807A5" w:rsidRPr="00AC77DF" w:rsidRDefault="003807A5" w:rsidP="007373B4">
      <w:pPr>
        <w:pStyle w:val="1---"/>
        <w:ind w:leftChars="100" w:left="600" w:hangingChars="150" w:hanging="360"/>
      </w:pPr>
      <w:r w:rsidRPr="00AC77DF">
        <w:t>1</w:t>
      </w:r>
      <w:r w:rsidRPr="00AC77DF">
        <w:t>、交通部主管之交通管理法令係就車輛裝載運送危險物品時，其駕駛人、車輛及行駛道路應遵守事項之通則規定，惟各目的事業主管機關如對載運危險物品另訂有專門運送規定時，應優先遵守。</w:t>
      </w:r>
    </w:p>
    <w:p w:rsidR="003807A5" w:rsidRPr="00AC77DF" w:rsidRDefault="003807A5" w:rsidP="007373B4">
      <w:pPr>
        <w:pStyle w:val="1---"/>
        <w:ind w:leftChars="100" w:left="600" w:hangingChars="150" w:hanging="360"/>
      </w:pPr>
      <w:r w:rsidRPr="00AC77DF">
        <w:t>2</w:t>
      </w:r>
      <w:r w:rsidRPr="00AC77DF">
        <w:t>、有關危險物品運送安全之維護，需跨部會及中央與地方政府之協調分工合作。該部積極協調各目的事業主管機關源頭資訊整合，並已建立各目的事業主管機關許可載運危險物品核准文件勾稽查核平台，持續與各目的事業主管機關合作查核。</w:t>
      </w:r>
    </w:p>
    <w:p w:rsidR="003807A5" w:rsidRPr="00AC77DF" w:rsidRDefault="003807A5" w:rsidP="007373B4">
      <w:pPr>
        <w:pStyle w:val="1---"/>
        <w:ind w:leftChars="100" w:left="600" w:hangingChars="150" w:hanging="360"/>
      </w:pPr>
      <w:r w:rsidRPr="00AC77DF">
        <w:t>3</w:t>
      </w:r>
      <w:r w:rsidRPr="00AC77DF">
        <w:t>、有關研議制定「道路危險物品運輸安全管理辦法」部分，該部運輸研究所辦理「我國危險物品運輸安全管理機制之檢討與分析」研究案，</w:t>
      </w:r>
      <w:r w:rsidR="00BB0F17">
        <w:rPr>
          <w:rFonts w:hint="eastAsia"/>
        </w:rPr>
        <w:t>已</w:t>
      </w:r>
      <w:r w:rsidRPr="00AC77DF">
        <w:t>於</w:t>
      </w:r>
      <w:r w:rsidRPr="00AC77DF">
        <w:t>107</w:t>
      </w:r>
      <w:r w:rsidRPr="00AC77DF">
        <w:t>年</w:t>
      </w:r>
      <w:r w:rsidRPr="00AC77DF">
        <w:t>8</w:t>
      </w:r>
      <w:r w:rsidRPr="00AC77DF">
        <w:t>月前就聯合國制定之「危險貨物運輸建議書」建議規範之原則，執行差異分析後提出我國於危險物品運輸規範可再強化管理機制建議，該部將俟該所具體研究成果後，檢討納入「道路交通法」草案研議。</w:t>
      </w:r>
    </w:p>
    <w:p w:rsidR="003807A5" w:rsidRPr="00AC77DF" w:rsidRDefault="003807A5" w:rsidP="007373B4">
      <w:pPr>
        <w:pStyle w:val="1---"/>
        <w:ind w:leftChars="100" w:left="600" w:hangingChars="150" w:hanging="360"/>
      </w:pPr>
      <w:r w:rsidRPr="00AC77DF">
        <w:t>4</w:t>
      </w:r>
      <w:r w:rsidRPr="00AC77DF">
        <w:t>、對於高度風險之危險物品，目的事業主管機關已就其主管危險物品載運行駛訂定更嚴格之規定，除應遵守運送通則</w:t>
      </w:r>
      <w:r w:rsidRPr="00AC77DF">
        <w:lastRenderedPageBreak/>
        <w:t>規定外，亦應確實遵守其各該目的事業主管機關危險物品之運送管理相關之特別法令。</w:t>
      </w:r>
    </w:p>
    <w:p w:rsidR="003807A5" w:rsidRPr="00AC77DF" w:rsidRDefault="003807A5" w:rsidP="007373B4">
      <w:pPr>
        <w:pStyle w:val="1---"/>
        <w:ind w:leftChars="100" w:left="600" w:hangingChars="150" w:hanging="360"/>
      </w:pPr>
      <w:r w:rsidRPr="00AC77DF">
        <w:t>5</w:t>
      </w:r>
      <w:r w:rsidRPr="00AC77DF">
        <w:t>、國內現行道路交通安全規則</w:t>
      </w:r>
      <w:r w:rsidRPr="00207EB8">
        <w:rPr>
          <w:spacing w:val="-12"/>
        </w:rPr>
        <w:t>第</w:t>
      </w:r>
      <w:r w:rsidRPr="00AC77DF">
        <w:t>8</w:t>
      </w:r>
      <w:r w:rsidRPr="00207EB8">
        <w:rPr>
          <w:spacing w:val="-12"/>
        </w:rPr>
        <w:t>4</w:t>
      </w:r>
      <w:r w:rsidRPr="00AC77DF">
        <w:t>條載運危險物品行駛道路相關駕駛人、車輛、行駛、裝載等因遵守事項之通則規定，係針對危險物品屬性與特性不同據以核發臨時通行證，並依臨時通行證所載路線及時間行駛，且在運送風險控管可及之前提下，以載運車種及重量區分低風險危險物品運送豁免規定，爰國內對於危險物品載運行駛道路之安全管理，與聯合國「危險物品運輸建議書」規範採分級管理之精神相同，已有就危險程度較小或載運數量較少之低風險危險物品給予運送豁免條件，有別於運送高風險危險物品之規定。</w:t>
      </w:r>
    </w:p>
    <w:p w:rsidR="003807A5" w:rsidRPr="00AC77DF" w:rsidRDefault="003807A5" w:rsidP="007373B4">
      <w:pPr>
        <w:pStyle w:val="1---"/>
        <w:ind w:leftChars="100" w:left="600" w:hangingChars="150" w:hanging="360"/>
      </w:pPr>
      <w:r w:rsidRPr="00AC77DF">
        <w:t>6</w:t>
      </w:r>
      <w:r w:rsidRPr="00AC77DF">
        <w:t>、裝載危險物品車輛之標誌及標示牌於道路交通安全規則第</w:t>
      </w:r>
      <w:r w:rsidRPr="00AC77DF">
        <w:t>84</w:t>
      </w:r>
      <w:r w:rsidRPr="00AC77DF">
        <w:t>條第</w:t>
      </w:r>
      <w:r w:rsidRPr="00AC77DF">
        <w:t>1</w:t>
      </w:r>
      <w:r w:rsidRPr="00AC77DF">
        <w:t>項第</w:t>
      </w:r>
      <w:r w:rsidRPr="00AC77DF">
        <w:t>3</w:t>
      </w:r>
      <w:r w:rsidRPr="00AC77DF">
        <w:t>款及同規則附件</w:t>
      </w:r>
      <w:r w:rsidRPr="00AC77DF">
        <w:t>8</w:t>
      </w:r>
      <w:r w:rsidRPr="00AC77DF">
        <w:t>已有明確規範，其中標誌之圖例及顏色係依國家標準</w:t>
      </w:r>
      <w:r w:rsidR="00207EB8">
        <w:rPr>
          <w:rFonts w:hint="eastAsia"/>
          <w:lang w:eastAsia="zh-TW"/>
        </w:rPr>
        <w:t>（</w:t>
      </w:r>
      <w:r w:rsidRPr="00AC77DF">
        <w:t>CNS</w:t>
      </w:r>
      <w:r w:rsidR="00207EB8">
        <w:rPr>
          <w:rFonts w:hint="eastAsia"/>
          <w:lang w:eastAsia="zh-TW"/>
        </w:rPr>
        <w:t>）</w:t>
      </w:r>
      <w:r w:rsidRPr="00AC77DF">
        <w:t>6864</w:t>
      </w:r>
      <w:r w:rsidRPr="00AC77DF">
        <w:t>規定，且規定形狀、最小尺度與聯合國「危險物品運輸建議書」第</w:t>
      </w:r>
      <w:r w:rsidRPr="00AC77DF">
        <w:t>5.3</w:t>
      </w:r>
      <w:r w:rsidRPr="00AC77DF">
        <w:t>章「運輸裝置的標示牌和標誌」規定相同。</w:t>
      </w:r>
    </w:p>
    <w:p w:rsidR="003807A5" w:rsidRPr="00AC77DF" w:rsidRDefault="003807A5" w:rsidP="007373B4">
      <w:pPr>
        <w:pStyle w:val="1---"/>
        <w:ind w:leftChars="100" w:left="600" w:hangingChars="150" w:hanging="360"/>
      </w:pPr>
      <w:r w:rsidRPr="00AC77DF">
        <w:t>7</w:t>
      </w:r>
      <w:r w:rsidRPr="00AC77DF">
        <w:t>、至於標示牌懸掛規定部分，聯合國「危險物品運輸建議書」規定應懸掛車輛前、後明顯辨識之處，而我國僅規範車輛兩側及後方；另同條文第</w:t>
      </w:r>
      <w:r w:rsidRPr="00AC77DF">
        <w:t>1</w:t>
      </w:r>
      <w:r w:rsidRPr="00AC77DF">
        <w:t>項第</w:t>
      </w:r>
      <w:r w:rsidRPr="00AC77DF">
        <w:t>2</w:t>
      </w:r>
      <w:r w:rsidRPr="00AC77DF">
        <w:t>款規定，裝載危險物品車輛之車頭及車尾應懸掛布質三角紅旗之危險標識，為我國特有之規定，均具備強化用路人清楚辨識載運危險物品車輛之功能，未來應可研議將兩者擇一研議更臻提升載運危險物品車輛辨識之方法，該部將錄案納入道路交通安全規則第</w:t>
      </w:r>
      <w:r w:rsidRPr="00AC77DF">
        <w:t>84</w:t>
      </w:r>
      <w:r w:rsidRPr="00AC77DF">
        <w:t>條研修時通盤考量。</w:t>
      </w:r>
    </w:p>
    <w:p w:rsidR="003807A5" w:rsidRPr="00AC77DF" w:rsidRDefault="003807A5" w:rsidP="007373B4">
      <w:pPr>
        <w:pStyle w:val="1---"/>
        <w:ind w:leftChars="100" w:left="600" w:hangingChars="150" w:hanging="360"/>
      </w:pPr>
      <w:r w:rsidRPr="00AC77DF">
        <w:lastRenderedPageBreak/>
        <w:t>8</w:t>
      </w:r>
      <w:r w:rsidRPr="00AC77DF">
        <w:t>、經查該部第</w:t>
      </w:r>
      <w:r w:rsidRPr="00AC77DF">
        <w:t>3</w:t>
      </w:r>
      <w:r w:rsidRPr="00AC77DF">
        <w:t>代公路監理資訊系統自</w:t>
      </w:r>
      <w:r w:rsidRPr="00AC77DF">
        <w:t>103</w:t>
      </w:r>
      <w:r w:rsidRPr="00AC77DF">
        <w:t>年</w:t>
      </w:r>
      <w:r w:rsidRPr="00AC77DF">
        <w:t>7</w:t>
      </w:r>
      <w:r w:rsidRPr="00AC77DF">
        <w:t>月上線後，包括危險物品運送人員訓練證核發管理及罐槽車檢驗結果，均登載該系統控管，已無審計部查核所指</w:t>
      </w:r>
      <w:r w:rsidRPr="00AC77DF">
        <w:t>97</w:t>
      </w:r>
      <w:r w:rsidRPr="00AC77DF">
        <w:t>年至</w:t>
      </w:r>
      <w:r w:rsidRPr="00AC77DF">
        <w:t>103</w:t>
      </w:r>
      <w:r w:rsidRPr="00AC77DF">
        <w:t>年間人工作業所致缺失情形，該部公路總局將持續督導所屬監理機關落實各項查核作業。</w:t>
      </w:r>
    </w:p>
    <w:p w:rsidR="003807A5" w:rsidRPr="00AC77DF" w:rsidRDefault="003807A5" w:rsidP="007373B4">
      <w:pPr>
        <w:pStyle w:val="1---"/>
        <w:ind w:leftChars="100" w:left="600" w:hangingChars="150" w:hanging="360"/>
      </w:pPr>
      <w:r w:rsidRPr="00AC77DF">
        <w:t>9</w:t>
      </w:r>
      <w:r w:rsidRPr="00AC77DF">
        <w:t>、現行於勞動部化學品全球調和制度網站，已整合完整之危險物品與危害特性等資訊，國內各相關機關、企業及勞工等均可至上開網站查詢取得。且國內各相關機關或企業單位運送實務需諮詢相關危險物品運送事宜，目前亦可透過協會取得相關危險物品運送之建議與諮詢，以降低危險物品運送相關活動中所存有之風險。另各目的事業主管機關對於載運特殊危險物品時，係有對於監督危險物品運送安全訂有專責護送人員之規定，避免運送途中因天然或人為因素造成阻斷時，能有效確保該等特殊危險物品之安全處置。</w:t>
      </w:r>
    </w:p>
    <w:p w:rsidR="003807A5" w:rsidRPr="00AC77DF" w:rsidRDefault="003807A5" w:rsidP="007373B4">
      <w:pPr>
        <w:pStyle w:val="1---"/>
        <w:ind w:leftChars="100" w:left="720" w:hangingChars="200" w:hanging="480"/>
      </w:pPr>
      <w:r w:rsidRPr="00AC77DF">
        <w:t>10</w:t>
      </w:r>
      <w:r w:rsidRPr="00AC77DF">
        <w:t>、對於發生地震、抗議、意外等特殊時點，道路交通管理處罰條例第</w:t>
      </w:r>
      <w:r w:rsidRPr="00AC77DF">
        <w:t>5</w:t>
      </w:r>
      <w:r w:rsidRPr="00AC77DF">
        <w:t>條已明文公路或警察機關於必要時，得指定某線道路或某線道路區段禁止或限制車輛通行，以維護道路交通安全及暢通。該部高速公路局對高速公路訂有重大災害處理要點，依需要辦理道路管制、封閉，並於上游路段以</w:t>
      </w:r>
      <w:r w:rsidRPr="00AC77DF">
        <w:t>CMS</w:t>
      </w:r>
      <w:r w:rsidRPr="00AC77DF">
        <w:t>顯示、透過警廣或媒體宣導傳遞行車訊息。</w:t>
      </w:r>
    </w:p>
    <w:p w:rsidR="003807A5" w:rsidRPr="00AC77DF" w:rsidRDefault="003807A5" w:rsidP="007373B4">
      <w:pPr>
        <w:pStyle w:val="1---"/>
        <w:ind w:leftChars="100" w:left="720" w:hangingChars="200" w:hanging="480"/>
      </w:pPr>
      <w:r w:rsidRPr="00AC77DF">
        <w:t>11</w:t>
      </w:r>
      <w:r w:rsidRPr="00AC77DF">
        <w:t>、交通部公路總局亦有採「時段性管制及封路」管制作為，將公路風險劃分為注意（注意路況</w:t>
      </w:r>
      <w:r w:rsidRPr="00207EB8">
        <w:rPr>
          <w:spacing w:val="-30"/>
        </w:rPr>
        <w:t>）</w:t>
      </w:r>
      <w:r w:rsidRPr="00AC77DF">
        <w:t>、警戒（勸導勿入</w:t>
      </w:r>
      <w:r w:rsidRPr="00207EB8">
        <w:rPr>
          <w:spacing w:val="-30"/>
        </w:rPr>
        <w:t>）</w:t>
      </w:r>
      <w:r w:rsidRPr="00AC77DF">
        <w:t>、行動（管制封閉）三種等級，針對不同的情境變</w:t>
      </w:r>
      <w:r w:rsidRPr="00AC77DF">
        <w:lastRenderedPageBreak/>
        <w:t>化提出適切的處置，其管制與封閉訊息主要透過警察廣播電台、公路總局省道即時交通資訊網及</w:t>
      </w:r>
      <w:r w:rsidRPr="00AC77DF">
        <w:t>PWS</w:t>
      </w:r>
      <w:r w:rsidRPr="00AC77DF">
        <w:t>災防告警系統即時傳遞通知用路人，並於公路防救災資訊系統及省道即時交通資訊網提供用路人查詢道路通阻資訊。</w:t>
      </w:r>
    </w:p>
    <w:p w:rsidR="003807A5" w:rsidRPr="00AC77DF" w:rsidRDefault="003807A5" w:rsidP="007373B4">
      <w:pPr>
        <w:pStyle w:val="1---"/>
        <w:ind w:leftChars="100" w:left="720" w:hangingChars="200" w:hanging="480"/>
      </w:pPr>
      <w:r w:rsidRPr="00AC77DF">
        <w:t>12</w:t>
      </w:r>
      <w:r w:rsidRPr="00AC77DF">
        <w:t>、為讓載運危險物品之駕駛人預先知悉及有效應變特殊時點之運行資訊，該部公路總局將研議於公路監理機關核發臨時通行證注意事項欄位再加註說明，以利駕駛人充分知悉瞭解。</w:t>
      </w:r>
    </w:p>
    <w:p w:rsidR="003807A5" w:rsidRPr="00AC77DF" w:rsidRDefault="00742F51" w:rsidP="00C55320">
      <w:pPr>
        <w:pStyle w:val="afff1"/>
        <w:spacing w:before="360" w:after="360"/>
      </w:pPr>
      <w:r>
        <w:rPr>
          <w:rFonts w:hint="eastAsia"/>
        </w:rPr>
        <w:t>(四)</w:t>
      </w:r>
      <w:r w:rsidR="003807A5" w:rsidRPr="00AC77DF">
        <w:rPr>
          <w:lang w:eastAsia="zh-HK"/>
        </w:rPr>
        <w:t>案件進展</w:t>
      </w:r>
    </w:p>
    <w:p w:rsidR="003807A5" w:rsidRDefault="003807A5" w:rsidP="00B7222B">
      <w:pPr>
        <w:pStyle w:val="1---"/>
        <w:ind w:firstLine="480"/>
        <w:rPr>
          <w:lang w:eastAsia="zh-TW"/>
        </w:rPr>
      </w:pPr>
      <w:r w:rsidRPr="00AC77DF">
        <w:t>本案在監察院調查及監督下，已產生具體成效，惟有關港區危險品管理相關規範及管理機制，仍待持續關注。基此，本案仍由監察院持續追蹤列管。</w:t>
      </w:r>
    </w:p>
    <w:p w:rsidR="00274D71" w:rsidRDefault="00274D71" w:rsidP="00B7222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3397"/>
      </w:tblGrid>
      <w:tr w:rsidR="00274D71" w:rsidTr="004A1350">
        <w:tc>
          <w:tcPr>
            <w:tcW w:w="3397" w:type="dxa"/>
            <w:shd w:val="clear" w:color="auto" w:fill="D9D9D9" w:themeFill="background1" w:themeFillShade="D9"/>
          </w:tcPr>
          <w:p w:rsidR="00274D71" w:rsidRDefault="00274D71" w:rsidP="004A1350">
            <w:pPr>
              <w:pStyle w:val="11-"/>
              <w:spacing w:before="72" w:after="108"/>
              <w:rPr>
                <w:lang w:eastAsia="zh-TW"/>
              </w:rPr>
            </w:pPr>
            <w:bookmarkStart w:id="94" w:name="_Toc535228334"/>
            <w:bookmarkStart w:id="95" w:name="_Toc4058744"/>
            <w:r w:rsidRPr="00AC77DF">
              <w:rPr>
                <w:bdr w:val="none" w:sz="0" w:space="0" w:color="auto" w:frame="1"/>
              </w:rPr>
              <w:t>清泉崗基地棄置毒品案</w:t>
            </w:r>
            <w:bookmarkEnd w:id="94"/>
            <w:bookmarkEnd w:id="95"/>
          </w:p>
        </w:tc>
      </w:tr>
    </w:tbl>
    <w:p w:rsidR="00274D71" w:rsidRPr="00AC77DF" w:rsidRDefault="00274D71" w:rsidP="00B7222B">
      <w:pPr>
        <w:pStyle w:val="1---"/>
        <w:ind w:firstLine="480"/>
        <w:rPr>
          <w:lang w:eastAsia="zh-TW"/>
        </w:rPr>
      </w:pPr>
    </w:p>
    <w:tbl>
      <w:tblPr>
        <w:tblStyle w:val="aff5"/>
        <w:tblW w:w="4756" w:type="pct"/>
        <w:tblInd w:w="113" w:type="dxa"/>
        <w:tblLook w:val="04A0" w:firstRow="1" w:lastRow="0" w:firstColumn="1" w:lastColumn="0" w:noHBand="0" w:noVBand="1"/>
      </w:tblPr>
      <w:tblGrid>
        <w:gridCol w:w="6516"/>
      </w:tblGrid>
      <w:tr w:rsidR="003D2E2F" w:rsidTr="004A1350">
        <w:tc>
          <w:tcPr>
            <w:tcW w:w="5000" w:type="pct"/>
          </w:tcPr>
          <w:p w:rsidR="003D2E2F" w:rsidRPr="003D2E2F" w:rsidRDefault="003D2E2F" w:rsidP="004A1350">
            <w:pPr>
              <w:spacing w:line="360" w:lineRule="exact"/>
              <w:jc w:val="both"/>
            </w:pPr>
            <w:r w:rsidRPr="003D2E2F">
              <w:rPr>
                <w:b/>
              </w:rPr>
              <w:t>相關國際人權公約：</w:t>
            </w:r>
            <w:r w:rsidRPr="00AC77DF">
              <w:t>公民與政治權利國際公約第</w:t>
            </w:r>
            <w:r w:rsidRPr="00AC77DF">
              <w:t>7</w:t>
            </w:r>
            <w:r w:rsidRPr="00AC77DF">
              <w:t>條</w:t>
            </w:r>
          </w:p>
          <w:p w:rsidR="003D2E2F" w:rsidRPr="003D2E2F" w:rsidRDefault="003D2E2F" w:rsidP="004A1350">
            <w:pPr>
              <w:spacing w:line="360" w:lineRule="exact"/>
              <w:jc w:val="both"/>
              <w:rPr>
                <w:b/>
              </w:rPr>
            </w:pPr>
            <w:r w:rsidRPr="003D2E2F">
              <w:rPr>
                <w:b/>
              </w:rPr>
              <w:t>公民與政治權利國際公約第</w:t>
            </w:r>
            <w:r w:rsidRPr="003D2E2F">
              <w:rPr>
                <w:b/>
              </w:rPr>
              <w:t>7</w:t>
            </w:r>
            <w:r w:rsidRPr="003D2E2F">
              <w:rPr>
                <w:b/>
              </w:rPr>
              <w:t>條</w:t>
            </w:r>
          </w:p>
          <w:p w:rsidR="003D2E2F" w:rsidRPr="003D2E2F" w:rsidRDefault="003D2E2F" w:rsidP="004A1350">
            <w:pPr>
              <w:pStyle w:val="1---"/>
              <w:ind w:firstLineChars="0" w:firstLine="0"/>
              <w:rPr>
                <w:rFonts w:eastAsia="標楷體"/>
                <w:szCs w:val="20"/>
                <w:lang w:val="en-US" w:eastAsia="zh-TW"/>
              </w:rPr>
            </w:pPr>
            <w:r w:rsidRPr="003D2E2F">
              <w:rPr>
                <w:rFonts w:eastAsia="標楷體"/>
                <w:szCs w:val="20"/>
                <w:lang w:val="en-US" w:eastAsia="zh-TW"/>
              </w:rPr>
              <w:t>任何人不得施以酷刑，或予以殘忍、不人道或侮辱之處遇或懲罰。非經本人自願同意，尤不得對任何人作醫學或科學試驗。</w:t>
            </w:r>
          </w:p>
        </w:tc>
      </w:tr>
    </w:tbl>
    <w:p w:rsidR="004A1350" w:rsidRDefault="004A1350" w:rsidP="00C55320">
      <w:pPr>
        <w:pStyle w:val="afff1"/>
        <w:spacing w:before="360" w:after="360"/>
      </w:pPr>
    </w:p>
    <w:p w:rsidR="003807A5" w:rsidRPr="00AC77DF" w:rsidRDefault="00287CDA" w:rsidP="00C55320">
      <w:pPr>
        <w:pStyle w:val="afff1"/>
        <w:spacing w:before="360" w:after="360"/>
      </w:pPr>
      <w:r>
        <w:rPr>
          <w:rFonts w:hint="eastAsia"/>
        </w:rPr>
        <w:lastRenderedPageBreak/>
        <w:t>(一)</w:t>
      </w:r>
      <w:r w:rsidR="003807A5" w:rsidRPr="00AC77DF">
        <w:t>案情簡述</w:t>
      </w:r>
    </w:p>
    <w:p w:rsidR="003807A5" w:rsidRPr="00AC77DF" w:rsidRDefault="0009218B" w:rsidP="00B7222B">
      <w:pPr>
        <w:pStyle w:val="1---"/>
        <w:ind w:firstLine="480"/>
      </w:pPr>
      <w:r w:rsidRPr="0009218B">
        <w:rPr>
          <w:rFonts w:hint="eastAsia"/>
        </w:rPr>
        <w:t>空軍清泉崗基地於</w:t>
      </w:r>
      <w:r w:rsidRPr="0009218B">
        <w:rPr>
          <w:rFonts w:hint="eastAsia"/>
        </w:rPr>
        <w:t>106</w:t>
      </w:r>
      <w:r w:rsidRPr="0009218B">
        <w:rPr>
          <w:rFonts w:hint="eastAsia"/>
        </w:rPr>
        <w:t>年</w:t>
      </w:r>
      <w:r w:rsidRPr="0009218B">
        <w:rPr>
          <w:rFonts w:hint="eastAsia"/>
        </w:rPr>
        <w:t>2</w:t>
      </w:r>
      <w:r w:rsidRPr="0009218B">
        <w:rPr>
          <w:rFonts w:hint="eastAsia"/>
        </w:rPr>
        <w:t>月</w:t>
      </w:r>
      <w:r w:rsidRPr="0009218B">
        <w:rPr>
          <w:rFonts w:hint="eastAsia"/>
        </w:rPr>
        <w:t>20</w:t>
      </w:r>
      <w:r w:rsidRPr="0009218B">
        <w:rPr>
          <w:rFonts w:hint="eastAsia"/>
        </w:rPr>
        <w:t>日發生安非他命（</w:t>
      </w:r>
      <w:r w:rsidRPr="0009218B">
        <w:rPr>
          <w:rFonts w:hint="eastAsia"/>
        </w:rPr>
        <w:t>Amphetamine</w:t>
      </w:r>
      <w:r w:rsidRPr="0009218B">
        <w:rPr>
          <w:rFonts w:hint="eastAsia"/>
        </w:rPr>
        <w:t>）第</w:t>
      </w:r>
      <w:r w:rsidRPr="0009218B">
        <w:rPr>
          <w:rFonts w:hint="eastAsia"/>
        </w:rPr>
        <w:t>2</w:t>
      </w:r>
      <w:r w:rsidRPr="0009218B">
        <w:rPr>
          <w:rFonts w:hint="eastAsia"/>
        </w:rPr>
        <w:t>級毒品</w:t>
      </w:r>
      <w:r w:rsidRPr="0009218B">
        <w:rPr>
          <w:rFonts w:hint="eastAsia"/>
        </w:rPr>
        <w:t>53</w:t>
      </w:r>
      <w:r w:rsidRPr="0009218B">
        <w:rPr>
          <w:rFonts w:hint="eastAsia"/>
        </w:rPr>
        <w:t>包棄置案，該基地為澄清輿論，對基地全數</w:t>
      </w:r>
      <w:r w:rsidRPr="0009218B">
        <w:rPr>
          <w:rFonts w:hint="eastAsia"/>
        </w:rPr>
        <w:t>2,554</w:t>
      </w:r>
      <w:r w:rsidRPr="0009218B">
        <w:rPr>
          <w:rFonts w:hint="eastAsia"/>
        </w:rPr>
        <w:t>人採驗尿液。國防部防制毒品措施是否妥適，監察委員認有瞭解之必要，而立案調查。</w:t>
      </w:r>
    </w:p>
    <w:p w:rsidR="003807A5" w:rsidRPr="00AC77DF" w:rsidRDefault="00287CDA" w:rsidP="00C55320">
      <w:pPr>
        <w:pStyle w:val="afff1"/>
        <w:spacing w:before="360" w:after="360"/>
      </w:pPr>
      <w:r>
        <w:rPr>
          <w:rFonts w:hint="eastAsia"/>
        </w:rPr>
        <w:t>(二)</w:t>
      </w:r>
      <w:r w:rsidR="003807A5" w:rsidRPr="00AC77DF">
        <w:t>監察院調查發現與建議</w:t>
      </w:r>
    </w:p>
    <w:p w:rsidR="0009218B" w:rsidRPr="000C1450" w:rsidRDefault="00682251" w:rsidP="00D92DAE">
      <w:pPr>
        <w:pStyle w:val="1--13"/>
        <w:spacing w:before="180" w:after="180"/>
      </w:pPr>
      <w:r w:rsidRPr="008E1832">
        <w:rPr>
          <w:rFonts w:hint="eastAsia"/>
        </w:rPr>
        <w:t>˙</w:t>
      </w:r>
      <w:r w:rsidR="0009218B" w:rsidRPr="000C1450">
        <w:rPr>
          <w:rFonts w:hint="eastAsia"/>
        </w:rPr>
        <w:t>營區安全管理機制不足</w:t>
      </w:r>
    </w:p>
    <w:p w:rsidR="0009218B" w:rsidRPr="000C1450" w:rsidRDefault="0009218B" w:rsidP="00B7222B">
      <w:pPr>
        <w:pStyle w:val="1---"/>
        <w:ind w:firstLine="480"/>
      </w:pPr>
      <w:r w:rsidRPr="000C1450">
        <w:rPr>
          <w:rFonts w:hint="eastAsia"/>
        </w:rPr>
        <w:t>空軍清泉崗基地於</w:t>
      </w:r>
      <w:r w:rsidRPr="000C1450">
        <w:t>106</w:t>
      </w:r>
      <w:r w:rsidRPr="000C1450">
        <w:rPr>
          <w:rFonts w:hint="eastAsia"/>
        </w:rPr>
        <w:t>年</w:t>
      </w:r>
      <w:r w:rsidRPr="000C1450">
        <w:t>2</w:t>
      </w:r>
      <w:r w:rsidRPr="000C1450">
        <w:rPr>
          <w:rFonts w:hint="eastAsia"/>
        </w:rPr>
        <w:t>月</w:t>
      </w:r>
      <w:r w:rsidRPr="000C1450">
        <w:t>20</w:t>
      </w:r>
      <w:r w:rsidRPr="000C1450">
        <w:rPr>
          <w:rFonts w:hint="eastAsia"/>
        </w:rPr>
        <w:t>日清晨發生第</w:t>
      </w:r>
      <w:r w:rsidRPr="000C1450">
        <w:t>2</w:t>
      </w:r>
      <w:r w:rsidRPr="000C1450">
        <w:rPr>
          <w:rFonts w:hint="eastAsia"/>
        </w:rPr>
        <w:t>級毒品安非他命</w:t>
      </w:r>
      <w:r w:rsidRPr="000C1450">
        <w:t>53</w:t>
      </w:r>
      <w:r w:rsidRPr="000C1450">
        <w:rPr>
          <w:rFonts w:hint="eastAsia"/>
        </w:rPr>
        <w:t>包分散棄置營區各地，震驚社會。該基地第</w:t>
      </w:r>
      <w:r w:rsidRPr="000C1450">
        <w:t>427</w:t>
      </w:r>
      <w:r w:rsidRPr="000C1450">
        <w:rPr>
          <w:rFonts w:hint="eastAsia"/>
        </w:rPr>
        <w:t>聯隊對於營門進出管制及營區巡查等安全管理，未臻妥適；營區內重要處所亦有監視器損壞、攝錄畫面欠佳及攝錄範圍不足等情事，致未能查出犯嫌。近年歐美等國恐攻事件頻傳，肇致多人死傷，人心惶惶，且有日趨嚴重之勢，我國尚難置身事外。國防部針對該基地提出之檢討改進措施，應確實執行，並進一步考量於國軍各部隊採取積極防範恐攻之標準，建置嚴密之安全管理機制，以確保國軍營區及人員之安全。</w:t>
      </w:r>
    </w:p>
    <w:p w:rsidR="0009218B" w:rsidRPr="000C1450" w:rsidRDefault="00383BEE" w:rsidP="00D92DAE">
      <w:pPr>
        <w:pStyle w:val="1--13"/>
        <w:spacing w:before="180" w:after="180"/>
      </w:pPr>
      <w:r w:rsidRPr="008E1832">
        <w:rPr>
          <w:rFonts w:hint="eastAsia"/>
        </w:rPr>
        <w:t>˙</w:t>
      </w:r>
      <w:r w:rsidR="0009218B" w:rsidRPr="000C1450">
        <w:rPr>
          <w:rFonts w:hint="eastAsia"/>
        </w:rPr>
        <w:t>審慎檢討部隊尿液採驗機制</w:t>
      </w:r>
    </w:p>
    <w:p w:rsidR="0009218B" w:rsidRPr="000C1450" w:rsidRDefault="0009218B" w:rsidP="00B7222B">
      <w:pPr>
        <w:pStyle w:val="1---"/>
        <w:ind w:firstLine="480"/>
      </w:pPr>
      <w:r w:rsidRPr="000C1450">
        <w:rPr>
          <w:rFonts w:hint="eastAsia"/>
        </w:rPr>
        <w:t>空軍清泉崗基地於</w:t>
      </w:r>
      <w:r w:rsidRPr="000C1450">
        <w:t>106</w:t>
      </w:r>
      <w:r w:rsidRPr="000C1450">
        <w:rPr>
          <w:rFonts w:hint="eastAsia"/>
        </w:rPr>
        <w:t>年</w:t>
      </w:r>
      <w:r w:rsidRPr="000C1450">
        <w:t>2</w:t>
      </w:r>
      <w:r w:rsidRPr="000C1450">
        <w:rPr>
          <w:rFonts w:hint="eastAsia"/>
        </w:rPr>
        <w:t>月</w:t>
      </w:r>
      <w:r w:rsidRPr="000C1450">
        <w:t>20</w:t>
      </w:r>
      <w:r w:rsidRPr="000C1450">
        <w:rPr>
          <w:rFonts w:hint="eastAsia"/>
        </w:rPr>
        <w:t>日發生</w:t>
      </w:r>
      <w:r w:rsidRPr="000C1450">
        <w:t>53</w:t>
      </w:r>
      <w:r w:rsidRPr="000C1450">
        <w:rPr>
          <w:rFonts w:hint="eastAsia"/>
        </w:rPr>
        <w:t>包安非他命散置事件後，該基地第</w:t>
      </w:r>
      <w:r w:rsidRPr="000C1450">
        <w:t>427</w:t>
      </w:r>
      <w:r w:rsidRPr="000C1450">
        <w:rPr>
          <w:rFonts w:hint="eastAsia"/>
        </w:rPr>
        <w:t>聯隊為澄清輿論，對於所屬官兵</w:t>
      </w:r>
      <w:r w:rsidRPr="000C1450">
        <w:t>2,554</w:t>
      </w:r>
      <w:r w:rsidRPr="000C1450">
        <w:rPr>
          <w:rFonts w:hint="eastAsia"/>
        </w:rPr>
        <w:t>人及雇員數十名全部採驗尿液，核與毒品危害防制條例第</w:t>
      </w:r>
      <w:r w:rsidRPr="000C1450">
        <w:t>33</w:t>
      </w:r>
      <w:r w:rsidRPr="000C1450">
        <w:rPr>
          <w:rFonts w:hint="eastAsia"/>
        </w:rPr>
        <w:t>條</w:t>
      </w:r>
      <w:r w:rsidRPr="000C1450">
        <w:rPr>
          <w:rFonts w:hint="eastAsia"/>
        </w:rPr>
        <w:lastRenderedPageBreak/>
        <w:t>、國軍官兵濫用藥物尿液篩檢作業規定第</w:t>
      </w:r>
      <w:r w:rsidRPr="000C1450">
        <w:t>3</w:t>
      </w:r>
      <w:r w:rsidRPr="000C1450">
        <w:rPr>
          <w:rFonts w:hint="eastAsia"/>
        </w:rPr>
        <w:t>點等相關法令規定未合，亦不符比例原則；嗣將呈現疑似第</w:t>
      </w:r>
      <w:r w:rsidRPr="000C1450">
        <w:t>1</w:t>
      </w:r>
      <w:r w:rsidRPr="000C1450">
        <w:rPr>
          <w:rFonts w:hint="eastAsia"/>
        </w:rPr>
        <w:t>級毒品鴉片類代謝物（包含嗎啡或可待因）陽性反應之</w:t>
      </w:r>
      <w:r w:rsidRPr="000C1450">
        <w:t>10</w:t>
      </w:r>
      <w:r w:rsidRPr="000C1450">
        <w:rPr>
          <w:rFonts w:hint="eastAsia"/>
        </w:rPr>
        <w:t>人送交憲兵隊移送法辦。數月後雖經檢察官偵查結果認定該</w:t>
      </w:r>
      <w:r w:rsidRPr="000C1450">
        <w:t>10</w:t>
      </w:r>
      <w:r w:rsidRPr="000C1450">
        <w:rPr>
          <w:rFonts w:hint="eastAsia"/>
        </w:rPr>
        <w:t>人均屬服用感冒藥所呈毒品陽性反應，仍無助消除社會各界對軍中毒品問題之疑慮，且對被移送法辦之受檢者所受個人名譽上之傷害，難以彌補。</w:t>
      </w:r>
    </w:p>
    <w:p w:rsidR="0009218B" w:rsidRPr="000C1450" w:rsidRDefault="00383BEE" w:rsidP="00D92DAE">
      <w:pPr>
        <w:pStyle w:val="1--13"/>
        <w:spacing w:before="180" w:after="180"/>
      </w:pPr>
      <w:r w:rsidRPr="008E1832">
        <w:rPr>
          <w:rFonts w:hint="eastAsia"/>
        </w:rPr>
        <w:t>˙</w:t>
      </w:r>
      <w:r w:rsidR="0009218B" w:rsidRPr="000C1450">
        <w:rPr>
          <w:rFonts w:hint="eastAsia"/>
        </w:rPr>
        <w:t>審慎研議拒絕毒品尿液篩檢及染毒之懲處標準</w:t>
      </w:r>
    </w:p>
    <w:p w:rsidR="003807A5" w:rsidRPr="00AC77DF" w:rsidRDefault="0009218B" w:rsidP="00B7222B">
      <w:pPr>
        <w:pStyle w:val="1---"/>
        <w:ind w:firstLine="480"/>
      </w:pPr>
      <w:r w:rsidRPr="000C1450">
        <w:rPr>
          <w:rFonts w:hint="eastAsia"/>
        </w:rPr>
        <w:t>海軍司令部對於高雄市警方通報於</w:t>
      </w:r>
      <w:r w:rsidRPr="000C1450">
        <w:t>106</w:t>
      </w:r>
      <w:r w:rsidRPr="000C1450">
        <w:rPr>
          <w:rFonts w:hint="eastAsia"/>
        </w:rPr>
        <w:t>年</w:t>
      </w:r>
      <w:r w:rsidRPr="000C1450">
        <w:t>1</w:t>
      </w:r>
      <w:r w:rsidRPr="000C1450">
        <w:rPr>
          <w:rFonts w:hint="eastAsia"/>
        </w:rPr>
        <w:t>月</w:t>
      </w:r>
      <w:r w:rsidRPr="000C1450">
        <w:t>11</w:t>
      </w:r>
      <w:r w:rsidRPr="000C1450">
        <w:rPr>
          <w:rFonts w:hint="eastAsia"/>
        </w:rPr>
        <w:t>日凌晨臨檢查獲持有第</w:t>
      </w:r>
      <w:r w:rsidRPr="000C1450">
        <w:t>2</w:t>
      </w:r>
      <w:r w:rsidRPr="000C1450">
        <w:rPr>
          <w:rFonts w:hint="eastAsia"/>
        </w:rPr>
        <w:t>級毒品甲基安非他命吸食器、殘渣袋並於警察詢問及檢察官偵訊時坦承吸毒之海軍中校回營後拒絕毒品尿液篩檢，不僅未依毒品危害防制條例第</w:t>
      </w:r>
      <w:r w:rsidRPr="000C1450">
        <w:t>33</w:t>
      </w:r>
      <w:r w:rsidRPr="000C1450">
        <w:rPr>
          <w:rFonts w:hint="eastAsia"/>
        </w:rPr>
        <w:t>條第</w:t>
      </w:r>
      <w:r w:rsidRPr="000C1450">
        <w:t>2</w:t>
      </w:r>
      <w:r w:rsidRPr="000C1450">
        <w:rPr>
          <w:rFonts w:hint="eastAsia"/>
        </w:rPr>
        <w:t>項規定採取強制尿液篩檢之處分並調查涉毒成因，竟迅速准其於同年</w:t>
      </w:r>
      <w:r w:rsidRPr="000C1450">
        <w:t>2</w:t>
      </w:r>
      <w:r w:rsidRPr="000C1450">
        <w:rPr>
          <w:rFonts w:hint="eastAsia"/>
        </w:rPr>
        <w:t>月</w:t>
      </w:r>
      <w:r w:rsidRPr="000C1450">
        <w:t>1</w:t>
      </w:r>
      <w:r w:rsidRPr="000C1450">
        <w:rPr>
          <w:rFonts w:hint="eastAsia"/>
        </w:rPr>
        <w:t>日退伍，致失查緝毒品來源及同夥之先機，並遭社會各界質疑包庇輕縱。嗣於該海軍中校退伍後，再就其拒絕毒品尿液篩檢之違法情節，核予申誡處分，亦與國防部頒布之國軍軍風紀維護實施規定第</w:t>
      </w:r>
      <w:r w:rsidRPr="000C1450">
        <w:t>26</w:t>
      </w:r>
      <w:r w:rsidRPr="000C1450">
        <w:rPr>
          <w:rFonts w:hint="eastAsia"/>
        </w:rPr>
        <w:t>點有關涉毒違法應一律檢討核予行政重懲之軍紀規定未合；另對於同年</w:t>
      </w:r>
      <w:r w:rsidRPr="000C1450">
        <w:t>3</w:t>
      </w:r>
      <w:r w:rsidRPr="000C1450">
        <w:rPr>
          <w:rFonts w:hint="eastAsia"/>
        </w:rPr>
        <w:t>月</w:t>
      </w:r>
      <w:r w:rsidRPr="000C1450">
        <w:t>11</w:t>
      </w:r>
      <w:r w:rsidRPr="000C1450">
        <w:rPr>
          <w:rFonts w:hint="eastAsia"/>
        </w:rPr>
        <w:t>日被高雄市警方臨檢查獲吸食第</w:t>
      </w:r>
      <w:r w:rsidRPr="000C1450">
        <w:t>3</w:t>
      </w:r>
      <w:r w:rsidRPr="000C1450">
        <w:rPr>
          <w:rFonts w:hint="eastAsia"/>
        </w:rPr>
        <w:t>級毒品愷他命之海軍士官及陪同該士官出入不正當場所而未染毒之海軍士官，均核予汰除，懲處標準不一，輕重失衡。國防部宜審慎研議訂定拒絕毒品尿液篩檢規定及染毒情節之懲處標準，使罪責相符。</w:t>
      </w:r>
    </w:p>
    <w:p w:rsidR="003807A5" w:rsidRPr="00AC77DF" w:rsidRDefault="003807A5" w:rsidP="00B7222B">
      <w:pPr>
        <w:pStyle w:val="1---"/>
        <w:ind w:firstLine="480"/>
      </w:pPr>
      <w:r w:rsidRPr="00AC77DF">
        <w:t>依據本案調查意見</w:t>
      </w:r>
      <w:r w:rsidRPr="00F85A65">
        <w:rPr>
          <w:rStyle w:val="aff2"/>
        </w:rPr>
        <w:footnoteReference w:id="52"/>
      </w:r>
      <w:r w:rsidRPr="00AC77DF">
        <w:t>，監察院函請國防部確實檢討改進。</w:t>
      </w:r>
    </w:p>
    <w:p w:rsidR="003807A5" w:rsidRPr="00AC77DF" w:rsidRDefault="00287CDA" w:rsidP="00C55320">
      <w:pPr>
        <w:pStyle w:val="afff1"/>
        <w:spacing w:before="360" w:after="360"/>
      </w:pPr>
      <w:r>
        <w:rPr>
          <w:rFonts w:hint="eastAsia"/>
        </w:rPr>
        <w:lastRenderedPageBreak/>
        <w:t>(三)</w:t>
      </w:r>
      <w:r w:rsidR="003807A5" w:rsidRPr="00AC77DF">
        <w:t>政府機關改善情形</w:t>
      </w:r>
    </w:p>
    <w:p w:rsidR="0009218B" w:rsidRDefault="003807A5" w:rsidP="007373B4">
      <w:pPr>
        <w:pStyle w:val="1---"/>
        <w:ind w:leftChars="100" w:left="600" w:hangingChars="150" w:hanging="360"/>
      </w:pPr>
      <w:r w:rsidRPr="00AC77DF">
        <w:t>1</w:t>
      </w:r>
      <w:r w:rsidRPr="00AC77DF">
        <w:t>、</w:t>
      </w:r>
      <w:r w:rsidR="0009218B">
        <w:rPr>
          <w:rFonts w:hint="eastAsia"/>
        </w:rPr>
        <w:t>國防部除將逐步提升各營區監視系統之解析度、紅外線、動態轉向及精進儲存備份等功能外，亦將同時強化預警情蒐、應變作為及區域聯防等功能，以先期掌握相關情訊。另各營區不論平時或假日期間，均有編成待命班或戰備部隊執行營區安全防護演練，並配合部頒「國軍警衛勤務教範」，劃分單位及個人安全責任區域，每日律定專人實施巡檢，結合營區巡查機制，增加安全巡查頻次，以妥處突發事件，確保營區及人員安全。</w:t>
      </w:r>
    </w:p>
    <w:p w:rsidR="0009218B" w:rsidRDefault="0009218B" w:rsidP="007373B4">
      <w:pPr>
        <w:pStyle w:val="1---"/>
        <w:ind w:leftChars="100" w:left="600" w:hangingChars="150" w:hanging="360"/>
      </w:pPr>
      <w:r>
        <w:rPr>
          <w:rFonts w:hint="eastAsia"/>
        </w:rPr>
        <w:t>2</w:t>
      </w:r>
      <w:r>
        <w:rPr>
          <w:rFonts w:hint="eastAsia"/>
        </w:rPr>
        <w:t>、國防部全面尿液篩檢方式「不符比例原則」及「受檢者是否具真摯同意」乙節，國防部將納為往後類案處置之參考，後續對於管理手段之裁量，在「必要性</w:t>
      </w:r>
      <w:r w:rsidRPr="004A1350">
        <w:rPr>
          <w:rFonts w:hint="eastAsia"/>
          <w:spacing w:val="-30"/>
        </w:rPr>
        <w:t>」、</w:t>
      </w:r>
      <w:r>
        <w:rPr>
          <w:rFonts w:hint="eastAsia"/>
        </w:rPr>
        <w:t>「合理隱私期待</w:t>
      </w:r>
      <w:r w:rsidRPr="004A1350">
        <w:rPr>
          <w:rFonts w:hint="eastAsia"/>
          <w:spacing w:val="-30"/>
        </w:rPr>
        <w:t>」、</w:t>
      </w:r>
      <w:r>
        <w:rPr>
          <w:rFonts w:hint="eastAsia"/>
        </w:rPr>
        <w:t>「公共利益」及「國防安全」等因素之審酌，將更加嚴謹審視，以符憲法保障人權意旨。</w:t>
      </w:r>
    </w:p>
    <w:p w:rsidR="003807A5" w:rsidRPr="00AC77DF" w:rsidRDefault="0009218B" w:rsidP="007373B4">
      <w:pPr>
        <w:pStyle w:val="1---"/>
        <w:ind w:leftChars="100" w:left="600" w:hangingChars="150" w:hanging="360"/>
      </w:pPr>
      <w:r>
        <w:rPr>
          <w:rFonts w:hint="eastAsia"/>
        </w:rPr>
        <w:t>3</w:t>
      </w:r>
      <w:r>
        <w:rPr>
          <w:rFonts w:hint="eastAsia"/>
        </w:rPr>
        <w:t>、國防部原「國軍官兵濫用藥物尿液篩檢作業規定」並未規定國軍人員拒絕尿液篩檢之強制執行作法。為健全尿液篩檢作業，明定對於拒絕受檢人員之執行程序，該部依毒品危害防制條例第</w:t>
      </w:r>
      <w:r>
        <w:rPr>
          <w:rFonts w:hint="eastAsia"/>
        </w:rPr>
        <w:t>33</w:t>
      </w:r>
      <w:r>
        <w:rPr>
          <w:rFonts w:hint="eastAsia"/>
        </w:rPr>
        <w:t>條、特定人員尿液採驗辦法第</w:t>
      </w:r>
      <w:r>
        <w:rPr>
          <w:rFonts w:hint="eastAsia"/>
        </w:rPr>
        <w:t>7</w:t>
      </w:r>
      <w:r>
        <w:rPr>
          <w:rFonts w:hint="eastAsia"/>
        </w:rPr>
        <w:t>條規定，於</w:t>
      </w:r>
      <w:r>
        <w:rPr>
          <w:rFonts w:hint="eastAsia"/>
        </w:rPr>
        <w:t>107</w:t>
      </w:r>
      <w:r>
        <w:rPr>
          <w:rFonts w:hint="eastAsia"/>
        </w:rPr>
        <w:t>年</w:t>
      </w:r>
      <w:r>
        <w:rPr>
          <w:rFonts w:hint="eastAsia"/>
        </w:rPr>
        <w:t>1</w:t>
      </w:r>
      <w:r>
        <w:rPr>
          <w:rFonts w:hint="eastAsia"/>
        </w:rPr>
        <w:t>月</w:t>
      </w:r>
      <w:r>
        <w:rPr>
          <w:rFonts w:hint="eastAsia"/>
        </w:rPr>
        <w:t>18</w:t>
      </w:r>
      <w:r>
        <w:rPr>
          <w:rFonts w:hint="eastAsia"/>
        </w:rPr>
        <w:t>日修正該規定為「國軍特定人員濫用藥物尿液篩檢作業規定</w:t>
      </w:r>
      <w:r w:rsidRPr="004A1350">
        <w:rPr>
          <w:rFonts w:hint="eastAsia"/>
          <w:spacing w:val="-30"/>
        </w:rPr>
        <w:t>」</w:t>
      </w:r>
      <w:r>
        <w:rPr>
          <w:rFonts w:hint="eastAsia"/>
        </w:rPr>
        <w:t>，並增訂第</w:t>
      </w:r>
      <w:r>
        <w:rPr>
          <w:rFonts w:hint="eastAsia"/>
        </w:rPr>
        <w:t>8</w:t>
      </w:r>
      <w:r>
        <w:rPr>
          <w:rFonts w:hint="eastAsia"/>
        </w:rPr>
        <w:t>點第</w:t>
      </w:r>
      <w:r>
        <w:rPr>
          <w:rFonts w:hint="eastAsia"/>
        </w:rPr>
        <w:t>9</w:t>
      </w:r>
      <w:r>
        <w:rPr>
          <w:rFonts w:hint="eastAsia"/>
        </w:rPr>
        <w:t>款「受檢人員如拒絕接受尿液採驗時，各單位主官應即通報並移送至各地區憲兵隊，必要時拘束其身體行之，並應注意受檢人員之名譽及身體安全。但因故無法移送者，得協請憲兵隊派員至單位實施。採驗應於通報後</w:t>
      </w:r>
      <w:r>
        <w:rPr>
          <w:rFonts w:hint="eastAsia"/>
        </w:rPr>
        <w:t>24</w:t>
      </w:r>
      <w:r>
        <w:rPr>
          <w:rFonts w:hint="eastAsia"/>
        </w:rPr>
        <w:t>小時內完成</w:t>
      </w:r>
      <w:r w:rsidRPr="004A1350">
        <w:rPr>
          <w:rFonts w:hint="eastAsia"/>
          <w:spacing w:val="-30"/>
        </w:rPr>
        <w:t>。</w:t>
      </w:r>
      <w:r>
        <w:rPr>
          <w:rFonts w:hint="eastAsia"/>
        </w:rPr>
        <w:t>」</w:t>
      </w:r>
      <w:r>
        <w:rPr>
          <w:rFonts w:hint="eastAsia"/>
        </w:rPr>
        <w:lastRenderedPageBreak/>
        <w:t>因此，該部已訂定對拒絕尿液篩檢之官兵，得強制執行尿液篩檢作業，不會因部分官兵拒絕接受尿液採驗情形，致生防制毒品之漏洞。</w:t>
      </w:r>
    </w:p>
    <w:p w:rsidR="003807A5" w:rsidRPr="00AC77DF" w:rsidRDefault="00287CDA" w:rsidP="00287CDA">
      <w:pPr>
        <w:pStyle w:val="afff1"/>
        <w:spacing w:before="360" w:after="360"/>
      </w:pPr>
      <w:r>
        <w:rPr>
          <w:rFonts w:hint="eastAsia"/>
        </w:rPr>
        <w:t>(四)</w:t>
      </w:r>
      <w:r w:rsidR="003807A5" w:rsidRPr="00AC77DF">
        <w:t>案件進展</w:t>
      </w:r>
    </w:p>
    <w:p w:rsidR="003807A5" w:rsidRPr="00AC77DF" w:rsidRDefault="0009218B" w:rsidP="00B7222B">
      <w:pPr>
        <w:pStyle w:val="1---"/>
        <w:ind w:firstLine="480"/>
      </w:pPr>
      <w:r w:rsidRPr="0009218B">
        <w:rPr>
          <w:rFonts w:hint="eastAsia"/>
        </w:rPr>
        <w:t>國防部就本案</w:t>
      </w:r>
      <w:r w:rsidR="000B1457">
        <w:rPr>
          <w:rFonts w:hint="eastAsia"/>
        </w:rPr>
        <w:t>已</w:t>
      </w:r>
      <w:r w:rsidRPr="0009218B">
        <w:rPr>
          <w:rFonts w:hint="eastAsia"/>
        </w:rPr>
        <w:t>檢討改進，</w:t>
      </w:r>
      <w:r w:rsidR="000B1457">
        <w:rPr>
          <w:rFonts w:hint="eastAsia"/>
        </w:rPr>
        <w:t>爰予</w:t>
      </w:r>
      <w:r w:rsidRPr="0009218B">
        <w:rPr>
          <w:rFonts w:hint="eastAsia"/>
        </w:rPr>
        <w:t>結案。</w:t>
      </w:r>
    </w:p>
    <w:p w:rsidR="003807A5" w:rsidRPr="00AC77DF" w:rsidRDefault="00287CDA" w:rsidP="00287CDA">
      <w:pPr>
        <w:pStyle w:val="1--13"/>
        <w:spacing w:before="180" w:after="180"/>
      </w:pPr>
      <w:bookmarkStart w:id="96" w:name="_Toc4058745"/>
      <w:r>
        <w:rPr>
          <w:rFonts w:hint="eastAsia"/>
        </w:rPr>
        <w:t>◆</w:t>
      </w:r>
      <w:r w:rsidR="003807A5" w:rsidRPr="00AC77DF">
        <w:t>評析</w:t>
      </w:r>
      <w:bookmarkEnd w:id="96"/>
    </w:p>
    <w:p w:rsidR="003807A5" w:rsidRPr="00AC77DF" w:rsidRDefault="003807A5" w:rsidP="00B7222B">
      <w:pPr>
        <w:pStyle w:val="1---"/>
        <w:ind w:firstLine="480"/>
        <w:rPr>
          <w:lang w:eastAsia="zh-TW"/>
        </w:rPr>
      </w:pPr>
      <w:r w:rsidRPr="00AC77DF">
        <w:t>生存權是人民一切權利的基本，</w:t>
      </w:r>
      <w:r w:rsidRPr="00AC77DF">
        <w:rPr>
          <w:kern w:val="0"/>
        </w:rPr>
        <w:t>對於生存權之保障，除應避免政府直接侵犯人民的權益外，另也強調政府積極保障人民生存權之角色及</w:t>
      </w:r>
      <w:r w:rsidRPr="00AC77DF">
        <w:t>請求國家生存照顧之權利。人民除可向國家要求其生存權不受消極侵害外，亦可要求國家機關積極作為，使其生存獲得保障。因此生存權不僅指人民有生存的權利，亦涵蓋國家及政府有尊重及照顧人民生存的義務。觀我國憲法</w:t>
      </w:r>
      <w:r w:rsidRPr="004A1350">
        <w:rPr>
          <w:spacing w:val="-26"/>
        </w:rPr>
        <w:t>第</w:t>
      </w:r>
      <w:r w:rsidRPr="00AC77DF">
        <w:t>15</w:t>
      </w:r>
      <w:r w:rsidRPr="00AC77DF">
        <w:t>條，人民之生存權、工作權及財產權，應予保障。換言之，政府除不得侵害人民的生存權，尚須防止人民生存權遭受侵害。</w:t>
      </w:r>
    </w:p>
    <w:p w:rsidR="003807A5" w:rsidRDefault="003807A5" w:rsidP="00B7222B">
      <w:pPr>
        <w:pStyle w:val="1---"/>
        <w:ind w:firstLine="480"/>
        <w:rPr>
          <w:rFonts w:eastAsiaTheme="majorEastAsia"/>
          <w:lang w:eastAsia="zh-TW"/>
        </w:rPr>
      </w:pPr>
      <w:r w:rsidRPr="00AC77DF">
        <w:t>本章特別由政府對軍中、長照中心及遊樂場之照護與安全稽查，摘錄陸軍機甲車輛墜溪案、軍中自殺個案之檢討、桃園市、新北市長照中心火災致死案、保齡球館消防救災作業涉有違失案、住警器設置成效不彰等</w:t>
      </w:r>
      <w:r w:rsidRPr="00AC77DF">
        <w:rPr>
          <w:lang w:eastAsia="zh-TW"/>
        </w:rPr>
        <w:t>6</w:t>
      </w:r>
      <w:r w:rsidRPr="00AC77DF">
        <w:t>案</w:t>
      </w:r>
      <w:r w:rsidRPr="00AC77DF">
        <w:rPr>
          <w:lang w:eastAsia="zh-TW"/>
        </w:rPr>
        <w:t>，</w:t>
      </w:r>
      <w:r w:rsidRPr="00AC77DF">
        <w:t>說明政府對人民生存權保障之職責；再由住宅、大客車與遊覽車之</w:t>
      </w:r>
      <w:r w:rsidRPr="00AC77DF">
        <w:rPr>
          <w:lang w:eastAsia="zh-TW"/>
        </w:rPr>
        <w:t>3</w:t>
      </w:r>
      <w:r w:rsidRPr="00AC77DF">
        <w:t>件調查案例，說明事前政府稽查及防範之重要性。最後納入港區船舶運輸及清泉崗基地棄置毒品案，論及政府對危禁品之允當管理，有助於維繫人民生存與安全。相關案件經監察院調查後，主管機關均</w:t>
      </w:r>
      <w:r w:rsidRPr="00AC77DF">
        <w:lastRenderedPageBreak/>
        <w:t>已修正相關規範並採行改善措施，並產生具體成效。期待在監察院調查與</w:t>
      </w:r>
      <w:r w:rsidRPr="00AC77DF">
        <w:rPr>
          <w:rFonts w:eastAsiaTheme="majorEastAsia"/>
        </w:rPr>
        <w:t>持續關注下，各機關能建立典章制度，匡正行政疏失，以保障</w:t>
      </w:r>
      <w:r w:rsidR="00AD3D90">
        <w:rPr>
          <w:rFonts w:eastAsiaTheme="majorEastAsia" w:hint="eastAsia"/>
        </w:rPr>
        <w:t>人</w:t>
      </w:r>
      <w:r w:rsidRPr="00AC77DF">
        <w:rPr>
          <w:rFonts w:eastAsiaTheme="majorEastAsia"/>
        </w:rPr>
        <w:t>民生存</w:t>
      </w:r>
      <w:r w:rsidR="00AD3D90">
        <w:rPr>
          <w:rFonts w:eastAsiaTheme="majorEastAsia"/>
        </w:rPr>
        <w:t>權</w:t>
      </w:r>
      <w:r w:rsidRPr="00AC77DF">
        <w:rPr>
          <w:rFonts w:eastAsiaTheme="majorEastAsia"/>
        </w:rPr>
        <w:t>不</w:t>
      </w:r>
      <w:r w:rsidR="00AD3D90">
        <w:rPr>
          <w:rFonts w:eastAsiaTheme="majorEastAsia" w:hint="eastAsia"/>
        </w:rPr>
        <w:t>被</w:t>
      </w:r>
      <w:r w:rsidRPr="00AC77DF">
        <w:rPr>
          <w:rFonts w:eastAsiaTheme="majorEastAsia"/>
        </w:rPr>
        <w:t>剝奪</w:t>
      </w:r>
      <w:r w:rsidR="00AD3D90">
        <w:rPr>
          <w:rFonts w:eastAsiaTheme="majorEastAsia" w:hint="eastAsia"/>
        </w:rPr>
        <w:t>或</w:t>
      </w:r>
      <w:r w:rsidRPr="00AC77DF">
        <w:rPr>
          <w:rFonts w:eastAsiaTheme="majorEastAsia"/>
        </w:rPr>
        <w:t>侵害</w:t>
      </w:r>
      <w:r w:rsidR="004A1350">
        <w:rPr>
          <w:rFonts w:eastAsiaTheme="majorEastAsia" w:hint="eastAsia"/>
          <w:lang w:eastAsia="zh-TW"/>
        </w:rPr>
        <w:t>。</w:t>
      </w:r>
    </w:p>
    <w:p w:rsidR="004A1350" w:rsidRDefault="004A1350" w:rsidP="00B7222B">
      <w:pPr>
        <w:pStyle w:val="1---"/>
        <w:ind w:firstLine="480"/>
        <w:rPr>
          <w:rFonts w:eastAsiaTheme="majorEastAsia"/>
          <w:lang w:eastAsia="zh-TW"/>
        </w:rPr>
      </w:pPr>
    </w:p>
    <w:p w:rsidR="004A1350" w:rsidRPr="00AC77DF" w:rsidRDefault="004A1350" w:rsidP="00B7222B">
      <w:pPr>
        <w:pStyle w:val="1---"/>
        <w:ind w:firstLine="480"/>
        <w:rPr>
          <w:b/>
          <w:lang w:eastAsia="zh-TW"/>
        </w:rPr>
      </w:pPr>
    </w:p>
    <w:p w:rsidR="004A1350" w:rsidRDefault="004A1350">
      <w:pPr>
        <w:widowControl/>
        <w:snapToGrid/>
        <w:sectPr w:rsidR="004A1350" w:rsidSect="00037CD1">
          <w:headerReference w:type="default" r:id="rId21"/>
          <w:pgSz w:w="8392" w:h="11907" w:code="11"/>
          <w:pgMar w:top="1701" w:right="794" w:bottom="1134" w:left="964" w:header="624" w:footer="397" w:gutter="0"/>
          <w:cols w:space="425"/>
          <w:docGrid w:type="lines" w:linePitch="360"/>
        </w:sectPr>
      </w:pPr>
    </w:p>
    <w:p w:rsidR="003807A5" w:rsidRDefault="003807A5" w:rsidP="00287CDA">
      <w:pPr>
        <w:pStyle w:val="1--"/>
        <w:spacing w:after="180"/>
      </w:pPr>
      <w:bookmarkStart w:id="97" w:name="_Toc535228335"/>
      <w:bookmarkStart w:id="98" w:name="_Toc4058746"/>
      <w:r w:rsidRPr="00AC77DF">
        <w:lastRenderedPageBreak/>
        <w:t>第四章</w:t>
      </w:r>
      <w:r w:rsidRPr="00AC77DF">
        <w:rPr>
          <w:noProof/>
        </w:rPr>
        <mc:AlternateContent>
          <mc:Choice Requires="wps">
            <w:drawing>
              <wp:anchor distT="0" distB="0" distL="114300" distR="114300" simplePos="0" relativeHeight="251920384" behindDoc="0" locked="1" layoutInCell="1" allowOverlap="1" wp14:anchorId="01490103" wp14:editId="68B880CB">
                <wp:simplePos x="0" y="0"/>
                <wp:positionH relativeFrom="column">
                  <wp:posOffset>7989570</wp:posOffset>
                </wp:positionH>
                <wp:positionV relativeFrom="paragraph">
                  <wp:posOffset>-773430</wp:posOffset>
                </wp:positionV>
                <wp:extent cx="635000" cy="317500"/>
                <wp:effectExtent l="0" t="0" r="0" b="0"/>
                <wp:wrapNone/>
                <wp:docPr id="92" name="記錄"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832" w:rsidRDefault="00970832" w:rsidP="00912880">
                            <w:pPr>
                              <w:jc w:val="center"/>
                              <w:rPr>
                                <w:sz w:val="18"/>
                              </w:rPr>
                            </w:pPr>
                            <w:r>
                              <w:rPr>
                                <w:sz w:val="18"/>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left:0;text-align:left;margin-left:629.1pt;margin-top:-60.9pt;width:50pt;height:25pt;z-index:2519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" stroked="f">
                <v:textbox>
                  <w:txbxContent>
                    <w:p w:rsidR="00895792" w:rsidRDefault="00895792" w:rsidP="00912880">
                      <w:pPr>
                        <w:jc w:val="center"/>
                        <w:rPr>
                          <w:sz w:val="18"/>
                        </w:rPr>
                      </w:pPr>
                      <w:r>
                        <w:rPr>
                          <w:sz w:val="18"/>
                        </w:rPr>
                        <w:t>00</w:t>
                      </w:r>
                    </w:p>
                  </w:txbxContent>
                </v:textbox>
                <w10:anchorlock/>
              </v:shape>
            </w:pict>
          </mc:Fallback>
        </mc:AlternateContent>
      </w:r>
      <w:r w:rsidRPr="00AC77DF">
        <w:rPr>
          <w:noProof/>
        </w:rPr>
        <mc:AlternateContent>
          <mc:Choice Requires="wpg">
            <w:drawing>
              <wp:anchor distT="0" distB="0" distL="114300" distR="114300" simplePos="0" relativeHeight="251919360" behindDoc="0" locked="1" layoutInCell="0" allowOverlap="1" wp14:anchorId="0931C823" wp14:editId="55D7A43B">
                <wp:simplePos x="0" y="0"/>
                <wp:positionH relativeFrom="column">
                  <wp:posOffset>-2184400</wp:posOffset>
                </wp:positionH>
                <wp:positionV relativeFrom="paragraph">
                  <wp:posOffset>-2540</wp:posOffset>
                </wp:positionV>
                <wp:extent cx="149225" cy="8839200"/>
                <wp:effectExtent l="0" t="0" r="3175" b="19050"/>
                <wp:wrapNone/>
                <wp:docPr id="93" name="裝訂線"/>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39200"/>
                          <a:chOff x="745" y="1414"/>
                          <a:chExt cx="235" cy="13920"/>
                        </a:xfrm>
                      </wpg:grpSpPr>
                      <wps:wsp>
                        <wps:cNvPr id="94" name="Line 13"/>
                        <wps:cNvCnPr/>
                        <wps:spPr bwMode="auto">
                          <a:xfrm>
                            <a:off x="851" y="1414"/>
                            <a:ext cx="0" cy="139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5" name="Text Box 14"/>
                        <wps:cNvSpPr txBox="1">
                          <a:spLocks noChangeArrowheads="1"/>
                        </wps:cNvSpPr>
                        <wps:spPr bwMode="auto">
                          <a:xfrm>
                            <a:off x="745" y="5523"/>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912880">
                              <w:pPr>
                                <w:kinsoku w:val="0"/>
                                <w:wordWrap w:val="0"/>
                                <w:overflowPunct w:val="0"/>
                                <w:rPr>
                                  <w:sz w:val="20"/>
                                </w:rPr>
                              </w:pPr>
                              <w:r>
                                <w:rPr>
                                  <w:rFonts w:hint="eastAsia"/>
                                  <w:sz w:val="20"/>
                                </w:rPr>
                                <w:t>裝</w:t>
                              </w:r>
                            </w:p>
                          </w:txbxContent>
                        </wps:txbx>
                        <wps:bodyPr rot="0" vert="horz" wrap="square" lIns="0" tIns="0" rIns="0" bIns="0" anchor="t" anchorCtr="0" upright="1">
                          <a:noAutofit/>
                        </wps:bodyPr>
                      </wps:wsp>
                      <wps:wsp>
                        <wps:cNvPr id="96" name="Text Box 15"/>
                        <wps:cNvSpPr txBox="1">
                          <a:spLocks noChangeArrowheads="1"/>
                        </wps:cNvSpPr>
                        <wps:spPr bwMode="auto">
                          <a:xfrm>
                            <a:off x="745" y="8312"/>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912880">
                              <w:pPr>
                                <w:kinsoku w:val="0"/>
                                <w:wordWrap w:val="0"/>
                                <w:overflowPunct w:val="0"/>
                                <w:rPr>
                                  <w:sz w:val="20"/>
                                </w:rPr>
                              </w:pPr>
                              <w:r>
                                <w:rPr>
                                  <w:rFonts w:hint="eastAsia"/>
                                  <w:sz w:val="20"/>
                                </w:rPr>
                                <w:t>訂</w:t>
                              </w:r>
                            </w:p>
                          </w:txbxContent>
                        </wps:txbx>
                        <wps:bodyPr rot="0" vert="horz" wrap="square" lIns="0" tIns="0" rIns="0" bIns="0" anchor="t" anchorCtr="0" upright="1">
                          <a:noAutofit/>
                        </wps:bodyPr>
                      </wps:wsp>
                      <wps:wsp>
                        <wps:cNvPr id="97" name="Text Box 16"/>
                        <wps:cNvSpPr txBox="1">
                          <a:spLocks noChangeArrowheads="1"/>
                        </wps:cNvSpPr>
                        <wps:spPr bwMode="auto">
                          <a:xfrm>
                            <a:off x="745" y="11127"/>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912880">
                              <w:pPr>
                                <w:kinsoku w:val="0"/>
                                <w:wordWrap w:val="0"/>
                                <w:overflowPunct w:val="0"/>
                                <w:rPr>
                                  <w:sz w:val="20"/>
                                </w:rPr>
                              </w:pPr>
                              <w:r>
                                <w:rPr>
                                  <w:rFonts w:hint="eastAsia"/>
                                  <w:sz w:val="20"/>
                                </w:rPr>
                                <w:t>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8" style="position:absolute;left:0;text-align:left;margin-left:-172pt;margin-top:-.2pt;width:11.75pt;height:696pt;z-index:251919360" coordorigin="745,1414" coordsize="235,1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" o:allowincell="f">
                <v:line id="Line 13" o:spid="_x0000_s1059" style="position:absolute;visibility:visible;mso-wrap-style:square" from="851,1414" to="851,1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NEjcQAAADbAAAADwAAAGRycy9kb3ducmV2LnhtbESPQWsCMRSE70L/Q3gFb5qtSK1bo1RB&#10;UGsPblvo8bF5Jks3L8sm6vbfm4LgcZiZb5jZonO1OFMbKs8KnoYZCOLS64qNgq/P9eAFRIjIGmvP&#10;pOCPAizmD70Z5tpf+EDnIhqRIBxyVGBjbHIpQ2nJYRj6hjh5R986jEm2RuoWLwnuajnKsmfpsOK0&#10;YLGhlaXytzg5Be+TTf1t+KfYb49h6ae7g/wwVqn+Y/f2CiJSF+/hW3ujFUzH8P8l/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80SNxAAAANsAAAAPAAAAAAAAAAAA&#10;AAAAAKECAABkcnMvZG93bnJldi54bWxQSwUGAAAAAAQABAD5AAAAkgMAAAAA&#10;">
                  <v:stroke dashstyle="1 1"/>
                </v:line>
                <v:shape id="Text Box 14" o:spid="_x0000_s1060" type="#_x0000_t202" style="position:absolute;left:745;top:5523;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Vnd8MA&#10;AADbAAAADwAAAGRycy9kb3ducmV2LnhtbESPQYvCMBSE7wv+h/CEvWmq0GWtRlFZcV28qEU8Pppn&#10;W2xeShO1/nsjCHscZuYbZjJrTSVu1LjSsoJBPwJBnFldcq4gPax63yCcR9ZYWSYFD3Iwm3Y+Jpho&#10;e+cd3fY+FwHCLkEFhfd1IqXLCjLo+rYmDt7ZNgZ9kE0udYP3ADeVHEbRlzRYclgosKZlQdllfzUK&#10;NvooF3Ea7bLTSa9/Vts4Hf7FSn122/kYhKfW/4ff7V+tYBTD60v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Vnd8MAAADbAAAADwAAAAAAAAAAAAAAAACYAgAAZHJzL2Rv&#10;d25yZXYueG1sUEsFBgAAAAAEAAQA9QAAAIgDAAAAAA==&#10;" filled="f" stroked="f">
                  <v:stroke dashstyle="1 1"/>
                  <v:textbox inset="0,0,0,0">
                    <w:txbxContent>
                      <w:p w:rsidR="00895792" w:rsidRDefault="00895792" w:rsidP="00912880">
                        <w:pPr>
                          <w:kinsoku w:val="0"/>
                          <w:wordWrap w:val="0"/>
                          <w:overflowPunct w:val="0"/>
                          <w:rPr>
                            <w:sz w:val="20"/>
                          </w:rPr>
                        </w:pPr>
                        <w:r>
                          <w:rPr>
                            <w:rFonts w:hint="eastAsia"/>
                            <w:sz w:val="20"/>
                          </w:rPr>
                          <w:t>裝</w:t>
                        </w:r>
                      </w:p>
                    </w:txbxContent>
                  </v:textbox>
                </v:shape>
                <v:shape id="Text Box 15" o:spid="_x0000_s1061" type="#_x0000_t202" style="position:absolute;left:745;top:8312;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f5AMUA&#10;AADbAAAADwAAAGRycy9kb3ducmV2LnhtbESPQWvCQBSE74X+h+UVejObCgltdBUrilp60YaS4yP7&#10;TILZtyG7Nem/7wpCj8PMfMPMl6NpxZV611hW8BLFIIhLqxuuFORf28krCOeRNbaWScEvOVguHh/m&#10;mGk78JGuJ1+JAGGXoYLa+y6T0pU1GXSR7YiDd7a9QR9kX0nd4xDgppXTOE6lwYbDQo0drWsqL6cf&#10;o+Cgv+V7ksfHsij0brP9TPLpR6LU89O4moHwNPr/8L291wreUrh9C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R/kAxQAAANsAAAAPAAAAAAAAAAAAAAAAAJgCAABkcnMv&#10;ZG93bnJldi54bWxQSwUGAAAAAAQABAD1AAAAigMAAAAA&#10;" filled="f" stroked="f">
                  <v:stroke dashstyle="1 1"/>
                  <v:textbox inset="0,0,0,0">
                    <w:txbxContent>
                      <w:p w:rsidR="00895792" w:rsidRDefault="00895792" w:rsidP="00912880">
                        <w:pPr>
                          <w:kinsoku w:val="0"/>
                          <w:wordWrap w:val="0"/>
                          <w:overflowPunct w:val="0"/>
                          <w:rPr>
                            <w:sz w:val="20"/>
                          </w:rPr>
                        </w:pPr>
                        <w:r>
                          <w:rPr>
                            <w:rFonts w:hint="eastAsia"/>
                            <w:sz w:val="20"/>
                          </w:rPr>
                          <w:t>訂</w:t>
                        </w:r>
                      </w:p>
                    </w:txbxContent>
                  </v:textbox>
                </v:shape>
                <v:shape id="Text Box 16" o:spid="_x0000_s1062" type="#_x0000_t202" style="position:absolute;left:745;top:11127;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tcm8UA&#10;AADbAAAADwAAAGRycy9kb3ducmV2LnhtbESPT2vCQBTE7wW/w/IKvemmgfgndRUtDVrxog3F4yP7&#10;mgSzb0N2q/HbdwWhx2FmfsPMl71pxIU6V1tW8DqKQBAXVtdcKsi/suEUhPPIGhvLpOBGDpaLwdMc&#10;U22vfKDL0ZciQNilqKDyvk2ldEVFBt3ItsTB+7GdQR9kV0rd4TXATSPjKBpLgzWHhQpbeq+oOB9/&#10;jYJP/S3XSR4ditNJbz6yfZLHu0Spl+d+9QbCU+//w4/2ViuYTeD+Jfw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C1ybxQAAANsAAAAPAAAAAAAAAAAAAAAAAJgCAABkcnMv&#10;ZG93bnJldi54bWxQSwUGAAAAAAQABAD1AAAAigMAAAAA&#10;" filled="f" stroked="f">
                  <v:stroke dashstyle="1 1"/>
                  <v:textbox inset="0,0,0,0">
                    <w:txbxContent>
                      <w:p w:rsidR="00895792" w:rsidRDefault="00895792" w:rsidP="00912880">
                        <w:pPr>
                          <w:kinsoku w:val="0"/>
                          <w:wordWrap w:val="0"/>
                          <w:overflowPunct w:val="0"/>
                          <w:rPr>
                            <w:sz w:val="20"/>
                          </w:rPr>
                        </w:pPr>
                        <w:r>
                          <w:rPr>
                            <w:rFonts w:hint="eastAsia"/>
                            <w:sz w:val="20"/>
                          </w:rPr>
                          <w:t>線</w:t>
                        </w:r>
                      </w:p>
                    </w:txbxContent>
                  </v:textbox>
                </v:shape>
                <w10:anchorlock/>
              </v:group>
            </w:pict>
          </mc:Fallback>
        </mc:AlternateContent>
      </w:r>
      <w:r w:rsidRPr="00AC77DF">
        <w:rPr>
          <w:noProof/>
        </w:rPr>
        <mc:AlternateContent>
          <mc:Choice Requires="wps">
            <w:drawing>
              <wp:anchor distT="0" distB="0" distL="114300" distR="114300" simplePos="0" relativeHeight="251918336" behindDoc="0" locked="1" layoutInCell="0" allowOverlap="1" wp14:anchorId="4CC44A24" wp14:editId="215D37B3">
                <wp:simplePos x="0" y="0"/>
                <wp:positionH relativeFrom="column">
                  <wp:posOffset>-609600</wp:posOffset>
                </wp:positionH>
                <wp:positionV relativeFrom="page">
                  <wp:posOffset>443230</wp:posOffset>
                </wp:positionV>
                <wp:extent cx="636905" cy="396240"/>
                <wp:effectExtent l="9525" t="5080" r="10795" b="8255"/>
                <wp:wrapNone/>
                <wp:docPr id="98" name="函正本"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832" w:rsidRDefault="00970832" w:rsidP="00912880">
                            <w:pPr>
                              <w:jc w:val="center"/>
                              <w:rPr>
                                <w:color w:val="000000"/>
                                <w:sz w:val="36"/>
                              </w:rPr>
                            </w:pPr>
                            <w:r>
                              <w:rPr>
                                <w:rFonts w:hint="eastAsia"/>
                                <w:color w:val="000000"/>
                                <w:sz w:val="36"/>
                              </w:rPr>
                              <w:t>正本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left:0;text-align:left;margin-left:-48pt;margin-top:34.9pt;width:50.15pt;height:31.2pt;z-index:251918336;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" o:allowincell="f" filled="f">
                <v:textbox inset=".5mm,,.5mm">
                  <w:txbxContent>
                    <w:p w:rsidR="00895792" w:rsidRDefault="00895792" w:rsidP="00912880">
                      <w:pPr>
                        <w:jc w:val="center"/>
                        <w:rPr>
                          <w:color w:val="000000"/>
                          <w:sz w:val="36"/>
                        </w:rPr>
                      </w:pPr>
                      <w:r>
                        <w:rPr>
                          <w:rFonts w:hint="eastAsia"/>
                          <w:color w:val="000000"/>
                          <w:sz w:val="36"/>
                        </w:rPr>
                        <w:t>正本</w:t>
                      </w:r>
                    </w:p>
                  </w:txbxContent>
                </v:textbox>
                <w10:wrap anchory="page"/>
                <w10:anchorlock/>
              </v:shape>
            </w:pict>
          </mc:Fallback>
        </mc:AlternateContent>
      </w:r>
      <w:r w:rsidRPr="00AC77DF">
        <w:rPr>
          <w:noProof/>
        </w:rPr>
        <mc:AlternateContent>
          <mc:Choice Requires="wps">
            <w:drawing>
              <wp:anchor distT="0" distB="0" distL="114300" distR="114300" simplePos="0" relativeHeight="251917312" behindDoc="0" locked="1" layoutInCell="0" allowOverlap="1" wp14:anchorId="102E81BB" wp14:editId="6333A325">
                <wp:simplePos x="0" y="0"/>
                <wp:positionH relativeFrom="column">
                  <wp:posOffset>-609600</wp:posOffset>
                </wp:positionH>
                <wp:positionV relativeFrom="page">
                  <wp:posOffset>442595</wp:posOffset>
                </wp:positionV>
                <wp:extent cx="636905" cy="396240"/>
                <wp:effectExtent l="9525" t="13970" r="10795" b="8890"/>
                <wp:wrapNone/>
                <wp:docPr id="99" name="函副本"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832" w:rsidRDefault="00970832" w:rsidP="00912880">
                            <w:pPr>
                              <w:jc w:val="center"/>
                              <w:rPr>
                                <w:color w:val="000000"/>
                                <w:sz w:val="36"/>
                              </w:rPr>
                            </w:pPr>
                            <w:r>
                              <w:rPr>
                                <w:rFonts w:hint="eastAsia"/>
                                <w:color w:val="000000"/>
                                <w:sz w:val="36"/>
                              </w:rPr>
                              <w:t>副本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left:0;text-align:left;margin-left:-48pt;margin-top:34.85pt;width:50.15pt;height:31.2pt;z-index:251917312;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" o:allowincell="f" filled="f">
                <v:textbox inset=".5mm,,.5mm">
                  <w:txbxContent>
                    <w:p w:rsidR="00895792" w:rsidRDefault="00895792" w:rsidP="00912880">
                      <w:pPr>
                        <w:jc w:val="center"/>
                        <w:rPr>
                          <w:color w:val="000000"/>
                          <w:sz w:val="36"/>
                        </w:rPr>
                      </w:pPr>
                      <w:r>
                        <w:rPr>
                          <w:rFonts w:hint="eastAsia"/>
                          <w:color w:val="000000"/>
                          <w:sz w:val="36"/>
                        </w:rPr>
                        <w:t>副本</w:t>
                      </w:r>
                    </w:p>
                  </w:txbxContent>
                </v:textbox>
                <w10:wrap anchory="page"/>
                <w10:anchorlock/>
              </v:shape>
            </w:pict>
          </mc:Fallback>
        </mc:AlternateContent>
      </w:r>
      <w:r w:rsidRPr="00AC77DF">
        <w:rPr>
          <w:noProof/>
        </w:rPr>
        <mc:AlternateContent>
          <mc:Choice Requires="wps">
            <w:drawing>
              <wp:anchor distT="0" distB="0" distL="114300" distR="114300" simplePos="0" relativeHeight="251916288" behindDoc="0" locked="1" layoutInCell="0" allowOverlap="1" wp14:anchorId="4F06B5D5" wp14:editId="4F7A7BBA">
                <wp:simplePos x="0" y="0"/>
                <wp:positionH relativeFrom="column">
                  <wp:posOffset>2819400</wp:posOffset>
                </wp:positionH>
                <wp:positionV relativeFrom="page">
                  <wp:posOffset>443230</wp:posOffset>
                </wp:positionV>
                <wp:extent cx="1440180" cy="360045"/>
                <wp:effectExtent l="9525" t="5080" r="7620" b="6350"/>
                <wp:wrapNone/>
                <wp:docPr id="100" name="首長大名"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970832" w:rsidRDefault="00970832" w:rsidP="00912880">
                            <w:r>
                              <w:rPr>
                                <w:rFonts w:hint="eastAsia"/>
                              </w:rPr>
                              <w:t>院長王○○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5" type="#_x0000_t202" style="position:absolute;left:0;text-align:left;margin-left:222pt;margin-top:34.9pt;width:113.4pt;height:28.35pt;z-index:251916288;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" o:allowincell="f">
                <v:textbox>
                  <w:txbxContent>
                    <w:p w:rsidR="00895792" w:rsidRDefault="00895792" w:rsidP="00912880">
                      <w:r>
                        <w:rPr>
                          <w:rFonts w:hint="eastAsia"/>
                        </w:rPr>
                        <w:t>院長王○○</w:t>
                      </w:r>
                    </w:p>
                  </w:txbxContent>
                </v:textbox>
                <w10:wrap anchory="page"/>
                <w10:anchorlock/>
              </v:shape>
            </w:pict>
          </mc:Fallback>
        </mc:AlternateContent>
      </w:r>
      <w:r w:rsidRPr="00AC77DF">
        <w:rPr>
          <w:noProof/>
        </w:rPr>
        <mc:AlternateContent>
          <mc:Choice Requires="wps">
            <w:drawing>
              <wp:anchor distT="0" distB="0" distL="114300" distR="114300" simplePos="0" relativeHeight="251915264" behindDoc="0" locked="1" layoutInCell="0" allowOverlap="1" wp14:anchorId="28E9761F" wp14:editId="1F655E27">
                <wp:simplePos x="0" y="0"/>
                <wp:positionH relativeFrom="column">
                  <wp:posOffset>1381125</wp:posOffset>
                </wp:positionH>
                <wp:positionV relativeFrom="page">
                  <wp:posOffset>443230</wp:posOffset>
                </wp:positionV>
                <wp:extent cx="1440180" cy="360045"/>
                <wp:effectExtent l="9525" t="5080" r="7620" b="6350"/>
                <wp:wrapNone/>
                <wp:docPr id="101" name="文別"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970832" w:rsidRDefault="00970832" w:rsidP="00912880">
                            <w:pPr>
                              <w:rPr>
                                <w:rFonts w:ascii="標楷體"/>
                              </w:rPr>
                            </w:pPr>
                            <w:r>
                              <w:rPr>
                                <w:rFonts w:ascii="標楷體" w:hint="eastAsia"/>
                              </w:rPr>
                              <w:t>函;函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6" type="#_x0000_t202" style="position:absolute;left:0;text-align:left;margin-left:108.75pt;margin-top:34.9pt;width:113.4pt;height:28.35pt;z-index:251915264;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" o:allowincell="f">
                <v:textbox>
                  <w:txbxContent>
                    <w:p w:rsidR="00895792" w:rsidRDefault="00895792" w:rsidP="00912880">
                      <w:pPr>
                        <w:rPr>
                          <w:rFonts w:ascii="標楷體"/>
                        </w:rPr>
                      </w:pPr>
                      <w:r>
                        <w:rPr>
                          <w:rFonts w:ascii="標楷體" w:hint="eastAsia"/>
                        </w:rPr>
                        <w:t>函;函</w:t>
                      </w:r>
                    </w:p>
                  </w:txbxContent>
                </v:textbox>
                <w10:wrap anchory="page"/>
                <w10:anchorlock/>
              </v:shape>
            </w:pict>
          </mc:Fallback>
        </mc:AlternateContent>
      </w:r>
      <w:r w:rsidRPr="00AC77DF">
        <w:rPr>
          <w:rFonts w:ascii="細明體" w:eastAsia="細明體" w:hAnsi="細明體" w:cs="細明體" w:hint="eastAsia"/>
        </w:rPr>
        <w:t xml:space="preserve">　</w:t>
      </w:r>
      <w:r w:rsidRPr="00AC77DF">
        <w:rPr>
          <w:rFonts w:hAnsi="華康粗黑體" w:cs="華康粗黑體" w:hint="eastAsia"/>
        </w:rPr>
        <w:t>司法正</w:t>
      </w:r>
      <w:r w:rsidRPr="00AC77DF">
        <w:t>義</w:t>
      </w:r>
      <w:bookmarkEnd w:id="97"/>
      <w:bookmarkEnd w:id="98"/>
    </w:p>
    <w:p w:rsidR="003807A5" w:rsidRPr="00AC77DF" w:rsidRDefault="00EA65C5" w:rsidP="00B7222B">
      <w:pPr>
        <w:pStyle w:val="1---"/>
        <w:ind w:firstLine="480"/>
        <w:rPr>
          <w:lang w:eastAsia="zh-TW"/>
        </w:rPr>
      </w:pPr>
      <w:r>
        <w:rPr>
          <w:rFonts w:hint="eastAsia"/>
          <w:lang w:val="en-US"/>
        </w:rPr>
        <w:t>人權的促進與實施，</w:t>
      </w:r>
      <w:r w:rsidR="00BC6854">
        <w:rPr>
          <w:rFonts w:hint="eastAsia"/>
          <w:lang w:val="en-US" w:eastAsia="zh-TW"/>
        </w:rPr>
        <w:t>往往須</w:t>
      </w:r>
      <w:r>
        <w:rPr>
          <w:rFonts w:hint="eastAsia"/>
          <w:lang w:val="en-US"/>
        </w:rPr>
        <w:t>憑藉公正合理的法律架構而得享有。</w:t>
      </w:r>
      <w:r w:rsidR="003807A5" w:rsidRPr="00AC77DF">
        <w:rPr>
          <w:lang w:val="en-US"/>
        </w:rPr>
        <w:t>在</w:t>
      </w:r>
      <w:r w:rsidR="003807A5" w:rsidRPr="00AC77DF">
        <w:t>人類演進的過程中，司法正義隨著時空背景而有不同的新意。過去君王時代，人民的言論自由多受到限制</w:t>
      </w:r>
      <w:r w:rsidR="003807A5" w:rsidRPr="00AC77DF">
        <w:rPr>
          <w:lang w:eastAsia="zh-TW"/>
        </w:rPr>
        <w:t>，</w:t>
      </w:r>
      <w:r w:rsidR="003807A5" w:rsidRPr="00AC77DF">
        <w:t>君主的立場即代表司法的判斷</w:t>
      </w:r>
      <w:r w:rsidR="003807A5" w:rsidRPr="00AC77DF">
        <w:rPr>
          <w:lang w:eastAsia="zh-TW"/>
        </w:rPr>
        <w:t>；</w:t>
      </w:r>
      <w:r w:rsidR="003807A5" w:rsidRPr="00AC77DF">
        <w:t>時至今日，當自由與平等權發展到一定程度</w:t>
      </w:r>
      <w:r w:rsidR="003807A5" w:rsidRPr="00AC77DF">
        <w:rPr>
          <w:lang w:eastAsia="zh-TW"/>
        </w:rPr>
        <w:t>，</w:t>
      </w:r>
      <w:r w:rsidR="003807A5" w:rsidRPr="00AC77DF">
        <w:t>一人的裁決往往肩負眾人的評斷</w:t>
      </w:r>
      <w:r w:rsidR="003807A5" w:rsidRPr="00AC77DF">
        <w:rPr>
          <w:lang w:eastAsia="zh-TW"/>
        </w:rPr>
        <w:t>。</w:t>
      </w:r>
      <w:r w:rsidR="003807A5" w:rsidRPr="00AC77DF">
        <w:t>人民對於司法的要求，也從專斷走向合理正義</w:t>
      </w:r>
      <w:r w:rsidR="003807A5" w:rsidRPr="00AC77DF">
        <w:rPr>
          <w:lang w:eastAsia="zh-TW"/>
        </w:rPr>
        <w:t>。</w:t>
      </w:r>
      <w:r w:rsidR="003807A5" w:rsidRPr="00AC77DF">
        <w:t>除司法的判斷之外，司法的程序正當性，亦扮演關鍵性角色。程序的不正當，易遭致證據的扭曲，進而影響事實的判斷。</w:t>
      </w:r>
    </w:p>
    <w:p w:rsidR="003807A5" w:rsidRPr="00AC77DF" w:rsidRDefault="003807A5" w:rsidP="00B7222B">
      <w:pPr>
        <w:pStyle w:val="1---"/>
        <w:ind w:firstLine="480"/>
        <w:rPr>
          <w:kern w:val="0"/>
        </w:rPr>
      </w:pPr>
      <w:r w:rsidRPr="00AC77DF">
        <w:t>世界人權宣言第</w:t>
      </w:r>
      <w:r w:rsidRPr="00AC77DF">
        <w:t>10</w:t>
      </w:r>
      <w:r w:rsidRPr="00AC77DF">
        <w:t>條揭示「人人完全平等地有權由一個獨立而無偏倚的法庭進行公正和公開的審訊，以確定他的權利和義務，並判定對他提出的任何刑事指控」的一般性權利；另第</w:t>
      </w:r>
      <w:r w:rsidRPr="00AC77DF">
        <w:t>11</w:t>
      </w:r>
      <w:r w:rsidRPr="00AC77DF">
        <w:t>條第</w:t>
      </w:r>
      <w:r w:rsidRPr="00AC77DF">
        <w:t>1</w:t>
      </w:r>
      <w:r w:rsidRPr="00AC77DF">
        <w:t>項、第</w:t>
      </w:r>
      <w:r w:rsidRPr="00AC77DF">
        <w:t>2</w:t>
      </w:r>
      <w:r w:rsidRPr="00AC77DF">
        <w:t>項分別揭示「無罪推定原則」和「罪刑法定原則</w:t>
      </w:r>
      <w:r w:rsidRPr="004F2226">
        <w:rPr>
          <w:spacing w:val="-30"/>
        </w:rPr>
        <w:t>」：</w:t>
      </w:r>
      <w:r w:rsidRPr="00AC77DF">
        <w:t>「凡受刑事控告者，在未經獲得辯護上所需的一切保證的公開審判而依法證實有罪以前，有權被視為無罪</w:t>
      </w:r>
      <w:r w:rsidRPr="004F2226">
        <w:rPr>
          <w:spacing w:val="-30"/>
        </w:rPr>
        <w:t>。」；</w:t>
      </w:r>
      <w:r w:rsidRPr="00AC77DF">
        <w:t>「任何人的任何行為或不行為，在其發生時依國家法或國際法均不構成刑事罪者，不得被判為犯有刑事罪。刑罰不得重於犯罪時適用的法律規定</w:t>
      </w:r>
      <w:r w:rsidRPr="004F2226">
        <w:rPr>
          <w:spacing w:val="-30"/>
        </w:rPr>
        <w:t>。</w:t>
      </w:r>
      <w:r w:rsidRPr="00AC77DF">
        <w:t>」公民與政治權利國際公約第</w:t>
      </w:r>
      <w:r w:rsidRPr="00AC77DF">
        <w:t>14</w:t>
      </w:r>
      <w:r w:rsidRPr="00AC77DF">
        <w:t>條第</w:t>
      </w:r>
      <w:r w:rsidRPr="00AC77DF">
        <w:t>1</w:t>
      </w:r>
      <w:r w:rsidRPr="00AC77DF">
        <w:t>項規定</w:t>
      </w:r>
      <w:r w:rsidRPr="004F2226">
        <w:rPr>
          <w:spacing w:val="-30"/>
        </w:rPr>
        <w:t>：</w:t>
      </w:r>
      <w:r w:rsidRPr="00AC77DF">
        <w:t>「人人在法院或法庭之前，悉屬平等。任何人受刑事控告或因其權利義務涉訟須予判定時，應有權受獨立無私之法定管轄法庭公正公開審問</w:t>
      </w:r>
      <w:r w:rsidRPr="004F2226">
        <w:rPr>
          <w:spacing w:val="-30"/>
        </w:rPr>
        <w:t>。</w:t>
      </w:r>
      <w:r w:rsidRPr="00AC77DF">
        <w:t>」所謂法院或法庭前平等的權利，超出法律前平等的權利，指的是由司法機關對法律的具體適用；這意味著所有的人都必須被賦予一項平等訴諸法庭的權利，不</w:t>
      </w:r>
      <w:r w:rsidR="00BC6854">
        <w:rPr>
          <w:rFonts w:hint="eastAsia"/>
          <w:lang w:eastAsia="zh-TW"/>
        </w:rPr>
        <w:t>因</w:t>
      </w:r>
      <w:r w:rsidRPr="00AC77DF">
        <w:t>種</w:t>
      </w:r>
      <w:r w:rsidRPr="00AC77DF">
        <w:lastRenderedPageBreak/>
        <w:t>族、宗教、性別、財產等</w:t>
      </w:r>
      <w:r w:rsidR="00BC6854">
        <w:rPr>
          <w:rFonts w:hint="eastAsia"/>
          <w:lang w:eastAsia="zh-TW"/>
        </w:rPr>
        <w:t>有所</w:t>
      </w:r>
      <w:r w:rsidRPr="00AC77DF">
        <w:t>區別</w:t>
      </w:r>
      <w:r w:rsidRPr="00AC77DF">
        <w:rPr>
          <w:rStyle w:val="aff2"/>
          <w:kern w:val="0"/>
        </w:rPr>
        <w:footnoteReference w:id="53"/>
      </w:r>
      <w:r w:rsidRPr="00AC77DF">
        <w:t>。</w:t>
      </w:r>
    </w:p>
    <w:p w:rsidR="003807A5" w:rsidRPr="00AC77DF" w:rsidRDefault="003807A5" w:rsidP="00B7222B">
      <w:pPr>
        <w:pStyle w:val="1---"/>
        <w:ind w:firstLine="480"/>
        <w:rPr>
          <w:lang w:eastAsia="zh-TW"/>
        </w:rPr>
      </w:pPr>
      <w:r w:rsidRPr="00AC77DF">
        <w:t>公民與政治權利國際公約第</w:t>
      </w:r>
      <w:r w:rsidRPr="00AC77DF">
        <w:t>14</w:t>
      </w:r>
      <w:r w:rsidRPr="00AC77DF">
        <w:t>條第</w:t>
      </w:r>
      <w:r w:rsidRPr="00AC77DF">
        <w:t>2</w:t>
      </w:r>
      <w:r w:rsidRPr="00AC77DF">
        <w:t>項及第</w:t>
      </w:r>
      <w:r w:rsidRPr="00AC77DF">
        <w:t>15</w:t>
      </w:r>
      <w:r w:rsidRPr="00AC77DF">
        <w:t>條第</w:t>
      </w:r>
      <w:r w:rsidRPr="00AC77DF">
        <w:t>1</w:t>
      </w:r>
      <w:r w:rsidRPr="00AC77DF">
        <w:t>項提及「無罪推定」和「罪刑法定」原則。第</w:t>
      </w:r>
      <w:r w:rsidRPr="00AC77DF">
        <w:t>14</w:t>
      </w:r>
      <w:r w:rsidRPr="00AC77DF">
        <w:t>條第</w:t>
      </w:r>
      <w:r w:rsidRPr="00AC77DF">
        <w:t>2</w:t>
      </w:r>
      <w:r w:rsidRPr="00AC77DF">
        <w:t>項規定</w:t>
      </w:r>
      <w:r w:rsidRPr="004F2226">
        <w:rPr>
          <w:spacing w:val="-30"/>
        </w:rPr>
        <w:t>：</w:t>
      </w:r>
      <w:r w:rsidRPr="00AC77DF">
        <w:t>「受刑事控告之人，未經依法確定有罪以前，應假定其無罪</w:t>
      </w:r>
      <w:r w:rsidRPr="004F2226">
        <w:rPr>
          <w:spacing w:val="-30"/>
        </w:rPr>
        <w:t>。</w:t>
      </w:r>
      <w:r w:rsidRPr="00AC77DF">
        <w:t>」第</w:t>
      </w:r>
      <w:r w:rsidRPr="00AC77DF">
        <w:t>15</w:t>
      </w:r>
      <w:r w:rsidRPr="00AC77DF">
        <w:t>條第</w:t>
      </w:r>
      <w:r w:rsidRPr="00AC77DF">
        <w:t>1</w:t>
      </w:r>
      <w:r w:rsidRPr="00AC77DF">
        <w:t>項規定</w:t>
      </w:r>
      <w:r w:rsidRPr="004F2226">
        <w:rPr>
          <w:spacing w:val="-30"/>
        </w:rPr>
        <w:t>：</w:t>
      </w:r>
      <w:r w:rsidRPr="00AC77DF">
        <w:t>「任何人之行為或不行為，於發生當時依內國法及國際法均不成罪者，不為罪。刑罰不得重於犯罪時法律所規定。犯罪後之法律規定減科刑罰者，從有利於行為人之法律</w:t>
      </w:r>
      <w:r w:rsidRPr="004F2226">
        <w:rPr>
          <w:spacing w:val="-30"/>
        </w:rPr>
        <w:t>。</w:t>
      </w:r>
      <w:r w:rsidRPr="00AC77DF">
        <w:t>」</w:t>
      </w:r>
    </w:p>
    <w:p w:rsidR="003807A5" w:rsidRDefault="003807A5" w:rsidP="00B7222B">
      <w:pPr>
        <w:pStyle w:val="1---"/>
        <w:ind w:firstLine="480"/>
        <w:rPr>
          <w:lang w:eastAsia="zh-TW"/>
        </w:rPr>
      </w:pPr>
      <w:r w:rsidRPr="00AC77DF">
        <w:t>司法乃民主國家權力分立制衡之一環，其最終目標在於伸張公平與正義</w:t>
      </w:r>
      <w:r w:rsidRPr="00AC77DF">
        <w:rPr>
          <w:rStyle w:val="aff2"/>
        </w:rPr>
        <w:footnoteReference w:id="54"/>
      </w:r>
      <w:r w:rsidRPr="00AC77DF">
        <w:t>。司法的最高價值在於「確保人權，實現正義</w:t>
      </w:r>
      <w:r w:rsidRPr="004F2226">
        <w:rPr>
          <w:spacing w:val="-30"/>
        </w:rPr>
        <w:t>」</w:t>
      </w:r>
      <w:r w:rsidRPr="00AC77DF">
        <w:t>，將已受到損害的正義恢復到</w:t>
      </w:r>
      <w:r w:rsidR="00962B60">
        <w:rPr>
          <w:rFonts w:hint="eastAsia"/>
          <w:lang w:eastAsia="zh-TW"/>
        </w:rPr>
        <w:t>應</w:t>
      </w:r>
      <w:r w:rsidRPr="00AC77DF">
        <w:t>有的狀態。本章強調司法正義，其內涵除了實質正義外，尚包括程序正義。換言之，司法機關對案件的判決，不僅要判得正確、公平，符合實體法的規定和精神；偵辦與審判過程也要符合正當性、合理性、公平性與正確性等原則。此外，司法權之行使攸關人民生命、財產、自由與名譽，若稍有不慎，可能使人民成為司法審判或法令解釋下的受害者。因此，執法人員不僅須有專業</w:t>
      </w:r>
      <w:r w:rsidRPr="00AC77DF">
        <w:rPr>
          <w:lang w:eastAsia="zh-TW"/>
        </w:rPr>
        <w:t>，</w:t>
      </w:r>
      <w:r w:rsidRPr="00AC77DF">
        <w:t>其廉潔操守更是實現司法正義之核心。爰此，本章特別由司法風紀、偵辦、審判、執行及其他爭議議題摘錄相關調查案件，供各界參閱。</w:t>
      </w:r>
    </w:p>
    <w:p w:rsidR="004F2226" w:rsidRDefault="004F2226" w:rsidP="00B7222B">
      <w:pPr>
        <w:pStyle w:val="1---"/>
        <w:ind w:firstLine="480"/>
        <w:rPr>
          <w:lang w:eastAsia="zh-TW"/>
        </w:rPr>
      </w:pPr>
    </w:p>
    <w:p w:rsidR="004F2226" w:rsidRDefault="004F2226" w:rsidP="00B7222B">
      <w:pPr>
        <w:pStyle w:val="1---"/>
        <w:ind w:firstLine="480"/>
        <w:rPr>
          <w:lang w:eastAsia="zh-TW"/>
        </w:rPr>
      </w:pPr>
    </w:p>
    <w:p w:rsidR="000E4DE6" w:rsidRPr="00AC77DF" w:rsidRDefault="000E4DE6" w:rsidP="00B7222B">
      <w:pPr>
        <w:pStyle w:val="1---"/>
        <w:ind w:firstLine="480"/>
        <w:rPr>
          <w:lang w:eastAsia="zh-TW"/>
        </w:rPr>
      </w:pPr>
    </w:p>
    <w:p w:rsidR="003807A5" w:rsidRPr="000E4DE6" w:rsidRDefault="003807A5" w:rsidP="009446C7">
      <w:pPr>
        <w:pStyle w:val="11-"/>
        <w:spacing w:before="72" w:afterLines="100" w:after="360"/>
        <w:rPr>
          <w:sz w:val="32"/>
          <w:szCs w:val="32"/>
        </w:rPr>
      </w:pPr>
      <w:bookmarkStart w:id="99" w:name="_Toc535228336"/>
      <w:bookmarkStart w:id="100" w:name="_Toc4058747"/>
      <w:r w:rsidRPr="000E4DE6">
        <w:rPr>
          <w:rFonts w:hint="eastAsia"/>
          <w:sz w:val="32"/>
          <w:szCs w:val="32"/>
        </w:rPr>
        <w:lastRenderedPageBreak/>
        <w:t>一、執法風紀案件</w:t>
      </w:r>
      <w:bookmarkEnd w:id="99"/>
      <w:bookmarkEnd w:id="100"/>
    </w:p>
    <w:tbl>
      <w:tblPr>
        <w:tblStyle w:val="aff5"/>
        <w:tblW w:w="0" w:type="auto"/>
        <w:tblInd w:w="113" w:type="dxa"/>
        <w:shd w:val="clear" w:color="auto" w:fill="D9D9D9" w:themeFill="background1" w:themeFillShade="D9"/>
        <w:tblLook w:val="04A0" w:firstRow="1" w:lastRow="0" w:firstColumn="1" w:lastColumn="0" w:noHBand="0" w:noVBand="1"/>
      </w:tblPr>
      <w:tblGrid>
        <w:gridCol w:w="3681"/>
      </w:tblGrid>
      <w:tr w:rsidR="004F2226" w:rsidTr="004F2226">
        <w:tc>
          <w:tcPr>
            <w:tcW w:w="3681" w:type="dxa"/>
            <w:shd w:val="clear" w:color="auto" w:fill="D9D9D9" w:themeFill="background1" w:themeFillShade="D9"/>
          </w:tcPr>
          <w:p w:rsidR="004F2226" w:rsidRDefault="004F2226" w:rsidP="004F2226">
            <w:pPr>
              <w:pStyle w:val="11-"/>
              <w:spacing w:before="72" w:after="108"/>
              <w:rPr>
                <w:bdr w:val="none" w:sz="0" w:space="0" w:color="auto" w:frame="1"/>
              </w:rPr>
            </w:pPr>
            <w:bookmarkStart w:id="101" w:name="_Toc527731095"/>
            <w:bookmarkStart w:id="102" w:name="_Toc535228337"/>
            <w:bookmarkStart w:id="103" w:name="_Toc4058748"/>
            <w:r w:rsidRPr="00AC77DF">
              <w:rPr>
                <w:bdr w:val="none" w:sz="0" w:space="0" w:color="auto" w:frame="1"/>
              </w:rPr>
              <w:t>檢察官媒介少女性交易</w:t>
            </w:r>
            <w:r w:rsidRPr="00AC77DF">
              <w:rPr>
                <w:bdr w:val="none" w:sz="0" w:space="0" w:color="auto" w:frame="1"/>
                <w:lang w:eastAsia="zh-HK"/>
              </w:rPr>
              <w:t>案</w:t>
            </w:r>
          </w:p>
        </w:tc>
      </w:tr>
    </w:tbl>
    <w:p w:rsidR="004F2226" w:rsidRPr="00EA2D85" w:rsidRDefault="004F2226" w:rsidP="00EA2D85">
      <w:pPr>
        <w:pStyle w:val="1---"/>
        <w:ind w:firstLine="480"/>
      </w:pPr>
    </w:p>
    <w:tbl>
      <w:tblPr>
        <w:tblStyle w:val="aff5"/>
        <w:tblW w:w="4756" w:type="pct"/>
        <w:tblInd w:w="113" w:type="dxa"/>
        <w:tblLook w:val="04A0" w:firstRow="1" w:lastRow="0" w:firstColumn="1" w:lastColumn="0" w:noHBand="0" w:noVBand="1"/>
      </w:tblPr>
      <w:tblGrid>
        <w:gridCol w:w="6516"/>
      </w:tblGrid>
      <w:tr w:rsidR="00FD653B" w:rsidTr="004F2226">
        <w:tc>
          <w:tcPr>
            <w:tcW w:w="5000" w:type="pct"/>
          </w:tcPr>
          <w:p w:rsidR="00FD653B" w:rsidRPr="00AC77DF" w:rsidRDefault="00FD653B" w:rsidP="004F2226">
            <w:pPr>
              <w:spacing w:line="360" w:lineRule="exact"/>
              <w:jc w:val="both"/>
              <w:rPr>
                <w:lang w:val="x-none"/>
              </w:rPr>
            </w:pPr>
            <w:bookmarkStart w:id="104" w:name="_Toc527731096"/>
            <w:bookmarkEnd w:id="101"/>
            <w:bookmarkEnd w:id="102"/>
            <w:bookmarkEnd w:id="103"/>
            <w:r w:rsidRPr="00AC77DF">
              <w:rPr>
                <w:b/>
                <w:lang w:val="x-none"/>
              </w:rPr>
              <w:t>相關國際人權公約：</w:t>
            </w:r>
            <w:r w:rsidRPr="00AC77DF">
              <w:t>兒童權利公約第</w:t>
            </w:r>
            <w:r w:rsidRPr="00AC77DF">
              <w:t>2</w:t>
            </w:r>
            <w:r w:rsidRPr="00AC77DF">
              <w:t>條、第</w:t>
            </w:r>
            <w:r w:rsidRPr="00AC77DF">
              <w:t>3</w:t>
            </w:r>
            <w:r w:rsidRPr="00AC77DF">
              <w:t>條、第</w:t>
            </w:r>
            <w:r w:rsidRPr="00AC77DF">
              <w:t>6</w:t>
            </w:r>
            <w:r w:rsidRPr="00AC77DF">
              <w:t>條</w:t>
            </w:r>
          </w:p>
          <w:p w:rsidR="00FD653B" w:rsidRPr="00AC77DF" w:rsidRDefault="00FD653B" w:rsidP="004F2226">
            <w:pPr>
              <w:spacing w:line="360" w:lineRule="exact"/>
              <w:jc w:val="both"/>
              <w:rPr>
                <w:b/>
                <w:lang w:val="x-none"/>
              </w:rPr>
            </w:pPr>
            <w:r w:rsidRPr="00AC77DF">
              <w:rPr>
                <w:b/>
              </w:rPr>
              <w:t>兒童權利公約第</w:t>
            </w:r>
            <w:r w:rsidRPr="00AC77DF">
              <w:rPr>
                <w:b/>
              </w:rPr>
              <w:t>2</w:t>
            </w:r>
            <w:r w:rsidRPr="00AC77DF">
              <w:rPr>
                <w:b/>
              </w:rPr>
              <w:t>條</w:t>
            </w:r>
          </w:p>
          <w:p w:rsidR="00FD653B" w:rsidRPr="00AC77DF" w:rsidRDefault="00FD653B" w:rsidP="00EA2D85">
            <w:pPr>
              <w:spacing w:line="360" w:lineRule="exact"/>
              <w:ind w:left="192" w:hangingChars="80" w:hanging="192"/>
              <w:jc w:val="both"/>
              <w:rPr>
                <w:lang w:val="x-none"/>
              </w:rPr>
            </w:pPr>
            <w:r w:rsidRPr="00AC77DF">
              <w:rPr>
                <w:lang w:val="x-none"/>
              </w:rPr>
              <w:t>1.</w:t>
            </w:r>
            <w:r w:rsidRPr="00AC77DF">
              <w:rPr>
                <w:lang w:val="x-none"/>
              </w:rPr>
              <w:t>締約國應尊重本公約所揭櫫之權利，確保其管轄範圍內之每一兒童均享有此等權利，不因兒童、父母或法定監護人之種族、膚色、性別、語言、宗教、政治或其他主張、國籍、族裔或社會背景、財產、身心障礙、出生或其他身分地位之不同而有所歧視。</w:t>
            </w:r>
            <w:r w:rsidRPr="00AC77DF">
              <w:rPr>
                <w:lang w:val="x-none"/>
              </w:rPr>
              <w:t xml:space="preserve"> </w:t>
            </w:r>
          </w:p>
          <w:p w:rsidR="00FD653B" w:rsidRPr="00AC77DF" w:rsidRDefault="00FD653B" w:rsidP="00EA2D85">
            <w:pPr>
              <w:spacing w:line="360" w:lineRule="exact"/>
              <w:ind w:left="192" w:hangingChars="80" w:hanging="192"/>
              <w:jc w:val="both"/>
              <w:rPr>
                <w:lang w:val="x-none"/>
              </w:rPr>
            </w:pPr>
            <w:r w:rsidRPr="00AC77DF">
              <w:rPr>
                <w:lang w:val="x-none"/>
              </w:rPr>
              <w:t>2.</w:t>
            </w:r>
            <w:r w:rsidRPr="00AC77DF">
              <w:rPr>
                <w:lang w:val="x-none"/>
              </w:rPr>
              <w:t>締約國應採取所有適當措施確保兒童得到保護，免於因兒童父母、法定監護人或家庭成員之身分、行為、意見或信念之關係而遭受到一切形式之歧視或懲罰。</w:t>
            </w:r>
          </w:p>
          <w:p w:rsidR="00FD653B" w:rsidRPr="00AC77DF" w:rsidRDefault="00FD653B" w:rsidP="004F2226">
            <w:pPr>
              <w:spacing w:line="360" w:lineRule="exact"/>
              <w:jc w:val="both"/>
              <w:rPr>
                <w:b/>
                <w:lang w:val="x-none"/>
              </w:rPr>
            </w:pPr>
            <w:r w:rsidRPr="00AC77DF">
              <w:rPr>
                <w:b/>
              </w:rPr>
              <w:t>兒童權利公約第</w:t>
            </w:r>
            <w:r w:rsidRPr="00AC77DF">
              <w:rPr>
                <w:b/>
              </w:rPr>
              <w:t>3</w:t>
            </w:r>
            <w:r w:rsidRPr="00AC77DF">
              <w:rPr>
                <w:b/>
              </w:rPr>
              <w:t>條</w:t>
            </w:r>
          </w:p>
          <w:p w:rsidR="00FD653B" w:rsidRPr="00AC77DF" w:rsidRDefault="00FD653B" w:rsidP="00EA2D85">
            <w:pPr>
              <w:spacing w:line="360" w:lineRule="exact"/>
              <w:ind w:left="192" w:hangingChars="80" w:hanging="192"/>
              <w:jc w:val="both"/>
              <w:rPr>
                <w:lang w:val="x-none"/>
              </w:rPr>
            </w:pPr>
            <w:r w:rsidRPr="00AC77DF">
              <w:rPr>
                <w:lang w:val="x-none"/>
              </w:rPr>
              <w:t>1.</w:t>
            </w:r>
            <w:r w:rsidRPr="00AC77DF">
              <w:rPr>
                <w:lang w:val="x-none"/>
              </w:rPr>
              <w:t>所有關係兒童之事務，無論是由公私社會福利機構、法院、行政機關或立法機關作為，均應以兒童最佳利益為優先考量。</w:t>
            </w:r>
            <w:r w:rsidRPr="00AC77DF">
              <w:rPr>
                <w:lang w:val="x-none"/>
              </w:rPr>
              <w:t xml:space="preserve"> </w:t>
            </w:r>
          </w:p>
          <w:p w:rsidR="00FD653B" w:rsidRPr="00AC77DF" w:rsidRDefault="00FD653B" w:rsidP="00EA2D85">
            <w:pPr>
              <w:spacing w:line="360" w:lineRule="exact"/>
              <w:ind w:left="192" w:hangingChars="80" w:hanging="192"/>
              <w:jc w:val="both"/>
              <w:rPr>
                <w:lang w:val="x-none"/>
              </w:rPr>
            </w:pPr>
            <w:r w:rsidRPr="00AC77DF">
              <w:rPr>
                <w:lang w:val="x-none"/>
              </w:rPr>
              <w:t>2.</w:t>
            </w:r>
            <w:r w:rsidRPr="00AC77DF">
              <w:rPr>
                <w:lang w:val="x-none"/>
              </w:rPr>
              <w:t>締約國承諾為確保兒童福祉所必要之保護與照顧，應考量其父母、法定監護人或其他對其負有法律責任者之權利及義務，並採取一切適當之立法及行政措施達成之。</w:t>
            </w:r>
            <w:r w:rsidRPr="00AC77DF">
              <w:rPr>
                <w:lang w:val="x-none"/>
              </w:rPr>
              <w:t xml:space="preserve"> </w:t>
            </w:r>
          </w:p>
          <w:p w:rsidR="00FD653B" w:rsidRPr="00AC77DF" w:rsidRDefault="00FD653B" w:rsidP="00EA2D85">
            <w:pPr>
              <w:spacing w:line="360" w:lineRule="exact"/>
              <w:ind w:left="192" w:hangingChars="80" w:hanging="192"/>
              <w:jc w:val="both"/>
              <w:rPr>
                <w:lang w:val="x-none"/>
              </w:rPr>
            </w:pPr>
            <w:r w:rsidRPr="00AC77DF">
              <w:rPr>
                <w:lang w:val="x-none"/>
              </w:rPr>
              <w:t>3.</w:t>
            </w:r>
            <w:r w:rsidRPr="00AC77DF">
              <w:rPr>
                <w:lang w:val="x-none"/>
              </w:rPr>
              <w:t>締約國應確保負責照顧與保護兒童之機構、服務與設施符合主管機關所訂之標準，特別在安全、保健、工作人員數量與資格及有效監督等方面。</w:t>
            </w:r>
          </w:p>
          <w:p w:rsidR="00FD653B" w:rsidRPr="00AC77DF" w:rsidRDefault="00FD653B" w:rsidP="004F2226">
            <w:pPr>
              <w:spacing w:line="360" w:lineRule="exact"/>
              <w:jc w:val="both"/>
              <w:rPr>
                <w:b/>
                <w:lang w:val="x-none"/>
              </w:rPr>
            </w:pPr>
            <w:r w:rsidRPr="00AC77DF">
              <w:rPr>
                <w:b/>
              </w:rPr>
              <w:lastRenderedPageBreak/>
              <w:t>兒童權利公約第</w:t>
            </w:r>
            <w:r w:rsidRPr="00AC77DF">
              <w:rPr>
                <w:b/>
              </w:rPr>
              <w:t>6</w:t>
            </w:r>
            <w:r w:rsidRPr="00AC77DF">
              <w:rPr>
                <w:b/>
              </w:rPr>
              <w:t>條</w:t>
            </w:r>
          </w:p>
          <w:p w:rsidR="00FD653B" w:rsidRPr="00AC77DF" w:rsidRDefault="00FD653B" w:rsidP="00EA2D85">
            <w:pPr>
              <w:spacing w:line="360" w:lineRule="exact"/>
              <w:ind w:left="192" w:hangingChars="80" w:hanging="192"/>
              <w:jc w:val="both"/>
              <w:rPr>
                <w:lang w:val="x-none"/>
              </w:rPr>
            </w:pPr>
            <w:r w:rsidRPr="00AC77DF">
              <w:rPr>
                <w:lang w:val="x-none"/>
              </w:rPr>
              <w:t>1.</w:t>
            </w:r>
            <w:r w:rsidRPr="00AC77DF">
              <w:rPr>
                <w:lang w:val="x-none"/>
              </w:rPr>
              <w:t>締約國承認兒童有與生俱來之生命權。</w:t>
            </w:r>
            <w:r w:rsidRPr="00AC77DF">
              <w:rPr>
                <w:lang w:val="x-none"/>
              </w:rPr>
              <w:t xml:space="preserve"> </w:t>
            </w:r>
          </w:p>
          <w:p w:rsidR="00FD653B" w:rsidRDefault="00FD653B" w:rsidP="00EA2D85">
            <w:pPr>
              <w:spacing w:line="360" w:lineRule="exact"/>
              <w:ind w:left="192" w:hangingChars="80" w:hanging="192"/>
              <w:jc w:val="both"/>
            </w:pPr>
            <w:r w:rsidRPr="00AC77DF">
              <w:rPr>
                <w:lang w:val="x-none"/>
              </w:rPr>
              <w:t>2.</w:t>
            </w:r>
            <w:r w:rsidRPr="00AC77DF">
              <w:rPr>
                <w:lang w:val="x-none"/>
              </w:rPr>
              <w:t>締約國應盡最大可能確保兒童之生存及發展。</w:t>
            </w:r>
          </w:p>
        </w:tc>
      </w:tr>
    </w:tbl>
    <w:p w:rsidR="003807A5" w:rsidRPr="00AC77DF" w:rsidRDefault="00270354" w:rsidP="00C55320">
      <w:pPr>
        <w:pStyle w:val="afff1"/>
        <w:spacing w:before="360" w:after="360"/>
      </w:pPr>
      <w:r>
        <w:rPr>
          <w:rFonts w:hint="eastAsia"/>
        </w:rPr>
        <w:lastRenderedPageBreak/>
        <w:t>(一)</w:t>
      </w:r>
      <w:r w:rsidR="003807A5" w:rsidRPr="00AC77DF">
        <w:t>案情簡述</w:t>
      </w:r>
      <w:bookmarkEnd w:id="104"/>
    </w:p>
    <w:p w:rsidR="003807A5" w:rsidRPr="00AC77DF" w:rsidRDefault="003807A5" w:rsidP="00EA2D85">
      <w:pPr>
        <w:pStyle w:val="1---"/>
        <w:ind w:firstLine="480"/>
        <w:jc w:val="distribute"/>
      </w:pPr>
      <w:r w:rsidRPr="00AC77DF">
        <w:t>據悉，臺灣彰化地方檢察署（簡稱彰化地檢署）檢察官蔡曉崙，疑與</w:t>
      </w:r>
      <w:r w:rsidRPr="00AC77DF">
        <w:t>16</w:t>
      </w:r>
      <w:r w:rsidRPr="00AC77DF">
        <w:t>歲少女性交易，並透過網路、通訊軟體等方式，多次媒介少女從事性交易行為，究本案實情為何？有無其他官員涉案？本案當事人是否被迫從事性交易？近年來我國以網路為媒介，對兒童及少年為性交易之情形為何？政府相關機關有</w:t>
      </w:r>
      <w:r w:rsidRPr="00EA2D85">
        <w:rPr>
          <w:spacing w:val="-2"/>
        </w:rPr>
        <w:t>何因應對策等，均有深入瞭解之必要，案經監察委員立案調查。</w:t>
      </w:r>
    </w:p>
    <w:p w:rsidR="003807A5" w:rsidRPr="00AC77DF" w:rsidRDefault="00270354" w:rsidP="00C55320">
      <w:pPr>
        <w:pStyle w:val="afff1"/>
        <w:spacing w:before="360" w:after="360"/>
      </w:pPr>
      <w:bookmarkStart w:id="105" w:name="_Toc527731097"/>
      <w:r>
        <w:rPr>
          <w:rFonts w:hint="eastAsia"/>
        </w:rPr>
        <w:t>(二)</w:t>
      </w:r>
      <w:r w:rsidR="003807A5" w:rsidRPr="00AC77DF">
        <w:t>監察院調查發現與建議</w:t>
      </w:r>
      <w:bookmarkEnd w:id="105"/>
    </w:p>
    <w:p w:rsidR="003807A5" w:rsidRPr="00AC77DF" w:rsidRDefault="00383BEE" w:rsidP="00D92DAE">
      <w:pPr>
        <w:pStyle w:val="1--13"/>
        <w:spacing w:before="180" w:after="180"/>
      </w:pPr>
      <w:r w:rsidRPr="008E1832">
        <w:rPr>
          <w:rFonts w:hint="eastAsia"/>
        </w:rPr>
        <w:t>˙</w:t>
      </w:r>
      <w:r w:rsidR="003807A5" w:rsidRPr="00AC77DF">
        <w:t>職務評定未臻確實</w:t>
      </w:r>
    </w:p>
    <w:p w:rsidR="003807A5" w:rsidRPr="00AC77DF" w:rsidRDefault="003807A5" w:rsidP="00B7222B">
      <w:pPr>
        <w:pStyle w:val="1---"/>
        <w:ind w:firstLine="480"/>
      </w:pPr>
      <w:r w:rsidRPr="00AC77DF">
        <w:t>彰化地檢署檢察官蔡曉崙自</w:t>
      </w:r>
      <w:r w:rsidRPr="00AC77DF">
        <w:t>103</w:t>
      </w:r>
      <w:r w:rsidRPr="00AC77DF">
        <w:t>年</w:t>
      </w:r>
      <w:r w:rsidRPr="00AC77DF">
        <w:t>4</w:t>
      </w:r>
      <w:r w:rsidRPr="00AC77DF">
        <w:t>月起至</w:t>
      </w:r>
      <w:r w:rsidRPr="00AC77DF">
        <w:t>105</w:t>
      </w:r>
      <w:r w:rsidRPr="00AC77DF">
        <w:t>年</w:t>
      </w:r>
      <w:r w:rsidRPr="00AC77DF">
        <w:t>12</w:t>
      </w:r>
      <w:r w:rsidRPr="00AC77DF">
        <w:t>月</w:t>
      </w:r>
      <w:r w:rsidRPr="00AC77DF">
        <w:t>30</w:t>
      </w:r>
      <w:r w:rsidRPr="00AC77DF">
        <w:t>日止，除因自己與少女性交易，媒介</w:t>
      </w:r>
      <w:r w:rsidRPr="00AC77DF">
        <w:t>5</w:t>
      </w:r>
      <w:r w:rsidRPr="00AC77DF">
        <w:t>人與少女性交易，經判決確定外，又與滿</w:t>
      </w:r>
      <w:r w:rsidRPr="00AC77DF">
        <w:t>18</w:t>
      </w:r>
      <w:r w:rsidRPr="00AC77DF">
        <w:t>歲女子性交易</w:t>
      </w:r>
      <w:r w:rsidRPr="00AC77DF">
        <w:t>30</w:t>
      </w:r>
      <w:r w:rsidRPr="00AC77DF">
        <w:t>次以上，穿檢察官背心到警局帶出賣淫女子</w:t>
      </w:r>
      <w:r w:rsidRPr="00AC77DF">
        <w:rPr>
          <w:lang w:eastAsia="zh-TW"/>
        </w:rPr>
        <w:t>，</w:t>
      </w:r>
      <w:r w:rsidRPr="00AC77DF">
        <w:t>構成不當關說，違反社會秩序維護法及檢察官倫理規範，情節重大。彰化地檢署竟渾然不知，</w:t>
      </w:r>
      <w:r w:rsidRPr="00AC77DF">
        <w:t>103</w:t>
      </w:r>
      <w:r w:rsidRPr="00AC77DF">
        <w:t>年至</w:t>
      </w:r>
      <w:r w:rsidRPr="00AC77DF">
        <w:t>104</w:t>
      </w:r>
      <w:r w:rsidRPr="00AC77DF">
        <w:t>年連續</w:t>
      </w:r>
      <w:r w:rsidRPr="00AC77DF">
        <w:t>2</w:t>
      </w:r>
      <w:r w:rsidRPr="00AC77DF">
        <w:t>年對蔡曉崙職務評定「良好</w:t>
      </w:r>
      <w:r w:rsidRPr="00EA2D85">
        <w:rPr>
          <w:spacing w:val="-30"/>
        </w:rPr>
        <w:t>」</w:t>
      </w:r>
      <w:r w:rsidRPr="00AC77DF">
        <w:t>，</w:t>
      </w:r>
      <w:r w:rsidRPr="00AC77DF">
        <w:t>105</w:t>
      </w:r>
      <w:r w:rsidRPr="00AC77DF">
        <w:t>之職務評定，仍評定「良好</w:t>
      </w:r>
      <w:r w:rsidRPr="00EA2D85">
        <w:rPr>
          <w:spacing w:val="-30"/>
        </w:rPr>
        <w:t>」</w:t>
      </w:r>
      <w:r w:rsidRPr="00AC77DF">
        <w:t>，遲至</w:t>
      </w:r>
      <w:r w:rsidRPr="00AC77DF">
        <w:t>106</w:t>
      </w:r>
      <w:r w:rsidRPr="00AC77DF">
        <w:t>年</w:t>
      </w:r>
      <w:r w:rsidRPr="00AC77DF">
        <w:t>1</w:t>
      </w:r>
      <w:r w:rsidRPr="00AC77DF">
        <w:t>月</w:t>
      </w:r>
      <w:r w:rsidRPr="00AC77DF">
        <w:t>13</w:t>
      </w:r>
      <w:r w:rsidRPr="00AC77DF">
        <w:t>日蔡曉崙被檢方拘提後，始改評定「未達良好</w:t>
      </w:r>
      <w:r w:rsidRPr="00EA2D85">
        <w:rPr>
          <w:spacing w:val="-30"/>
        </w:rPr>
        <w:t>」</w:t>
      </w:r>
      <w:r w:rsidRPr="00AC77DF">
        <w:t>。</w:t>
      </w:r>
    </w:p>
    <w:p w:rsidR="003807A5" w:rsidRPr="00AC77DF" w:rsidRDefault="00383BEE" w:rsidP="00D92DAE">
      <w:pPr>
        <w:pStyle w:val="1--13"/>
        <w:spacing w:before="180" w:after="180"/>
      </w:pPr>
      <w:r w:rsidRPr="008E1832">
        <w:rPr>
          <w:rFonts w:hint="eastAsia"/>
        </w:rPr>
        <w:lastRenderedPageBreak/>
        <w:t>˙</w:t>
      </w:r>
      <w:r w:rsidR="003807A5" w:rsidRPr="00AC77DF">
        <w:t>遭檢警調查未依法通報</w:t>
      </w:r>
    </w:p>
    <w:p w:rsidR="003807A5" w:rsidRPr="00AC77DF" w:rsidRDefault="003807A5" w:rsidP="00B7222B">
      <w:pPr>
        <w:pStyle w:val="1---"/>
        <w:ind w:firstLine="480"/>
      </w:pPr>
      <w:r w:rsidRPr="00AC77DF">
        <w:t>彰化縣消防局陳姓科員經蔡曉崙媒介而與少女性交易，雖經檢察官以其不知少女未滿</w:t>
      </w:r>
      <w:r w:rsidRPr="00AC77DF">
        <w:t>18</w:t>
      </w:r>
      <w:r w:rsidRPr="00AC77DF">
        <w:t>歲而</w:t>
      </w:r>
      <w:r w:rsidR="009936F1">
        <w:rPr>
          <w:rFonts w:hint="eastAsia"/>
        </w:rPr>
        <w:t>為</w:t>
      </w:r>
      <w:r w:rsidRPr="00AC77DF">
        <w:t>不起訴處分，但已違反社會秩序維護法及「消防人員服務守則」之規定。再者，陳姓科員接受警方及檢方調查時，未依規定通報該局政風單位。該局對於上開違失行為渾然不知，遲至監察院調查後始知悉，且該局誤認非執行職務行為不適用「消防人員服務守則</w:t>
      </w:r>
      <w:r w:rsidRPr="00EA2D85">
        <w:rPr>
          <w:spacing w:val="-30"/>
        </w:rPr>
        <w:t>」</w:t>
      </w:r>
      <w:r w:rsidRPr="00AC77DF">
        <w:t>，對於陳姓科員之性交易行為及未依法通報行為僅核予申誡</w:t>
      </w:r>
      <w:r w:rsidRPr="00AC77DF">
        <w:t>2</w:t>
      </w:r>
      <w:r w:rsidRPr="00AC77DF">
        <w:t>次及申誡</w:t>
      </w:r>
      <w:r w:rsidRPr="00AC77DF">
        <w:t>1</w:t>
      </w:r>
      <w:r w:rsidRPr="00AC77DF">
        <w:t>次。嗣經調查委員指出錯誤後，始改核予記過</w:t>
      </w:r>
      <w:r w:rsidRPr="00AC77DF">
        <w:t>2</w:t>
      </w:r>
      <w:r w:rsidRPr="00AC77DF">
        <w:t>次、記過</w:t>
      </w:r>
      <w:r w:rsidRPr="00AC77DF">
        <w:t>1</w:t>
      </w:r>
      <w:r w:rsidRPr="00AC77DF">
        <w:t>次之懲處。</w:t>
      </w:r>
    </w:p>
    <w:p w:rsidR="003807A5" w:rsidRPr="00AC77DF" w:rsidRDefault="003807A5" w:rsidP="00B7222B">
      <w:pPr>
        <w:pStyle w:val="1---"/>
        <w:ind w:firstLine="480"/>
      </w:pPr>
      <w:r w:rsidRPr="00AC77DF">
        <w:t>依據本案調查意見</w:t>
      </w:r>
      <w:r w:rsidRPr="005F1DE2">
        <w:rPr>
          <w:rStyle w:val="aff2"/>
        </w:rPr>
        <w:footnoteReference w:id="55"/>
      </w:r>
      <w:r w:rsidRPr="00AC77DF">
        <w:t>，監察院於</w:t>
      </w:r>
      <w:r w:rsidRPr="00AC77DF">
        <w:t>106</w:t>
      </w:r>
      <w:r w:rsidRPr="00AC77DF">
        <w:t>年</w:t>
      </w:r>
      <w:r w:rsidRPr="00AC77DF">
        <w:t>11</w:t>
      </w:r>
      <w:r w:rsidRPr="00AC77DF">
        <w:t>月</w:t>
      </w:r>
      <w:r w:rsidRPr="00AC77DF">
        <w:t>9</w:t>
      </w:r>
      <w:r w:rsidRPr="00AC77DF">
        <w:t>日彈劾蔡曉崙，另糾正彰化地檢署、彰化縣消防局。此外，請行政院就通訊軟</w:t>
      </w:r>
      <w:r w:rsidRPr="00EA2D85">
        <w:rPr>
          <w:spacing w:val="-12"/>
        </w:rPr>
        <w:t>體</w:t>
      </w:r>
      <w:r w:rsidRPr="00AC77DF">
        <w:t>LIN</w:t>
      </w:r>
      <w:r w:rsidRPr="00EA2D85">
        <w:rPr>
          <w:spacing w:val="-12"/>
        </w:rPr>
        <w:t>E</w:t>
      </w:r>
      <w:r w:rsidRPr="00AC77DF">
        <w:t>已成為性交易等犯罪工具，積極邀集相關主管機關會商研謀改善對策；國家通訊傳播委員會（簡稱通傳會）宜針對通訊軟</w:t>
      </w:r>
      <w:r w:rsidRPr="00EA2D85">
        <w:rPr>
          <w:spacing w:val="-12"/>
        </w:rPr>
        <w:t>體</w:t>
      </w:r>
      <w:r w:rsidRPr="00AC77DF">
        <w:t>LIN</w:t>
      </w:r>
      <w:r w:rsidRPr="00EA2D85">
        <w:rPr>
          <w:spacing w:val="-12"/>
        </w:rPr>
        <w:t>E</w:t>
      </w:r>
      <w:r w:rsidRPr="00AC77DF">
        <w:t>被利用作為媒介兒童及少年從事性交易問題，召集各目的事業主管機關研議防制對策。另請教育部督促臺中市政府</w:t>
      </w:r>
      <w:r w:rsidRPr="00EA2D85">
        <w:rPr>
          <w:spacing w:val="-12"/>
        </w:rPr>
        <w:t>對</w:t>
      </w:r>
      <w:r w:rsidRPr="00EA2D85">
        <w:rPr>
          <w:spacing w:val="-12"/>
        </w:rPr>
        <w:t>A</w:t>
      </w:r>
      <w:r w:rsidRPr="00AC77DF">
        <w:t>女就讀的高中定期追蹤輔導休學學生；教育部及衛福部宜研擬溝通合作機制，對兒少性剝削採取更有效之對策。</w:t>
      </w:r>
    </w:p>
    <w:p w:rsidR="003807A5" w:rsidRPr="00AC77DF" w:rsidRDefault="00270354" w:rsidP="00C55320">
      <w:pPr>
        <w:pStyle w:val="afff1"/>
        <w:spacing w:before="360" w:after="360"/>
      </w:pPr>
      <w:bookmarkStart w:id="106" w:name="_Toc527731098"/>
      <w:r>
        <w:rPr>
          <w:rFonts w:hint="eastAsia"/>
        </w:rPr>
        <w:t>(三)</w:t>
      </w:r>
      <w:r w:rsidR="003807A5" w:rsidRPr="00AC77DF">
        <w:t>政府機關改善情形</w:t>
      </w:r>
      <w:bookmarkEnd w:id="106"/>
    </w:p>
    <w:p w:rsidR="003807A5" w:rsidRPr="00AC77DF" w:rsidRDefault="003807A5" w:rsidP="007373B4">
      <w:pPr>
        <w:pStyle w:val="1---"/>
        <w:ind w:leftChars="100" w:left="600" w:hangingChars="150" w:hanging="360"/>
      </w:pPr>
      <w:r w:rsidRPr="00AC77DF">
        <w:t>1</w:t>
      </w:r>
      <w:r w:rsidRPr="00AC77DF">
        <w:t>、通傳會業於</w:t>
      </w:r>
      <w:r w:rsidRPr="00AC77DF">
        <w:t>106</w:t>
      </w:r>
      <w:r w:rsidRPr="00AC77DF">
        <w:t>年</w:t>
      </w:r>
      <w:r w:rsidRPr="00AC77DF">
        <w:t>12</w:t>
      </w:r>
      <w:r w:rsidRPr="00AC77DF">
        <w:t>月</w:t>
      </w:r>
      <w:r w:rsidRPr="00AC77DF">
        <w:t>18</w:t>
      </w:r>
      <w:r w:rsidRPr="00AC77DF">
        <w:t>日邀集衛福部、</w:t>
      </w:r>
      <w:r w:rsidRPr="00387CF4">
        <w:rPr>
          <w:rFonts w:hint="eastAsia"/>
        </w:rPr>
        <w:t>警政署</w:t>
      </w:r>
      <w:r w:rsidRPr="00AC77DF">
        <w:t>、經濟部工業局及</w:t>
      </w:r>
      <w:r w:rsidRPr="00AC77DF">
        <w:t>iWIN</w:t>
      </w:r>
      <w:r w:rsidRPr="00AC77DF">
        <w:t>網路內容防護機構（台北市電腦商業同</w:t>
      </w:r>
      <w:r w:rsidRPr="00AC77DF">
        <w:lastRenderedPageBreak/>
        <w:t>業公會）召開會議，就旨案研商因應對策，並盼透過推廣用戶端安裝過濾軟體、</w:t>
      </w:r>
      <w:r w:rsidRPr="00AC77DF">
        <w:t>iWIN</w:t>
      </w:r>
      <w:r w:rsidRPr="00AC77DF">
        <w:t>協助提供諮詢服務、持續推動網際網路服務提供者（包括</w:t>
      </w:r>
      <w:r w:rsidRPr="00AC77DF">
        <w:t>App</w:t>
      </w:r>
      <w:r w:rsidRPr="00AC77DF">
        <w:t>業者）之自律措施、協調業界自律並加強跨國合作及強化警調機關行動</w:t>
      </w:r>
      <w:r w:rsidR="00C81520" w:rsidRPr="00AC77DF">
        <w:t>App</w:t>
      </w:r>
      <w:r w:rsidRPr="00AC77DF">
        <w:t>通訊監察及調查能量等積極作為，以精進未來犯罪防制工作。</w:t>
      </w:r>
    </w:p>
    <w:p w:rsidR="003807A5" w:rsidRPr="00AC77DF" w:rsidRDefault="003807A5" w:rsidP="007373B4">
      <w:pPr>
        <w:pStyle w:val="1---"/>
        <w:ind w:leftChars="100" w:left="600" w:hangingChars="150" w:hanging="360"/>
      </w:pPr>
      <w:r w:rsidRPr="00AC77DF">
        <w:t>2</w:t>
      </w:r>
      <w:r w:rsidRPr="00AC77DF">
        <w:t>、針對</w:t>
      </w:r>
      <w:r w:rsidRPr="00AC77DF">
        <w:t>LINE</w:t>
      </w:r>
      <w:r w:rsidRPr="00AC77DF">
        <w:t>通訊軟體平臺衍生網路眾多犯罪問題，經濟部工業局前於</w:t>
      </w:r>
      <w:r w:rsidRPr="00AC77DF">
        <w:t>103</w:t>
      </w:r>
      <w:r w:rsidRPr="00AC77DF">
        <w:t>年即多次配合參與</w:t>
      </w:r>
      <w:r w:rsidRPr="00387CF4">
        <w:rPr>
          <w:rFonts w:hint="eastAsia"/>
        </w:rPr>
        <w:t>警政署</w:t>
      </w:r>
      <w:r w:rsidRPr="00AC77DF">
        <w:t>刑事警察局召開「防治網路詐欺工作小組會議</w:t>
      </w:r>
      <w:r w:rsidRPr="00EA2D85">
        <w:rPr>
          <w:spacing w:val="-30"/>
        </w:rPr>
        <w:t>」</w:t>
      </w:r>
      <w:r w:rsidRPr="00AC77DF">
        <w:t>，與</w:t>
      </w:r>
      <w:r w:rsidRPr="00AC77DF">
        <w:t>LINE</w:t>
      </w:r>
      <w:r w:rsidRPr="00AC77DF">
        <w:t>日本總公司及臺灣分公司共同研商犯罪防治與偵查對策，並請該公司配合相關強化軟體安全、認證流程、檢舉等安全控管機制。據</w:t>
      </w:r>
      <w:r w:rsidRPr="00387CF4">
        <w:rPr>
          <w:rFonts w:hint="eastAsia"/>
        </w:rPr>
        <w:t>警政署</w:t>
      </w:r>
      <w:r w:rsidRPr="00AC77DF">
        <w:t>審視，近年來犯罪數已逐年下降。</w:t>
      </w:r>
    </w:p>
    <w:p w:rsidR="003807A5" w:rsidRPr="00AC77DF" w:rsidRDefault="003807A5" w:rsidP="007373B4">
      <w:pPr>
        <w:pStyle w:val="1---"/>
        <w:ind w:leftChars="100" w:left="600" w:hangingChars="150" w:hanging="360"/>
      </w:pPr>
      <w:r w:rsidRPr="00AC77DF">
        <w:t>3</w:t>
      </w:r>
      <w:r w:rsidRPr="00AC77DF">
        <w:t>、針對民眾關心</w:t>
      </w:r>
      <w:r w:rsidR="00C81520" w:rsidRPr="00AC77DF">
        <w:t>LINE</w:t>
      </w:r>
      <w:r w:rsidRPr="00AC77DF">
        <w:t>通訊軟體帳號遭冒用、停權、付費購買貼圖消失等消費爭議，經濟部亦研訂「即時通訊軟體服務定型化契約應記載及不得記載事項</w:t>
      </w:r>
      <w:r w:rsidRPr="00EA2D85">
        <w:rPr>
          <w:spacing w:val="-30"/>
        </w:rPr>
        <w:t>」</w:t>
      </w:r>
      <w:r w:rsidRPr="00AC77DF">
        <w:t>，於</w:t>
      </w:r>
      <w:r w:rsidRPr="00AC77DF">
        <w:t>106</w:t>
      </w:r>
      <w:r w:rsidRPr="00AC77DF">
        <w:t>年</w:t>
      </w:r>
      <w:r w:rsidRPr="00AC77DF">
        <w:t>9</w:t>
      </w:r>
      <w:r w:rsidRPr="00AC77DF">
        <w:t>月</w:t>
      </w:r>
      <w:r w:rsidRPr="00AC77DF">
        <w:t>25</w:t>
      </w:r>
      <w:r w:rsidRPr="00AC77DF">
        <w:t>日公告。其中於第壹條第七項規範即時通訊軟體經營者基於相關事由，得終止帳號契約或停止本服務</w:t>
      </w:r>
      <w:r w:rsidRPr="00EA2D85">
        <w:rPr>
          <w:spacing w:val="-30"/>
        </w:rPr>
        <w:t>：</w:t>
      </w:r>
      <w:r w:rsidRPr="00AC77DF">
        <w:t>「有事證足認消費者帳戶涉及洗錢、詐欺等犯罪行為或不法使用者」，宣導業者善盡與消費者間權益維護，同時也闡明用戶端從事不法行為、違反誠信時，業者得行使約束帳戶權力。</w:t>
      </w:r>
    </w:p>
    <w:p w:rsidR="003807A5" w:rsidRPr="00AC77DF" w:rsidRDefault="003807A5" w:rsidP="007373B4">
      <w:pPr>
        <w:pStyle w:val="1---"/>
        <w:ind w:leftChars="100" w:left="600" w:hangingChars="150" w:hanging="360"/>
      </w:pPr>
      <w:r w:rsidRPr="00AC77DF">
        <w:t>4</w:t>
      </w:r>
      <w:r w:rsidRPr="00AC77DF">
        <w:t>、教育部業已函請臺中市政府教育局督導明台高中修正該校「學生穩定就學及中途離校學生輔導機制實施要點</w:t>
      </w:r>
      <w:r w:rsidRPr="00EA2D85">
        <w:rPr>
          <w:spacing w:val="-30"/>
        </w:rPr>
        <w:t>」</w:t>
      </w:r>
      <w:r w:rsidRPr="00AC77DF">
        <w:t>，並提出改進報告及策進作為。</w:t>
      </w:r>
    </w:p>
    <w:p w:rsidR="003807A5" w:rsidRPr="00AC77DF" w:rsidRDefault="003807A5" w:rsidP="007373B4">
      <w:pPr>
        <w:pStyle w:val="1---"/>
        <w:ind w:leftChars="100" w:left="600" w:hangingChars="150" w:hanging="360"/>
      </w:pPr>
      <w:r w:rsidRPr="00AC77DF">
        <w:t>5</w:t>
      </w:r>
      <w:r w:rsidRPr="00AC77DF">
        <w:t>、教育部</w:t>
      </w:r>
      <w:r w:rsidR="00DC1ADD" w:rsidRPr="00AC77DF">
        <w:t>國民及學前教育署</w:t>
      </w:r>
      <w:r w:rsidR="00DC1ADD">
        <w:t>（</w:t>
      </w:r>
      <w:r w:rsidR="00DC1ADD">
        <w:rPr>
          <w:rFonts w:hint="eastAsia"/>
        </w:rPr>
        <w:t>簡稱</w:t>
      </w:r>
      <w:r w:rsidRPr="00AC77DF">
        <w:t>國教署</w:t>
      </w:r>
      <w:r w:rsidR="00DC1ADD">
        <w:t>）</w:t>
      </w:r>
      <w:r w:rsidRPr="00AC77DF">
        <w:t>於</w:t>
      </w:r>
      <w:r w:rsidRPr="00AC77DF">
        <w:t>106</w:t>
      </w:r>
      <w:r w:rsidRPr="00AC77DF">
        <w:t>年</w:t>
      </w:r>
      <w:r w:rsidRPr="00AC77DF">
        <w:t>12</w:t>
      </w:r>
      <w:r w:rsidRPr="00AC77DF">
        <w:t>月</w:t>
      </w:r>
      <w:r w:rsidRPr="00AC77DF">
        <w:t>27</w:t>
      </w:r>
      <w:r w:rsidRPr="00AC77DF">
        <w:t>日邀請衛福部及相關單位召開「研商兒少性剝削個案</w:t>
      </w:r>
      <w:r w:rsidRPr="00AC77DF">
        <w:lastRenderedPageBreak/>
        <w:t>跨網絡資源整合會議」，決議如下：</w:t>
      </w:r>
    </w:p>
    <w:p w:rsidR="003807A5" w:rsidRPr="00AC77DF" w:rsidRDefault="003807A5" w:rsidP="00EA2D85">
      <w:pPr>
        <w:pStyle w:val="1--1"/>
        <w:ind w:left="1080" w:hanging="600"/>
      </w:pPr>
      <w:r w:rsidRPr="00AC77DF">
        <w:t>（</w:t>
      </w:r>
      <w:r w:rsidRPr="00AC77DF">
        <w:t>1</w:t>
      </w:r>
      <w:r w:rsidRPr="00AC77DF">
        <w:t>）本案學生如缺曠課多且伴隨家庭功能不佳，應先由學校協助取得社會福利資源扶助，加強家長對子女的教育並健全家庭功能</w:t>
      </w:r>
      <w:r w:rsidR="005C5491">
        <w:t>。</w:t>
      </w:r>
      <w:r w:rsidRPr="00AC77DF">
        <w:t>如仍未能改善，依「高級中等學校學生穩定就學及中途離校學生輔導機制實施要點」，就讀學校應辦理通報協尋，掌握學生狀況，並連結勞動部、法務部、內政部、衛福部之資源，提供相關輔導，並審慎評估該生如是家庭功能不彰致未獲適當照顧之高風險個案，依兒童及少年福利與權益保障法</w:t>
      </w:r>
      <w:r w:rsidRPr="00EA2D85">
        <w:rPr>
          <w:spacing w:val="-10"/>
        </w:rPr>
        <w:t>第</w:t>
      </w:r>
      <w:r w:rsidRPr="00AC77DF">
        <w:t>5</w:t>
      </w:r>
      <w:r w:rsidRPr="00EA2D85">
        <w:rPr>
          <w:spacing w:val="-10"/>
        </w:rPr>
        <w:t>4</w:t>
      </w:r>
      <w:r w:rsidRPr="00AC77DF">
        <w:t>條規定，應通報直轄市、縣（市）主管機關，該直轄市、縣（市）主管機關應對前項家庭進行訪視評估，並視其需要結合警政、教育、戶政、衛生、財政、金融管理、勞政、移民或其他相關機關提供生活、醫療、就學、托育及其他必要之協助。倘遭遇經濟困境，應轉介當地社政主管機關，依社會救助法提供必要之協助。</w:t>
      </w:r>
    </w:p>
    <w:p w:rsidR="003807A5" w:rsidRPr="00AC77DF" w:rsidRDefault="003807A5" w:rsidP="00EA2D85">
      <w:pPr>
        <w:pStyle w:val="1--1"/>
        <w:ind w:left="1080" w:hanging="600"/>
      </w:pPr>
      <w:r w:rsidRPr="00AC77DF">
        <w:t>（</w:t>
      </w:r>
      <w:r w:rsidRPr="00AC77DF">
        <w:t>2</w:t>
      </w:r>
      <w:r w:rsidRPr="00AC77DF">
        <w:t>）學校如經評估該生有遭受疏忽、虐待等不當對待，家庭暴力，性侵害，性剝削等情事，</w:t>
      </w:r>
      <w:r w:rsidR="00DA23C0">
        <w:rPr>
          <w:rFonts w:hint="eastAsia"/>
        </w:rPr>
        <w:t>應</w:t>
      </w:r>
      <w:r w:rsidRPr="00AC77DF">
        <w:t>至衛福部「關懷</w:t>
      </w:r>
      <w:r w:rsidRPr="00AC77DF">
        <w:t>e</w:t>
      </w:r>
      <w:r w:rsidRPr="00AC77DF">
        <w:t>起來」完成線上通報，並依學生需求持續提供輔導協助。</w:t>
      </w:r>
    </w:p>
    <w:p w:rsidR="003807A5" w:rsidRPr="00AC77DF" w:rsidRDefault="003807A5" w:rsidP="00EA2D85">
      <w:pPr>
        <w:pStyle w:val="1--1"/>
        <w:ind w:left="1080" w:hanging="600"/>
      </w:pPr>
      <w:r w:rsidRPr="00AC77DF">
        <w:t>（</w:t>
      </w:r>
      <w:r w:rsidRPr="00AC77DF">
        <w:t>3</w:t>
      </w:r>
      <w:r w:rsidRPr="00AC77DF">
        <w:t>）若學校得知兒童及少年性剝削防制條例被害人訊息，應即通報直轄市、縣（市）社政主管機關，後續將依主管機關評估及法院裁定有返家、安置等處遇方向，結束安置兒少，並接受主管機關追蹤輔導至少一年或至其年滿</w:t>
      </w:r>
      <w:r w:rsidRPr="00AC77DF">
        <w:t>20</w:t>
      </w:r>
      <w:r w:rsidRPr="00AC77DF">
        <w:t>歲。</w:t>
      </w:r>
    </w:p>
    <w:p w:rsidR="003807A5" w:rsidRPr="00AC77DF" w:rsidRDefault="00270354" w:rsidP="00C55320">
      <w:pPr>
        <w:pStyle w:val="afff1"/>
        <w:spacing w:before="360" w:after="360"/>
      </w:pPr>
      <w:bookmarkStart w:id="107" w:name="_Toc527731099"/>
      <w:r>
        <w:rPr>
          <w:rFonts w:hint="eastAsia"/>
        </w:rPr>
        <w:lastRenderedPageBreak/>
        <w:t>(四)</w:t>
      </w:r>
      <w:r w:rsidR="003807A5" w:rsidRPr="00AC77DF">
        <w:t>案件進展</w:t>
      </w:r>
      <w:bookmarkEnd w:id="107"/>
    </w:p>
    <w:p w:rsidR="003807A5" w:rsidRDefault="003807A5" w:rsidP="00B7222B">
      <w:pPr>
        <w:pStyle w:val="1---"/>
        <w:ind w:firstLine="480"/>
        <w:rPr>
          <w:lang w:eastAsia="zh-TW"/>
        </w:rPr>
      </w:pPr>
      <w:r w:rsidRPr="00AC77DF">
        <w:t>蔡曉崙彈劾案已移送司法院職務法庭審理</w:t>
      </w:r>
      <w:r w:rsidR="00467C9C">
        <w:t>，</w:t>
      </w:r>
      <w:r w:rsidR="00467C9C">
        <w:rPr>
          <w:rFonts w:hint="eastAsia"/>
        </w:rPr>
        <w:t>經司法院</w:t>
      </w:r>
      <w:r w:rsidR="00467C9C">
        <w:rPr>
          <w:rFonts w:hint="eastAsia"/>
        </w:rPr>
        <w:t>106</w:t>
      </w:r>
      <w:r w:rsidR="00467C9C">
        <w:rPr>
          <w:rFonts w:hint="eastAsia"/>
        </w:rPr>
        <w:t>年度懲字第</w:t>
      </w:r>
      <w:r w:rsidR="00467C9C">
        <w:rPr>
          <w:rFonts w:hint="eastAsia"/>
        </w:rPr>
        <w:t>2</w:t>
      </w:r>
      <w:r w:rsidR="00467C9C">
        <w:rPr>
          <w:rFonts w:hint="eastAsia"/>
        </w:rPr>
        <w:t>號判決免除檢察官職務，並喪失公務人員任用資格；另</w:t>
      </w:r>
      <w:r w:rsidRPr="00AC77DF">
        <w:t>監察院仍持續追蹤相關機關檢討改進情形。</w:t>
      </w:r>
    </w:p>
    <w:p w:rsidR="00270354" w:rsidRDefault="00270354" w:rsidP="00B7222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4843"/>
      </w:tblGrid>
      <w:tr w:rsidR="00270354" w:rsidTr="00EA2D85">
        <w:tc>
          <w:tcPr>
            <w:tcW w:w="4843" w:type="dxa"/>
            <w:shd w:val="clear" w:color="auto" w:fill="D9D9D9" w:themeFill="background1" w:themeFillShade="D9"/>
          </w:tcPr>
          <w:p w:rsidR="00270354" w:rsidRDefault="00270354" w:rsidP="00EA2D85">
            <w:pPr>
              <w:pStyle w:val="11-"/>
              <w:spacing w:before="72" w:after="108"/>
              <w:rPr>
                <w:lang w:eastAsia="zh-TW"/>
              </w:rPr>
            </w:pPr>
            <w:bookmarkStart w:id="108" w:name="_Toc527731120"/>
            <w:bookmarkStart w:id="109" w:name="_Toc535228338"/>
            <w:bookmarkStart w:id="110" w:name="_Toc4058749"/>
            <w:r w:rsidRPr="00AC77DF">
              <w:t>員警脅迫毒販栽贓取得春安績效案</w:t>
            </w:r>
            <w:bookmarkEnd w:id="108"/>
            <w:bookmarkEnd w:id="109"/>
            <w:bookmarkEnd w:id="110"/>
          </w:p>
        </w:tc>
      </w:tr>
    </w:tbl>
    <w:p w:rsidR="00270354" w:rsidRPr="00AC77DF" w:rsidRDefault="00270354" w:rsidP="00B7222B">
      <w:pPr>
        <w:pStyle w:val="1---"/>
        <w:ind w:firstLine="480"/>
        <w:rPr>
          <w:lang w:eastAsia="zh-TW"/>
        </w:rPr>
      </w:pPr>
    </w:p>
    <w:tbl>
      <w:tblPr>
        <w:tblStyle w:val="aff5"/>
        <w:tblW w:w="4777" w:type="pct"/>
        <w:tblInd w:w="113" w:type="dxa"/>
        <w:tblLook w:val="04A0" w:firstRow="1" w:lastRow="0" w:firstColumn="1" w:lastColumn="0" w:noHBand="0" w:noVBand="1"/>
      </w:tblPr>
      <w:tblGrid>
        <w:gridCol w:w="6544"/>
      </w:tblGrid>
      <w:tr w:rsidR="00AC5557" w:rsidTr="00B803C8">
        <w:tc>
          <w:tcPr>
            <w:tcW w:w="5000" w:type="pct"/>
          </w:tcPr>
          <w:p w:rsidR="00AC5557" w:rsidRPr="00AC77DF" w:rsidRDefault="00AC5557" w:rsidP="00B803C8">
            <w:pPr>
              <w:spacing w:line="360" w:lineRule="exact"/>
              <w:jc w:val="both"/>
              <w:rPr>
                <w:lang w:val="x-none"/>
              </w:rPr>
            </w:pPr>
            <w:bookmarkStart w:id="111" w:name="_Toc527731121"/>
            <w:r w:rsidRPr="00AC77DF">
              <w:rPr>
                <w:b/>
                <w:lang w:val="x-none"/>
              </w:rPr>
              <w:t>相關國際人權公約：</w:t>
            </w:r>
            <w:r w:rsidRPr="00AC77DF">
              <w:t>公民與政治權利國際公約第</w:t>
            </w:r>
            <w:r w:rsidRPr="00AC77DF">
              <w:t>9</w:t>
            </w:r>
            <w:r w:rsidRPr="00AC77DF">
              <w:t>條、第</w:t>
            </w:r>
            <w:r w:rsidRPr="00AC77DF">
              <w:t>10</w:t>
            </w:r>
            <w:r w:rsidRPr="00AC77DF">
              <w:t>條、第</w:t>
            </w:r>
            <w:r w:rsidRPr="00AC77DF">
              <w:t>14</w:t>
            </w:r>
            <w:r w:rsidRPr="00AC77DF">
              <w:t>條、第</w:t>
            </w:r>
            <w:r w:rsidRPr="00AC77DF">
              <w:t>17</w:t>
            </w:r>
            <w:r w:rsidRPr="00AC77DF">
              <w:t>條</w:t>
            </w:r>
          </w:p>
          <w:p w:rsidR="00AC5557" w:rsidRPr="00AC77DF" w:rsidRDefault="00AC5557" w:rsidP="00B803C8">
            <w:pPr>
              <w:spacing w:line="360" w:lineRule="exact"/>
              <w:jc w:val="both"/>
              <w:rPr>
                <w:b/>
                <w:lang w:val="x-none"/>
              </w:rPr>
            </w:pPr>
            <w:r w:rsidRPr="00AC77DF">
              <w:rPr>
                <w:b/>
              </w:rPr>
              <w:t>公民與政治權利國際公約</w:t>
            </w:r>
            <w:r w:rsidRPr="00AC77DF">
              <w:rPr>
                <w:b/>
                <w:lang w:val="x-none"/>
              </w:rPr>
              <w:t>第</w:t>
            </w:r>
            <w:r w:rsidRPr="00AC77DF">
              <w:rPr>
                <w:b/>
                <w:lang w:val="x-none"/>
              </w:rPr>
              <w:t>17</w:t>
            </w:r>
            <w:r w:rsidRPr="00AC77DF">
              <w:rPr>
                <w:b/>
                <w:lang w:val="x-none"/>
              </w:rPr>
              <w:t>條</w:t>
            </w:r>
          </w:p>
          <w:p w:rsidR="00AC5557" w:rsidRPr="00AC77DF" w:rsidRDefault="00AC5557" w:rsidP="00B803C8">
            <w:pPr>
              <w:spacing w:line="360" w:lineRule="exact"/>
              <w:ind w:left="480" w:hangingChars="200" w:hanging="480"/>
              <w:jc w:val="both"/>
              <w:rPr>
                <w:lang w:val="x-none"/>
              </w:rPr>
            </w:pPr>
            <w:r w:rsidRPr="00AC77DF">
              <w:rPr>
                <w:lang w:val="x-none"/>
              </w:rPr>
              <w:t>一、任何人之私生活、家庭、住宅或通信，不得無理或非法侵擾，其名譽及信用，亦不得非法破壞。</w:t>
            </w:r>
          </w:p>
          <w:p w:rsidR="00AC5557" w:rsidRDefault="00AC5557" w:rsidP="00B803C8">
            <w:pPr>
              <w:spacing w:line="360" w:lineRule="exact"/>
              <w:jc w:val="both"/>
            </w:pPr>
            <w:r w:rsidRPr="00AC77DF">
              <w:rPr>
                <w:lang w:val="x-none"/>
              </w:rPr>
              <w:t>二、對於此種侵擾或破壞，人人有受法律保護之權利。</w:t>
            </w:r>
          </w:p>
        </w:tc>
      </w:tr>
    </w:tbl>
    <w:p w:rsidR="003807A5" w:rsidRPr="00AC77DF" w:rsidRDefault="00270354" w:rsidP="00C55320">
      <w:pPr>
        <w:pStyle w:val="afff1"/>
        <w:spacing w:before="360" w:after="360"/>
      </w:pPr>
      <w:r>
        <w:rPr>
          <w:rFonts w:hint="eastAsia"/>
        </w:rPr>
        <w:t>(一)</w:t>
      </w:r>
      <w:r w:rsidR="003807A5" w:rsidRPr="00AC77DF">
        <w:t>案情簡述</w:t>
      </w:r>
      <w:bookmarkEnd w:id="111"/>
    </w:p>
    <w:p w:rsidR="003807A5" w:rsidRPr="00AC77DF" w:rsidRDefault="003807A5" w:rsidP="00B7222B">
      <w:pPr>
        <w:pStyle w:val="1---"/>
        <w:ind w:firstLine="480"/>
      </w:pPr>
      <w:r w:rsidRPr="00AC77DF">
        <w:t>桃園</w:t>
      </w:r>
      <w:r>
        <w:rPr>
          <w:rFonts w:hint="eastAsia"/>
        </w:rPr>
        <w:t>市</w:t>
      </w:r>
      <w:r w:rsidRPr="00AC77DF">
        <w:t>政府警察局平鎮分局（簡稱平鎮分局）平鎮派出所員警為爭取春安績效，竟要求毒販以栽贓方式安排槍枝及無辜對象供警查緝，違失員警任職之警局未依「刑懲併行」原則，給予適當懲處或移送懲戒，又以往基層員警受到績效壓力</w:t>
      </w:r>
      <w:r w:rsidR="007D0F55">
        <w:rPr>
          <w:rFonts w:hint="eastAsia"/>
          <w:lang w:eastAsia="zh-TW"/>
        </w:rPr>
        <w:t>，</w:t>
      </w:r>
      <w:r w:rsidRPr="00AC77DF">
        <w:t>經常發生類此違法案例或「養案」不當情事，嚴重傷害警譽，案經監察委員立案調查。</w:t>
      </w:r>
    </w:p>
    <w:p w:rsidR="003807A5" w:rsidRPr="00AC77DF" w:rsidRDefault="00270354" w:rsidP="00C55320">
      <w:pPr>
        <w:pStyle w:val="afff1"/>
        <w:spacing w:before="360" w:after="360"/>
      </w:pPr>
      <w:bookmarkStart w:id="112" w:name="_Toc527731122"/>
      <w:r>
        <w:rPr>
          <w:rFonts w:hint="eastAsia"/>
        </w:rPr>
        <w:lastRenderedPageBreak/>
        <w:t>(二)</w:t>
      </w:r>
      <w:r w:rsidR="003807A5" w:rsidRPr="00AC77DF">
        <w:t>監察院調查發現與建議</w:t>
      </w:r>
      <w:bookmarkEnd w:id="112"/>
    </w:p>
    <w:p w:rsidR="003807A5" w:rsidRPr="00AC77DF" w:rsidRDefault="00383BEE" w:rsidP="00D92DAE">
      <w:pPr>
        <w:pStyle w:val="1--13"/>
        <w:spacing w:before="180" w:after="180"/>
      </w:pPr>
      <w:r w:rsidRPr="008E1832">
        <w:rPr>
          <w:rFonts w:hint="eastAsia"/>
        </w:rPr>
        <w:t>˙</w:t>
      </w:r>
      <w:r w:rsidR="003807A5" w:rsidRPr="00AC77DF">
        <w:t>違法搜索非轄內</w:t>
      </w:r>
      <w:r w:rsidR="00DA23C0" w:rsidRPr="00AC77DF">
        <w:t>犯</w:t>
      </w:r>
      <w:r w:rsidR="003807A5" w:rsidRPr="00AC77DF">
        <w:t>嫌</w:t>
      </w:r>
    </w:p>
    <w:p w:rsidR="003807A5" w:rsidRPr="00AC77DF" w:rsidRDefault="003807A5" w:rsidP="00B7222B">
      <w:pPr>
        <w:pStyle w:val="1---"/>
        <w:ind w:firstLine="480"/>
        <w:rPr>
          <w:lang w:eastAsia="zh-TW"/>
        </w:rPr>
      </w:pPr>
      <w:r w:rsidRPr="00AC77DF">
        <w:t>平鎮派出所員警於</w:t>
      </w:r>
      <w:r w:rsidRPr="00AC77DF">
        <w:t>101</w:t>
      </w:r>
      <w:r w:rsidRPr="00AC77DF">
        <w:t>年</w:t>
      </w:r>
      <w:r w:rsidRPr="00AC77DF">
        <w:t>1</w:t>
      </w:r>
      <w:r w:rsidRPr="00AC77DF">
        <w:t>月</w:t>
      </w:r>
      <w:r w:rsidRPr="00AC77DF">
        <w:t>18</w:t>
      </w:r>
      <w:r w:rsidRPr="00AC77DF">
        <w:t>日及</w:t>
      </w:r>
      <w:r w:rsidRPr="00AC77DF">
        <w:t>19</w:t>
      </w:r>
      <w:r w:rsidRPr="00AC77DF">
        <w:t>日在未報請立案之情況下，違法搜索非轄內涉嫌毒品案件犯嫌住處，並以不偵辦其毒品案為條件，進而控制及要脅毒犯交槍交人作為春安工作期間績效，致無辜第三人被栽槍而遭查緝移送起訴，毒犯則未經移送而被縱放。承辦員警復於檢察官偵辦時虛偽陳述，違法濫權情節重大。</w:t>
      </w:r>
    </w:p>
    <w:p w:rsidR="003807A5" w:rsidRPr="00AC77DF" w:rsidRDefault="00383BEE" w:rsidP="00D92DAE">
      <w:pPr>
        <w:pStyle w:val="1--13"/>
        <w:spacing w:before="180" w:after="180"/>
      </w:pPr>
      <w:r w:rsidRPr="008E1832">
        <w:rPr>
          <w:rFonts w:hint="eastAsia"/>
        </w:rPr>
        <w:t>˙</w:t>
      </w:r>
      <w:r w:rsidR="003807A5" w:rsidRPr="00AC77DF">
        <w:t>未監督所屬執行犯罪偵查</w:t>
      </w:r>
    </w:p>
    <w:p w:rsidR="003807A5" w:rsidRPr="00AC77DF" w:rsidRDefault="003807A5" w:rsidP="00B7222B">
      <w:pPr>
        <w:pStyle w:val="1---"/>
        <w:ind w:firstLine="480"/>
        <w:rPr>
          <w:lang w:eastAsia="zh-TW"/>
        </w:rPr>
      </w:pPr>
      <w:r w:rsidRPr="00AC77DF">
        <w:t>平鎮分局偵查隊副隊長未能善盡偵查職責，詳加審核移送書等資料，副分局長與分局長亦未能善盡職責，監督所屬執行犯罪偵查、移送事項，致無辜民眾徒遭訟累。</w:t>
      </w:r>
    </w:p>
    <w:p w:rsidR="003807A5" w:rsidRPr="00AC77DF" w:rsidRDefault="00383BEE" w:rsidP="00D92DAE">
      <w:pPr>
        <w:pStyle w:val="1--13"/>
        <w:spacing w:before="180" w:after="180"/>
      </w:pPr>
      <w:r w:rsidRPr="008E1832">
        <w:rPr>
          <w:rFonts w:hint="eastAsia"/>
        </w:rPr>
        <w:t>˙</w:t>
      </w:r>
      <w:r w:rsidR="003807A5" w:rsidRPr="00AC77DF">
        <w:t>未送槍枝指紋鑑定</w:t>
      </w:r>
    </w:p>
    <w:p w:rsidR="003807A5" w:rsidRDefault="003807A5" w:rsidP="00B7222B">
      <w:pPr>
        <w:pStyle w:val="1---"/>
        <w:ind w:firstLine="480"/>
        <w:rPr>
          <w:lang w:eastAsia="zh-TW"/>
        </w:rPr>
      </w:pPr>
      <w:r w:rsidRPr="00AC77DF">
        <w:t>臺灣桃園地方檢察署（簡稱桃園地檢署）檢察官</w:t>
      </w:r>
      <w:r w:rsidRPr="00AC77DF">
        <w:t>101</w:t>
      </w:r>
      <w:r w:rsidRPr="00AC77DF">
        <w:t>年</w:t>
      </w:r>
      <w:r w:rsidRPr="00AC77DF">
        <w:t>2</w:t>
      </w:r>
      <w:r w:rsidRPr="00AC77DF">
        <w:t>月</w:t>
      </w:r>
      <w:r w:rsidRPr="00AC77DF">
        <w:t>20</w:t>
      </w:r>
      <w:r w:rsidRPr="00AC77DF">
        <w:t>日函請平鎮分局將槍彈送鑑以查明有無被告指紋，惟平鎮分局僅將槍彈送請鑑定有無殺傷力，並未送請槍枝指紋鑑定。桃園地檢署書記官</w:t>
      </w:r>
      <w:r w:rsidRPr="00AC77DF">
        <w:t>101</w:t>
      </w:r>
      <w:r w:rsidRPr="00AC77DF">
        <w:t>年</w:t>
      </w:r>
      <w:r w:rsidRPr="00AC77DF">
        <w:t>6</w:t>
      </w:r>
      <w:r w:rsidRPr="00AC77DF">
        <w:t>月</w:t>
      </w:r>
      <w:r w:rsidRPr="00AC77DF">
        <w:t>20</w:t>
      </w:r>
      <w:r w:rsidRPr="00AC77DF">
        <w:t>日電話詢問鑑定進度時，該分局偵查佐竟謊稱已送鑑定，嗣後亦未見有何作為，致檢察官遲至</w:t>
      </w:r>
      <w:r w:rsidRPr="00AC77DF">
        <w:t>101</w:t>
      </w:r>
      <w:r w:rsidRPr="00AC77DF">
        <w:t>年</w:t>
      </w:r>
      <w:r w:rsidRPr="00AC77DF">
        <w:t>10</w:t>
      </w:r>
      <w:r w:rsidRPr="00AC77DF">
        <w:t>月</w:t>
      </w:r>
      <w:r w:rsidRPr="00AC77DF">
        <w:t>24</w:t>
      </w:r>
      <w:r w:rsidRPr="00AC77DF">
        <w:t>日始自行將扣案槍彈送鑑。又涉案員警對檢察官當庭指示請協助勘驗光碟多所拖延，嚴重延宕辦案進度。</w:t>
      </w:r>
    </w:p>
    <w:p w:rsidR="007D0F55" w:rsidRPr="00AC77DF" w:rsidRDefault="007D0F55" w:rsidP="00B7222B">
      <w:pPr>
        <w:pStyle w:val="1---"/>
        <w:ind w:firstLine="480"/>
        <w:rPr>
          <w:lang w:eastAsia="zh-TW"/>
        </w:rPr>
      </w:pPr>
    </w:p>
    <w:p w:rsidR="003807A5" w:rsidRPr="00AC77DF" w:rsidRDefault="00383BEE" w:rsidP="00D92DAE">
      <w:pPr>
        <w:pStyle w:val="1--13"/>
        <w:spacing w:before="180" w:after="180"/>
      </w:pPr>
      <w:r w:rsidRPr="008E1832">
        <w:rPr>
          <w:rFonts w:hint="eastAsia"/>
        </w:rPr>
        <w:lastRenderedPageBreak/>
        <w:t>˙</w:t>
      </w:r>
      <w:r w:rsidR="003807A5" w:rsidRPr="00AC77DF">
        <w:t>辦案過程未臻嚴謹</w:t>
      </w:r>
    </w:p>
    <w:p w:rsidR="003807A5" w:rsidRPr="00AC77DF" w:rsidRDefault="003807A5" w:rsidP="00B7222B">
      <w:pPr>
        <w:pStyle w:val="1---"/>
        <w:ind w:firstLine="480"/>
      </w:pPr>
      <w:r w:rsidRPr="00AC77DF">
        <w:t>本案毒品案嫌犯於</w:t>
      </w:r>
      <w:r w:rsidRPr="00AC77DF">
        <w:t>101</w:t>
      </w:r>
      <w:r w:rsidRPr="00AC77DF">
        <w:t>年</w:t>
      </w:r>
      <w:r w:rsidRPr="00AC77DF">
        <w:t>1</w:t>
      </w:r>
      <w:r w:rsidRPr="00AC77DF">
        <w:t>、</w:t>
      </w:r>
      <w:r w:rsidRPr="00AC77DF">
        <w:t>2</w:t>
      </w:r>
      <w:r w:rsidRPr="00AC77DF">
        <w:t>月短期內，遭桃園市政府警察局所屬分局密集以電話通知或違法搜索等方式調查，該犯嫌於警方押解過程因脫逃不幸溺亡，</w:t>
      </w:r>
      <w:r w:rsidR="004D0068">
        <w:t>顯示</w:t>
      </w:r>
      <w:r w:rsidRPr="00AC77DF">
        <w:t>警方辦案過程便宜行事，各警分局偵查隊亦未善盡偵查職責，罔顧程序正義。桃園市政府警察局未能責令所屬依規定執行職務，且本案犯嫌所涉刑案均在春安工作期間為警緝獲，似有「養案」情事。</w:t>
      </w:r>
    </w:p>
    <w:p w:rsidR="003807A5" w:rsidRPr="00AC77DF" w:rsidRDefault="003807A5" w:rsidP="00B7222B">
      <w:pPr>
        <w:pStyle w:val="1---"/>
        <w:ind w:firstLine="480"/>
      </w:pPr>
      <w:r w:rsidRPr="00AC77DF">
        <w:t>桃園地檢署偵辦</w:t>
      </w:r>
      <w:r w:rsidR="007D0F55">
        <w:rPr>
          <w:rFonts w:hint="eastAsia"/>
          <w:lang w:eastAsia="zh-TW"/>
        </w:rPr>
        <w:t>毒販</w:t>
      </w:r>
      <w:r w:rsidRPr="00AC77DF">
        <w:t>被栽槍案件，雖因涉案員警查證延宕及承辦檢察官更易而誤將案件起訴，惟承辦檢察官於訊問時本有察覺異狀機會，或因經驗欠缺、警覺不足而未再詳查，又疏未將證物備份即交由被指涉案之員警勘驗，後續接辦檢察官仍將該案誤予起訴，故對於資淺檢察官之實務訓練或辦案協助，宜再加強改進。</w:t>
      </w:r>
    </w:p>
    <w:p w:rsidR="003807A5" w:rsidRPr="00AC77DF" w:rsidRDefault="003807A5" w:rsidP="00B7222B">
      <w:pPr>
        <w:pStyle w:val="1---"/>
        <w:ind w:firstLine="480"/>
      </w:pPr>
      <w:r w:rsidRPr="00AC77DF">
        <w:t>公務員懲戒法修正後，縱有懲戒處分涉及犯罪是否成立等情形，如經刑事第一審法院判決，公懲會即應予以審理。惟</w:t>
      </w:r>
      <w:r w:rsidRPr="00387CF4">
        <w:rPr>
          <w:rFonts w:hint="eastAsia"/>
        </w:rPr>
        <w:t>警政署</w:t>
      </w:r>
      <w:r w:rsidRPr="00AC77DF">
        <w:t>釋示移送懲戒原則未能反映上開修正意旨，致多數警察人事人員竟仍持「必待法院刑事判決確定」後始得移送懲戒之錯誤認知，</w:t>
      </w:r>
      <w:r w:rsidRPr="00387CF4">
        <w:rPr>
          <w:rFonts w:hint="eastAsia"/>
        </w:rPr>
        <w:t>警政署</w:t>
      </w:r>
      <w:r w:rsidRPr="00AC77DF">
        <w:t>應再加檢視相關原則之妥適性，並對所屬持續宣導，以期發揮懲戒及時之效。</w:t>
      </w:r>
    </w:p>
    <w:p w:rsidR="003807A5" w:rsidRPr="00AC77DF" w:rsidRDefault="003807A5" w:rsidP="00B7222B">
      <w:pPr>
        <w:pStyle w:val="1---"/>
        <w:ind w:firstLine="480"/>
      </w:pPr>
      <w:r w:rsidRPr="00AC77DF">
        <w:t>依據本案調查意見</w:t>
      </w:r>
      <w:r w:rsidRPr="00426A3B">
        <w:rPr>
          <w:rStyle w:val="aff2"/>
          <w:rFonts w:eastAsiaTheme="minorEastAsia"/>
        </w:rPr>
        <w:footnoteReference w:id="56"/>
      </w:r>
      <w:r w:rsidRPr="00AC77DF">
        <w:t>，監察院彈劾</w:t>
      </w:r>
      <w:r w:rsidRPr="00AC77DF">
        <w:t>4</w:t>
      </w:r>
      <w:r w:rsidRPr="00AC77DF">
        <w:t>名違失員警。糾正</w:t>
      </w:r>
      <w:r w:rsidRPr="00387CF4">
        <w:rPr>
          <w:rFonts w:hint="eastAsia"/>
        </w:rPr>
        <w:t>警政署</w:t>
      </w:r>
      <w:r w:rsidRPr="00AC77DF">
        <w:t>及桃園市政府警察局，並請該署議處相關失職人員；另函請法務部轉飭所屬檢察機關檢討改進見復。</w:t>
      </w:r>
    </w:p>
    <w:p w:rsidR="003807A5" w:rsidRPr="00AC77DF" w:rsidRDefault="00270354" w:rsidP="00C55320">
      <w:pPr>
        <w:pStyle w:val="afff1"/>
        <w:spacing w:before="360" w:after="360"/>
      </w:pPr>
      <w:bookmarkStart w:id="113" w:name="_Toc527731123"/>
      <w:r>
        <w:rPr>
          <w:rFonts w:hint="eastAsia"/>
        </w:rPr>
        <w:lastRenderedPageBreak/>
        <w:t>(三)</w:t>
      </w:r>
      <w:r w:rsidR="003807A5" w:rsidRPr="00AC77DF">
        <w:t>政府機關改善情形</w:t>
      </w:r>
      <w:bookmarkEnd w:id="113"/>
    </w:p>
    <w:p w:rsidR="00650547" w:rsidRDefault="003807A5" w:rsidP="007373B4">
      <w:pPr>
        <w:pStyle w:val="1---"/>
        <w:ind w:leftChars="100" w:left="600" w:hangingChars="150" w:hanging="360"/>
      </w:pPr>
      <w:r w:rsidRPr="00AC77DF">
        <w:t>1</w:t>
      </w:r>
      <w:r w:rsidRPr="00AC77DF">
        <w:t>、</w:t>
      </w:r>
      <w:r w:rsidR="00650547" w:rsidRPr="00AC77DF">
        <w:t>監察院彈劾</w:t>
      </w:r>
      <w:r w:rsidR="00650547">
        <w:rPr>
          <w:rFonts w:hint="eastAsia"/>
        </w:rPr>
        <w:t>桃園市政府警察局所屬吳彥霖、丁政豪、李永龍、林照雄等</w:t>
      </w:r>
      <w:r w:rsidR="00650547" w:rsidRPr="00AC77DF">
        <w:t>4</w:t>
      </w:r>
      <w:r w:rsidR="00650547" w:rsidRPr="00AC77DF">
        <w:t>名違失員警</w:t>
      </w:r>
      <w:r w:rsidR="00650547">
        <w:t>，</w:t>
      </w:r>
      <w:r w:rsidR="00650547">
        <w:rPr>
          <w:rFonts w:hint="eastAsia"/>
        </w:rPr>
        <w:t>經公懲會</w:t>
      </w:r>
      <w:r w:rsidR="00650547">
        <w:rPr>
          <w:rFonts w:hint="eastAsia"/>
        </w:rPr>
        <w:t>106</w:t>
      </w:r>
      <w:r w:rsidR="00650547">
        <w:rPr>
          <w:rFonts w:hint="eastAsia"/>
        </w:rPr>
        <w:t>年度澄字第</w:t>
      </w:r>
      <w:r w:rsidR="00650547">
        <w:rPr>
          <w:rFonts w:hint="eastAsia"/>
        </w:rPr>
        <w:t>3506</w:t>
      </w:r>
      <w:r w:rsidR="00650547">
        <w:rPr>
          <w:rFonts w:hint="eastAsia"/>
        </w:rPr>
        <w:t>號判決，均撤職並各停止任用</w:t>
      </w:r>
      <w:r w:rsidR="00650547">
        <w:rPr>
          <w:rFonts w:hint="eastAsia"/>
        </w:rPr>
        <w:t>3</w:t>
      </w:r>
      <w:r w:rsidR="00650547">
        <w:rPr>
          <w:rFonts w:hint="eastAsia"/>
        </w:rPr>
        <w:t>年。</w:t>
      </w:r>
    </w:p>
    <w:p w:rsidR="003807A5" w:rsidRPr="00AC77DF" w:rsidRDefault="00650547" w:rsidP="007373B4">
      <w:pPr>
        <w:pStyle w:val="1---"/>
        <w:ind w:leftChars="100" w:left="600" w:hangingChars="150" w:hanging="360"/>
      </w:pPr>
      <w:r>
        <w:t>2</w:t>
      </w:r>
      <w:r>
        <w:t>、</w:t>
      </w:r>
      <w:r w:rsidR="003807A5" w:rsidRPr="00AC77DF">
        <w:t>平鎮分局嚴格要求各所、隊逮捕解送人犯至移送地檢署及法院前，確依「平鎮分局逮捕解送人犯安全檢核表</w:t>
      </w:r>
      <w:r w:rsidR="003807A5" w:rsidRPr="0086604B">
        <w:rPr>
          <w:spacing w:val="-30"/>
        </w:rPr>
        <w:t>」、</w:t>
      </w:r>
      <w:r w:rsidR="003807A5" w:rsidRPr="00AC77DF">
        <w:t>「辦理刑事案件移送檢核表」核列事項，逐一核列審查是否與所犯案件真實性相符。另詳加審核有無違背法定程序之情節、侵害犯罪嫌疑人或被告權益之種類及輕重、證據取得之違法等情事。</w:t>
      </w:r>
    </w:p>
    <w:p w:rsidR="003807A5" w:rsidRPr="00AC77DF" w:rsidRDefault="00650547" w:rsidP="007373B4">
      <w:pPr>
        <w:pStyle w:val="1---"/>
        <w:ind w:leftChars="100" w:left="600" w:hangingChars="150" w:hanging="360"/>
      </w:pPr>
      <w:r>
        <w:t>3</w:t>
      </w:r>
      <w:r w:rsidR="003807A5" w:rsidRPr="00AC77DF">
        <w:t>、平鎮分局責成偵查隊各承辦人接獲檢察官及書記官電話詢問交辦事項，應落實註記於公務電話紀錄簿，責由專人逐一審核控管，並將查處辦理情形製作成管制清冊，由正、副隊長每日查核辦理情形。由秘書室、督察組每月抽查由院檢來電公務電話錄音檔，查證偵查隊有無落實該項作業，未落實登錄者依「警察人員獎懲標準」議處。</w:t>
      </w:r>
    </w:p>
    <w:p w:rsidR="003807A5" w:rsidRPr="00AC77DF" w:rsidRDefault="00650547" w:rsidP="007373B4">
      <w:pPr>
        <w:pStyle w:val="1---"/>
        <w:ind w:leftChars="100" w:left="600" w:hangingChars="150" w:hanging="360"/>
      </w:pPr>
      <w:r>
        <w:t>4</w:t>
      </w:r>
      <w:r w:rsidR="003807A5" w:rsidRPr="00AC77DF">
        <w:t>、楊梅分局要求偵查隊鑑定書業務承辦人於收受鑑定書起</w:t>
      </w:r>
      <w:r w:rsidR="003807A5" w:rsidRPr="00AC77DF">
        <w:t>7</w:t>
      </w:r>
      <w:r w:rsidR="003807A5" w:rsidRPr="00AC77DF">
        <w:t>日內，依該分局「偵查隊刑責區暨承辦業務配置表」所規範之刑事責任區，指定專責查緝人員偵辦，並以便簽呈報單位主管。案卷復交專責人員簽收，並列管辦理進度。</w:t>
      </w:r>
    </w:p>
    <w:p w:rsidR="003807A5" w:rsidRPr="00AC77DF" w:rsidRDefault="00650547" w:rsidP="007373B4">
      <w:pPr>
        <w:pStyle w:val="1---"/>
        <w:ind w:leftChars="100" w:left="600" w:hangingChars="150" w:hanging="360"/>
      </w:pPr>
      <w:r>
        <w:t>5</w:t>
      </w:r>
      <w:r w:rsidR="003807A5" w:rsidRPr="00AC77DF">
        <w:t>、</w:t>
      </w:r>
      <w:r w:rsidR="003807A5" w:rsidRPr="00387CF4">
        <w:rPr>
          <w:rFonts w:hint="eastAsia"/>
        </w:rPr>
        <w:t>警政署</w:t>
      </w:r>
      <w:r w:rsidR="003807A5" w:rsidRPr="00AC77DF">
        <w:t>「春安工作」經相關單位多次協調研議革新，朝務實、簡化、減紙方向辦理，由各地方政府依轄區特性及地方需求規劃執行。同步配合檢討更名為「加強重要節日安全維護工作</w:t>
      </w:r>
      <w:r w:rsidR="003807A5" w:rsidRPr="0086604B">
        <w:rPr>
          <w:spacing w:val="-30"/>
        </w:rPr>
        <w:t>」</w:t>
      </w:r>
      <w:r w:rsidR="003807A5" w:rsidRPr="00AC77DF">
        <w:t>，並將工作期程縮短</w:t>
      </w:r>
      <w:r w:rsidR="003807A5" w:rsidRPr="0086604B">
        <w:rPr>
          <w:spacing w:val="-14"/>
        </w:rPr>
        <w:t>為</w:t>
      </w:r>
      <w:r w:rsidR="003807A5" w:rsidRPr="00AC77DF">
        <w:t>1</w:t>
      </w:r>
      <w:r w:rsidR="003807A5" w:rsidRPr="0086604B">
        <w:rPr>
          <w:spacing w:val="-14"/>
        </w:rPr>
        <w:t>5</w:t>
      </w:r>
      <w:r w:rsidR="003807A5" w:rsidRPr="00AC77DF">
        <w:t>日，以破除數字迷</w:t>
      </w:r>
      <w:r w:rsidR="003807A5" w:rsidRPr="00AC77DF">
        <w:lastRenderedPageBreak/>
        <w:t>思及不當績效競爭。</w:t>
      </w:r>
    </w:p>
    <w:p w:rsidR="003807A5" w:rsidRPr="00AC77DF" w:rsidRDefault="00650547" w:rsidP="007373B4">
      <w:pPr>
        <w:pStyle w:val="1---"/>
        <w:ind w:leftChars="100" w:left="600" w:hangingChars="150" w:hanging="360"/>
      </w:pPr>
      <w:r>
        <w:t>6</w:t>
      </w:r>
      <w:r w:rsidR="003807A5" w:rsidRPr="00AC77DF">
        <w:t>、法務部已責成</w:t>
      </w:r>
      <w:r w:rsidR="003807A5" w:rsidRPr="0025002C">
        <w:rPr>
          <w:rFonts w:hint="eastAsia"/>
        </w:rPr>
        <w:t>臺灣高等檢察署（簡稱高檢署）</w:t>
      </w:r>
      <w:r w:rsidR="003807A5" w:rsidRPr="00AC77DF">
        <w:t>分函各地檢署加強新進檢察官之養成訓練，由主任檢察官或資深檢察官協助新進人員辦案至少一年，藉以傳承偵查實務工作經驗，避免類案再次發生。</w:t>
      </w:r>
    </w:p>
    <w:p w:rsidR="003807A5" w:rsidRPr="00AC77DF" w:rsidRDefault="00270354" w:rsidP="00C55320">
      <w:pPr>
        <w:pStyle w:val="afff1"/>
        <w:spacing w:before="360" w:after="360"/>
      </w:pPr>
      <w:bookmarkStart w:id="114" w:name="_Toc527731124"/>
      <w:r>
        <w:rPr>
          <w:rFonts w:hint="eastAsia"/>
        </w:rPr>
        <w:t>(四)</w:t>
      </w:r>
      <w:r w:rsidR="003807A5" w:rsidRPr="00AC77DF">
        <w:t>案件進展</w:t>
      </w:r>
      <w:bookmarkEnd w:id="114"/>
    </w:p>
    <w:p w:rsidR="003807A5" w:rsidRDefault="00696AAA" w:rsidP="00274413">
      <w:pPr>
        <w:pStyle w:val="1---"/>
        <w:spacing w:before="180" w:after="180"/>
        <w:ind w:firstLine="480"/>
        <w:rPr>
          <w:lang w:eastAsia="zh-TW"/>
        </w:rPr>
      </w:pPr>
      <w:r w:rsidRPr="00696AAA">
        <w:rPr>
          <w:rFonts w:hint="eastAsia"/>
        </w:rPr>
        <w:t>本案相關機關已檢討改進，</w:t>
      </w:r>
      <w:r>
        <w:rPr>
          <w:rFonts w:hint="eastAsia"/>
        </w:rPr>
        <w:t>爰予</w:t>
      </w:r>
      <w:r w:rsidRPr="00696AAA">
        <w:rPr>
          <w:rFonts w:hint="eastAsia"/>
        </w:rPr>
        <w:t>結案</w:t>
      </w:r>
      <w:r w:rsidR="003807A5" w:rsidRPr="00AC77DF">
        <w:t>。</w:t>
      </w:r>
    </w:p>
    <w:p w:rsidR="00270354" w:rsidRDefault="00270354" w:rsidP="00274413">
      <w:pPr>
        <w:pStyle w:val="1---"/>
        <w:spacing w:before="180" w:after="180"/>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2433"/>
      </w:tblGrid>
      <w:tr w:rsidR="00270354" w:rsidTr="00FF62DA">
        <w:tc>
          <w:tcPr>
            <w:tcW w:w="2433" w:type="dxa"/>
            <w:shd w:val="clear" w:color="auto" w:fill="D9D9D9" w:themeFill="background1" w:themeFillShade="D9"/>
          </w:tcPr>
          <w:p w:rsidR="00270354" w:rsidRDefault="00270354" w:rsidP="00270354">
            <w:pPr>
              <w:pStyle w:val="11-"/>
              <w:spacing w:before="72" w:after="108"/>
              <w:rPr>
                <w:lang w:eastAsia="zh-TW"/>
              </w:rPr>
            </w:pPr>
            <w:bookmarkStart w:id="115" w:name="_Toc527731075"/>
            <w:bookmarkStart w:id="116" w:name="_Toc535228339"/>
            <w:bookmarkStart w:id="117" w:name="_Toc4058750"/>
            <w:r w:rsidRPr="00AC77DF">
              <w:t>檢察官辦案稽延</w:t>
            </w:r>
            <w:bookmarkEnd w:id="115"/>
            <w:bookmarkEnd w:id="116"/>
            <w:bookmarkEnd w:id="117"/>
          </w:p>
        </w:tc>
      </w:tr>
    </w:tbl>
    <w:p w:rsidR="00270354" w:rsidRPr="00270354" w:rsidRDefault="00270354" w:rsidP="00270354">
      <w:pPr>
        <w:pStyle w:val="1---"/>
        <w:ind w:firstLine="480"/>
      </w:pPr>
    </w:p>
    <w:tbl>
      <w:tblPr>
        <w:tblStyle w:val="aff5"/>
        <w:tblW w:w="4756" w:type="pct"/>
        <w:tblInd w:w="113" w:type="dxa"/>
        <w:tblLook w:val="04A0" w:firstRow="1" w:lastRow="0" w:firstColumn="1" w:lastColumn="0" w:noHBand="0" w:noVBand="1"/>
      </w:tblPr>
      <w:tblGrid>
        <w:gridCol w:w="6516"/>
      </w:tblGrid>
      <w:tr w:rsidR="00AC5557" w:rsidTr="00270354">
        <w:tc>
          <w:tcPr>
            <w:tcW w:w="5000" w:type="pct"/>
          </w:tcPr>
          <w:p w:rsidR="00AC5557" w:rsidRPr="00AC77DF" w:rsidRDefault="00AC5557" w:rsidP="00270354">
            <w:pPr>
              <w:spacing w:line="360" w:lineRule="exact"/>
              <w:jc w:val="both"/>
              <w:rPr>
                <w:lang w:val="x-none"/>
              </w:rPr>
            </w:pPr>
            <w:bookmarkStart w:id="118" w:name="_Toc527731076"/>
            <w:r w:rsidRPr="00AC77DF">
              <w:rPr>
                <w:b/>
                <w:lang w:val="x-none"/>
              </w:rPr>
              <w:t>相關國際人權公約：</w:t>
            </w:r>
            <w:r w:rsidRPr="00AC77DF">
              <w:t>公民與政治權利國際公約第</w:t>
            </w:r>
            <w:r w:rsidRPr="00AC77DF">
              <w:t>14</w:t>
            </w:r>
            <w:r w:rsidRPr="00AC77DF">
              <w:t>條第</w:t>
            </w:r>
            <w:r w:rsidRPr="00AC77DF">
              <w:t>3</w:t>
            </w:r>
            <w:r w:rsidRPr="00AC77DF">
              <w:t>項第</w:t>
            </w:r>
            <w:r w:rsidRPr="00AC77DF">
              <w:t>3</w:t>
            </w:r>
            <w:r w:rsidRPr="00AC77DF">
              <w:t>款、公民與政治權利國際公約第</w:t>
            </w:r>
            <w:r w:rsidRPr="00AC77DF">
              <w:t>32</w:t>
            </w:r>
            <w:r w:rsidRPr="00AC77DF">
              <w:t>號一般性意見第</w:t>
            </w:r>
            <w:r w:rsidRPr="00AC77DF">
              <w:t>35</w:t>
            </w:r>
            <w:r w:rsidRPr="00AC77DF">
              <w:t>點</w:t>
            </w:r>
          </w:p>
          <w:p w:rsidR="00AC5557" w:rsidRPr="00AC77DF" w:rsidRDefault="007D0F55" w:rsidP="00270354">
            <w:pPr>
              <w:spacing w:line="360" w:lineRule="exact"/>
              <w:jc w:val="both"/>
              <w:rPr>
                <w:b/>
                <w:lang w:val="x-none"/>
              </w:rPr>
            </w:pPr>
            <w:r w:rsidRPr="007D0F55">
              <w:rPr>
                <w:b/>
              </w:rPr>
              <w:t>公民與政治權利國際公約</w:t>
            </w:r>
            <w:r w:rsidR="00AC5557" w:rsidRPr="007D0F55">
              <w:rPr>
                <w:b/>
              </w:rPr>
              <w:t>第</w:t>
            </w:r>
            <w:r w:rsidR="00AC5557" w:rsidRPr="00AC77DF">
              <w:rPr>
                <w:b/>
              </w:rPr>
              <w:t>32</w:t>
            </w:r>
            <w:r w:rsidR="00AC5557" w:rsidRPr="00AC77DF">
              <w:rPr>
                <w:b/>
              </w:rPr>
              <w:t>號一般性意見第</w:t>
            </w:r>
            <w:r w:rsidR="00AC5557" w:rsidRPr="00AC77DF">
              <w:rPr>
                <w:b/>
              </w:rPr>
              <w:t>35</w:t>
            </w:r>
            <w:r w:rsidR="00AC5557" w:rsidRPr="00AC77DF">
              <w:rPr>
                <w:b/>
              </w:rPr>
              <w:t>點</w:t>
            </w:r>
          </w:p>
          <w:p w:rsidR="00AC5557" w:rsidRPr="00AC5557" w:rsidRDefault="00AC5557" w:rsidP="00270354">
            <w:pPr>
              <w:pStyle w:val="1---"/>
              <w:ind w:firstLineChars="0" w:firstLine="0"/>
              <w:rPr>
                <w:rFonts w:ascii="標楷體" w:eastAsia="標楷體" w:hAnsi="標楷體"/>
                <w:lang w:eastAsia="zh-TW"/>
              </w:rPr>
            </w:pPr>
            <w:r w:rsidRPr="00FF62DA">
              <w:rPr>
                <w:rFonts w:eastAsia="標楷體"/>
              </w:rPr>
              <w:t>35.</w:t>
            </w:r>
            <w:r w:rsidRPr="00AC5557">
              <w:rPr>
                <w:rFonts w:ascii="標楷體" w:eastAsia="標楷體" w:hAnsi="標楷體"/>
              </w:rPr>
              <w:t>第十四條第三項第三款規定被告受審時間不被無故拖延的權利。這不僅旨在避免使被告過久處於命運不定的狀態，並且</w:t>
            </w:r>
            <w:r w:rsidR="001E1478">
              <w:rPr>
                <w:rFonts w:ascii="標楷體" w:eastAsia="標楷體" w:hAnsi="標楷體" w:hint="eastAsia"/>
                <w:lang w:eastAsia="zh-TW"/>
              </w:rPr>
              <w:t>－</w:t>
            </w:r>
            <w:r w:rsidRPr="00AC5557">
              <w:rPr>
                <w:rFonts w:ascii="標楷體" w:eastAsia="標楷體" w:hAnsi="標楷體"/>
              </w:rPr>
              <w:t>如果在審判期間被羈押</w:t>
            </w:r>
            <w:r w:rsidR="001E1478">
              <w:rPr>
                <w:rFonts w:ascii="標楷體" w:eastAsia="標楷體" w:hAnsi="標楷體" w:hint="eastAsia"/>
                <w:lang w:eastAsia="zh-TW"/>
              </w:rPr>
              <w:t>－</w:t>
            </w:r>
            <w:r w:rsidRPr="00AC5557">
              <w:rPr>
                <w:rFonts w:ascii="標楷體" w:eastAsia="標楷體" w:hAnsi="標楷體"/>
              </w:rPr>
              <w:t>旨在確保這類剝奪自由不超過具體案件情況的需要，而且符合司法的利益。必須根據每一案件的具體情況評估什麼才是合理；主要兼顧到案件的複雜性、被告行為以及行政和司法機關處理案件的方式。在法院不允許保釋被告的情況下，必須儘可能快地審判他們。這一</w:t>
            </w:r>
            <w:r w:rsidRPr="00AC5557">
              <w:rPr>
                <w:rFonts w:ascii="標楷體" w:eastAsia="標楷體" w:hAnsi="標楷體"/>
              </w:rPr>
              <w:lastRenderedPageBreak/>
              <w:t>保障不僅涉及正式提出指控與應開庭審判之間的時間，而且還涉及直至上訴作出最後判決的時間。所有階段，無論是第一審或上訴，都不得「不當拖延」。</w:t>
            </w:r>
          </w:p>
        </w:tc>
      </w:tr>
    </w:tbl>
    <w:p w:rsidR="003807A5" w:rsidRPr="00AC77DF" w:rsidRDefault="00270354" w:rsidP="00E5718D">
      <w:pPr>
        <w:pStyle w:val="afff1"/>
        <w:spacing w:before="360" w:after="360"/>
      </w:pPr>
      <w:r>
        <w:rPr>
          <w:rFonts w:hint="eastAsia"/>
        </w:rPr>
        <w:lastRenderedPageBreak/>
        <w:t>(一)</w:t>
      </w:r>
      <w:r w:rsidR="003807A5" w:rsidRPr="00AC77DF">
        <w:t>案情簡述</w:t>
      </w:r>
      <w:bookmarkEnd w:id="118"/>
    </w:p>
    <w:p w:rsidR="003807A5" w:rsidRPr="00AC77DF" w:rsidRDefault="003807A5" w:rsidP="00B7222B">
      <w:pPr>
        <w:pStyle w:val="1---"/>
        <w:ind w:firstLine="480"/>
        <w:rPr>
          <w:lang w:eastAsia="zh-TW"/>
        </w:rPr>
      </w:pPr>
      <w:r w:rsidRPr="00AC77DF">
        <w:t>臺灣臺北地方檢察署（簡稱臺北地檢署）前檢察官徐仕瑋辦案稽延情形嚴重，且於</w:t>
      </w:r>
      <w:r w:rsidRPr="00AC77DF">
        <w:t>104</w:t>
      </w:r>
      <w:r w:rsidRPr="00AC77DF">
        <w:t>年</w:t>
      </w:r>
      <w:r w:rsidRPr="00AC77DF">
        <w:t>3</w:t>
      </w:r>
      <w:r w:rsidRPr="00AC77DF">
        <w:t>月間將大量偵字及他字等案件交由檢察事務官辦理，嚴重懈怠職務，濫用對於檢察事務官之指揮權限，其廢弛職務情節重大，經檢察官評鑑委員會決議，報由法務部移送監察院審查，爰經監察委員調查。</w:t>
      </w:r>
    </w:p>
    <w:p w:rsidR="003807A5" w:rsidRPr="00AC77DF" w:rsidRDefault="00270354" w:rsidP="00E5718D">
      <w:pPr>
        <w:pStyle w:val="afff1"/>
        <w:spacing w:before="360" w:after="360"/>
      </w:pPr>
      <w:bookmarkStart w:id="119" w:name="_Toc527731077"/>
      <w:r>
        <w:rPr>
          <w:rFonts w:hint="eastAsia"/>
        </w:rPr>
        <w:t>(二)</w:t>
      </w:r>
      <w:r w:rsidR="003807A5" w:rsidRPr="00AC77DF">
        <w:t>監察院調查發現與建議</w:t>
      </w:r>
      <w:bookmarkEnd w:id="119"/>
    </w:p>
    <w:p w:rsidR="003807A5" w:rsidRPr="00AC77DF" w:rsidRDefault="00383BEE" w:rsidP="00D92DAE">
      <w:pPr>
        <w:pStyle w:val="1--13"/>
        <w:spacing w:before="180" w:after="180"/>
      </w:pPr>
      <w:r w:rsidRPr="008E1832">
        <w:rPr>
          <w:rFonts w:hint="eastAsia"/>
        </w:rPr>
        <w:t>˙</w:t>
      </w:r>
      <w:r w:rsidR="003807A5" w:rsidRPr="00AC77DF">
        <w:t>未結案件偏高</w:t>
      </w:r>
    </w:p>
    <w:p w:rsidR="003807A5" w:rsidRPr="00AC77DF" w:rsidRDefault="003807A5" w:rsidP="00B7222B">
      <w:pPr>
        <w:pStyle w:val="1---"/>
        <w:ind w:firstLine="480"/>
        <w:rPr>
          <w:lang w:eastAsia="zh-TW"/>
        </w:rPr>
      </w:pPr>
      <w:r w:rsidRPr="00AC77DF">
        <w:t>徐仕瑋自</w:t>
      </w:r>
      <w:r w:rsidRPr="00AC77DF">
        <w:t>103</w:t>
      </w:r>
      <w:r w:rsidRPr="00AC77DF">
        <w:t>年</w:t>
      </w:r>
      <w:r w:rsidRPr="00AC77DF">
        <w:t>1</w:t>
      </w:r>
      <w:r w:rsidRPr="00AC77DF">
        <w:t>月辦理偵查業務起至</w:t>
      </w:r>
      <w:r w:rsidRPr="00AC77DF">
        <w:t>104</w:t>
      </w:r>
      <w:r w:rsidRPr="00AC77DF">
        <w:t>年</w:t>
      </w:r>
      <w:r w:rsidRPr="00AC77DF">
        <w:t>3</w:t>
      </w:r>
      <w:r w:rsidRPr="00AC77DF">
        <w:t>月止，其平均每月未結案件</w:t>
      </w:r>
      <w:r w:rsidRPr="000E4DE6">
        <w:rPr>
          <w:spacing w:val="-8"/>
        </w:rPr>
        <w:t>數</w:t>
      </w:r>
      <w:r w:rsidRPr="00AC77DF">
        <w:t>204.4</w:t>
      </w:r>
      <w:r w:rsidRPr="000E4DE6">
        <w:rPr>
          <w:spacing w:val="-8"/>
        </w:rPr>
        <w:t>7</w:t>
      </w:r>
      <w:r w:rsidRPr="00AC77DF">
        <w:t>件，相較於該期間內，臺北地檢署每股檢察官每月平均未結案件</w:t>
      </w:r>
      <w:r w:rsidRPr="000E4DE6">
        <w:rPr>
          <w:spacing w:val="-12"/>
        </w:rPr>
        <w:t>數</w:t>
      </w:r>
      <w:r w:rsidRPr="00AC77DF">
        <w:t>140.9</w:t>
      </w:r>
      <w:r w:rsidRPr="000E4DE6">
        <w:rPr>
          <w:spacing w:val="-8"/>
        </w:rPr>
        <w:t>5</w:t>
      </w:r>
      <w:r w:rsidRPr="00AC77DF">
        <w:t>件，其超額率</w:t>
      </w:r>
      <w:r w:rsidRPr="000E4DE6">
        <w:rPr>
          <w:spacing w:val="-12"/>
        </w:rPr>
        <w:t>約</w:t>
      </w:r>
      <w:r w:rsidRPr="00AC77DF">
        <w:t>145</w:t>
      </w:r>
      <w:r w:rsidR="00F9266D">
        <w:t>%</w:t>
      </w:r>
      <w:r w:rsidRPr="00AC77DF">
        <w:t>。另其為避免辦理育嬰留職停薪時，恐因違反法務部函頒「辭職、調職檢察官未結案件報告表填寫注意事項」第</w:t>
      </w:r>
      <w:r w:rsidRPr="00AC77DF">
        <w:t>13</w:t>
      </w:r>
      <w:r w:rsidRPr="00AC77DF">
        <w:t>點規定遭到處分，竟於</w:t>
      </w:r>
      <w:r w:rsidRPr="00AC77DF">
        <w:t>104</w:t>
      </w:r>
      <w:r w:rsidRPr="00AC77DF">
        <w:t>年</w:t>
      </w:r>
      <w:r w:rsidRPr="00AC77DF">
        <w:t>3</w:t>
      </w:r>
      <w:r w:rsidRPr="00AC77DF">
        <w:t>月</w:t>
      </w:r>
      <w:r w:rsidRPr="00AC77DF">
        <w:t>11</w:t>
      </w:r>
      <w:r w:rsidRPr="00AC77DF">
        <w:t>日至</w:t>
      </w:r>
      <w:r w:rsidRPr="00AC77DF">
        <w:t>16</w:t>
      </w:r>
      <w:r w:rsidRPr="00AC77DF">
        <w:t>日短短</w:t>
      </w:r>
      <w:r w:rsidRPr="00AC77DF">
        <w:t>6</w:t>
      </w:r>
      <w:r w:rsidRPr="00AC77DF">
        <w:t>日間，將</w:t>
      </w:r>
      <w:r w:rsidRPr="00AC77DF">
        <w:t>164</w:t>
      </w:r>
      <w:r w:rsidRPr="00AC77DF">
        <w:t>件未結案件交予檢察事務官辦理，連同自己偵結案件，該月總共偵結</w:t>
      </w:r>
      <w:r w:rsidRPr="00AC77DF">
        <w:t>261</w:t>
      </w:r>
      <w:r w:rsidRPr="00AC77DF">
        <w:t>件，始可在最後移交時未結案件僅</w:t>
      </w:r>
      <w:r w:rsidRPr="000E4DE6">
        <w:rPr>
          <w:spacing w:val="-8"/>
        </w:rPr>
        <w:t>有</w:t>
      </w:r>
      <w:r w:rsidRPr="00AC77DF">
        <w:t>14</w:t>
      </w:r>
      <w:r w:rsidRPr="000E4DE6">
        <w:rPr>
          <w:spacing w:val="-8"/>
        </w:rPr>
        <w:t>6</w:t>
      </w:r>
      <w:r w:rsidRPr="00AC77DF">
        <w:t>件，進而規避上開規定之最低處分標準而終未被處分，並於</w:t>
      </w:r>
      <w:r w:rsidRPr="00AC77DF">
        <w:t>104</w:t>
      </w:r>
      <w:r w:rsidRPr="00AC77DF">
        <w:t>年</w:t>
      </w:r>
      <w:r w:rsidRPr="00AC77DF">
        <w:t>3</w:t>
      </w:r>
      <w:r w:rsidRPr="00AC77DF">
        <w:t>月</w:t>
      </w:r>
      <w:r w:rsidRPr="00AC77DF">
        <w:t>27</w:t>
      </w:r>
      <w:r w:rsidRPr="00AC77DF">
        <w:t>日</w:t>
      </w:r>
      <w:r w:rsidRPr="00AC77DF">
        <w:lastRenderedPageBreak/>
        <w:t>育嬰留職停薪，且於同年</w:t>
      </w:r>
      <w:r w:rsidRPr="00AC77DF">
        <w:t>6</w:t>
      </w:r>
      <w:r w:rsidRPr="00AC77DF">
        <w:t>月</w:t>
      </w:r>
      <w:r w:rsidRPr="00AC77DF">
        <w:t>27</w:t>
      </w:r>
      <w:r w:rsidRPr="00AC77DF">
        <w:t>日辭職。</w:t>
      </w:r>
    </w:p>
    <w:p w:rsidR="003807A5" w:rsidRPr="00AC77DF" w:rsidRDefault="003807A5" w:rsidP="00B7222B">
      <w:pPr>
        <w:pStyle w:val="1---"/>
        <w:ind w:firstLine="480"/>
      </w:pPr>
      <w:r w:rsidRPr="00AC77DF">
        <w:t>檢察事務官依法院組織法第</w:t>
      </w:r>
      <w:r w:rsidRPr="00AC77DF">
        <w:t>66</w:t>
      </w:r>
      <w:r w:rsidRPr="00AC77DF">
        <w:t>條之</w:t>
      </w:r>
      <w:r w:rsidRPr="00AC77DF">
        <w:t>3</w:t>
      </w:r>
      <w:r w:rsidRPr="00AC77DF">
        <w:t>規定視為「司法警察官</w:t>
      </w:r>
      <w:r w:rsidRPr="000E4DE6">
        <w:rPr>
          <w:spacing w:val="-30"/>
        </w:rPr>
        <w:t>」</w:t>
      </w:r>
      <w:r w:rsidRPr="00AC77DF">
        <w:t>。本案徐仕瑋形同借「司法警察官」之手，行檢察官自己結案之實，恣意濫用對檢察事務官之指揮權限，未能勤慎執行檢察官職務，影響人民訴訟權益及檢察官形象。</w:t>
      </w:r>
    </w:p>
    <w:p w:rsidR="003807A5" w:rsidRPr="00AC77DF" w:rsidRDefault="00383BEE" w:rsidP="00D92DAE">
      <w:pPr>
        <w:pStyle w:val="1--13"/>
        <w:spacing w:before="180" w:after="180"/>
        <w:rPr>
          <w:rFonts w:eastAsiaTheme="majorEastAsia"/>
        </w:rPr>
      </w:pPr>
      <w:r w:rsidRPr="008E1832">
        <w:rPr>
          <w:rFonts w:hint="eastAsia"/>
        </w:rPr>
        <w:t>˙</w:t>
      </w:r>
      <w:r w:rsidR="003807A5" w:rsidRPr="00AC77DF">
        <w:t>檢察事務官制度有待檢討</w:t>
      </w:r>
    </w:p>
    <w:p w:rsidR="003807A5" w:rsidRPr="00AC77DF" w:rsidRDefault="003807A5" w:rsidP="00B7222B">
      <w:pPr>
        <w:pStyle w:val="1---"/>
        <w:ind w:firstLine="480"/>
      </w:pPr>
      <w:r w:rsidRPr="00AC77DF">
        <w:t>依「地方檢察署檢察事務官事務分配要點」第</w:t>
      </w:r>
      <w:r w:rsidRPr="00AC77DF">
        <w:t>4</w:t>
      </w:r>
      <w:r w:rsidRPr="00AC77DF">
        <w:t>點第</w:t>
      </w:r>
      <w:r w:rsidRPr="00AC77DF">
        <w:t>1</w:t>
      </w:r>
      <w:r w:rsidRPr="00AC77DF">
        <w:t>款之規定，法務部認可檢察官所指揮檢察事務官製作之「卷證分析報告</w:t>
      </w:r>
      <w:r w:rsidRPr="000E4DE6">
        <w:rPr>
          <w:spacing w:val="-30"/>
        </w:rPr>
        <w:t>」</w:t>
      </w:r>
      <w:r w:rsidRPr="00AC77DF">
        <w:t>，可以使用檢察書類格式，來擬具「卷證分析報告」，再經由電腦程式轉化格式後，由檢察官蓋章轉換為結案書類，即可用來報結案件，如此將使「卷證分析報告」與檢察官結案書類實質等同，可謂是變相容許檢察事務官代替檢察官撰寫檢察書類結案。又同點第</w:t>
      </w:r>
      <w:r w:rsidRPr="00AC77DF">
        <w:t>5</w:t>
      </w:r>
      <w:r w:rsidRPr="00AC77DF">
        <w:t>款「例行性事務」明定在檢察官指揮下可由檢察事務官全程辦理，而該事務之內涵，法務部則委由各地檢署因地制宜訂定事務類型，形同將偵查中某特定類型案件，明定容許檢察事務官實施偵查、提起公訴等作為，甚至如臺灣雲林地方檢察署明定部分「例行性事務」案件，於檢察事務官收案後，得自行負責偵查並結案，實質造成檢察官只剩下蓋章功能。上述情事均與法院組織法修法設置檢察事務官制度目的有違。</w:t>
      </w:r>
    </w:p>
    <w:p w:rsidR="003807A5" w:rsidRPr="00AC77DF" w:rsidRDefault="003807A5" w:rsidP="00B7222B">
      <w:pPr>
        <w:pStyle w:val="1---"/>
        <w:ind w:firstLine="480"/>
      </w:pPr>
      <w:r w:rsidRPr="00AC77DF">
        <w:t>在個別檢察官積案過多時，臺北地檢署檢察首長未依法官法第</w:t>
      </w:r>
      <w:r w:rsidRPr="00AC77DF">
        <w:t>93</w:t>
      </w:r>
      <w:r w:rsidR="007D0F55" w:rsidRPr="00AC77DF">
        <w:t>條</w:t>
      </w:r>
      <w:r w:rsidRPr="00AC77DF">
        <w:t>、</w:t>
      </w:r>
      <w:r w:rsidR="007D0F55" w:rsidRPr="00AC77DF">
        <w:t>第</w:t>
      </w:r>
      <w:r w:rsidRPr="00AC77DF">
        <w:t>94</w:t>
      </w:r>
      <w:r w:rsidRPr="00AC77DF">
        <w:t>條等規定，行使相關之指揮監督權，任由積案過多之檢察官將大量案件交與檢察事務官辦理。</w:t>
      </w:r>
      <w:r w:rsidRPr="00AC77DF">
        <w:t>104</w:t>
      </w:r>
      <w:r w:rsidRPr="00AC77DF">
        <w:t>年</w:t>
      </w:r>
      <w:r w:rsidRPr="00AC77DF">
        <w:t>3</w:t>
      </w:r>
      <w:r w:rsidRPr="00AC77DF">
        <w:t>月間徐仕瑋交辦案件中，其中</w:t>
      </w:r>
      <w:r w:rsidRPr="00AC77DF">
        <w:t>71</w:t>
      </w:r>
      <w:r w:rsidRPr="00AC77DF">
        <w:t>件經交叉比對檢察事務官製作之</w:t>
      </w:r>
      <w:r w:rsidRPr="00AC77DF">
        <w:lastRenderedPageBreak/>
        <w:t>卷證分析報告書與徐仕瑋製作之檢察書類，共有</w:t>
      </w:r>
      <w:r w:rsidRPr="00AC77DF">
        <w:t>68</w:t>
      </w:r>
      <w:r w:rsidRPr="00AC77DF">
        <w:t>件卷證分析報告書與檢察書類內容幾乎完全相同，約</w:t>
      </w:r>
      <w:r w:rsidRPr="000E4DE6">
        <w:rPr>
          <w:spacing w:val="-14"/>
        </w:rPr>
        <w:t>為</w:t>
      </w:r>
      <w:r w:rsidRPr="00AC77DF">
        <w:t>96%</w:t>
      </w:r>
      <w:r w:rsidRPr="00AC77DF">
        <w:t>。可見檢察事務官幾已成為檢察官之分身，實際代行檢察官偵查職權，進而由檢察事務官製作「卷證分析報告」使檢察官得輕易轉製成檢察書類報結，造成職務分際混淆，臺北地檢署核有嚴重違失。且該署對於檢察官將大量案件交與檢察事務官辦理之情形，未列入檢察官職務評定之考據，形同默許上開混淆職務分際之作為，對於用心辦案之檢察官亦不公平。</w:t>
      </w:r>
    </w:p>
    <w:p w:rsidR="003807A5" w:rsidRPr="00AC77DF" w:rsidRDefault="00383BEE" w:rsidP="00D92DAE">
      <w:pPr>
        <w:pStyle w:val="1--13"/>
        <w:spacing w:before="180" w:after="180"/>
      </w:pPr>
      <w:r w:rsidRPr="008E1832">
        <w:rPr>
          <w:rFonts w:hint="eastAsia"/>
        </w:rPr>
        <w:t>˙</w:t>
      </w:r>
      <w:r w:rsidR="003807A5" w:rsidRPr="00AC77DF">
        <w:t>檢察事務官未顯名於檢察書類</w:t>
      </w:r>
    </w:p>
    <w:p w:rsidR="003807A5" w:rsidRPr="00AC77DF" w:rsidRDefault="003807A5" w:rsidP="00B7222B">
      <w:pPr>
        <w:pStyle w:val="1---"/>
        <w:ind w:firstLine="480"/>
      </w:pPr>
      <w:r w:rsidRPr="00AC77DF">
        <w:t>檢察官交與檢察事務官辦理之刑事案件，檢察事務官未顯名於檢察書類，現行實務偵查階段開庭時，因未標示庭上之人究為何人，故被告未必知悉偵查庭中進行詢問者為檢察官或檢察事務官。倘因此致令被告無從或難以知悉承辦檢察事務官為何人，與</w:t>
      </w:r>
      <w:r w:rsidRPr="00AC77DF">
        <w:t>104</w:t>
      </w:r>
      <w:r w:rsidRPr="00AC77DF">
        <w:t>年</w:t>
      </w:r>
      <w:r w:rsidRPr="00AC77DF">
        <w:t>2</w:t>
      </w:r>
      <w:r w:rsidRPr="00AC77DF">
        <w:t>月</w:t>
      </w:r>
      <w:r w:rsidRPr="00AC77DF">
        <w:t>4</w:t>
      </w:r>
      <w:r w:rsidRPr="00AC77DF">
        <w:t>日修正後之現行刑事訴訟法第</w:t>
      </w:r>
      <w:r w:rsidRPr="00AC77DF">
        <w:t>420</w:t>
      </w:r>
      <w:r w:rsidRPr="00AC77DF">
        <w:t>條第</w:t>
      </w:r>
      <w:r w:rsidRPr="00AC77DF">
        <w:t>1</w:t>
      </w:r>
      <w:r w:rsidRPr="00AC77DF">
        <w:t>項第</w:t>
      </w:r>
      <w:r w:rsidRPr="00AC77DF">
        <w:t>5</w:t>
      </w:r>
      <w:r w:rsidRPr="00AC77DF">
        <w:t>款之規範意旨相違，該款規定之再審事由已增定參與調查犯罪之檢察事務官因該案犯職務上之罪已經證明，或因該案件違法失職已受懲戒處分，足以影響原判決者，得為受判決人利益聲請再審，故實務現行作法，將妨礙被告再審權益，而且偵查中人民若未能清楚究竟是辨認檢察事務官詢問，或檢察官訊問，對其自身權益亦有顯著影響。</w:t>
      </w:r>
    </w:p>
    <w:p w:rsidR="003807A5" w:rsidRPr="00AC77DF" w:rsidRDefault="003807A5" w:rsidP="00B7222B">
      <w:pPr>
        <w:pStyle w:val="1---"/>
        <w:ind w:firstLine="480"/>
        <w:rPr>
          <w:rFonts w:eastAsiaTheme="majorEastAsia"/>
          <w:lang w:eastAsia="zh-TW"/>
        </w:rPr>
      </w:pPr>
      <w:r w:rsidRPr="00AC77DF">
        <w:t>依據本案調查意見</w:t>
      </w:r>
      <w:r w:rsidRPr="00F85A65">
        <w:rPr>
          <w:rStyle w:val="aff2"/>
        </w:rPr>
        <w:footnoteReference w:id="57"/>
      </w:r>
      <w:r w:rsidRPr="00AC77DF">
        <w:t>，監察院於</w:t>
      </w:r>
      <w:r w:rsidRPr="00AC77DF">
        <w:t>106</w:t>
      </w:r>
      <w:r w:rsidRPr="00AC77DF">
        <w:t>年</w:t>
      </w:r>
      <w:r w:rsidRPr="00AC77DF">
        <w:t>1</w:t>
      </w:r>
      <w:r w:rsidRPr="00AC77DF">
        <w:t>月</w:t>
      </w:r>
      <w:r w:rsidRPr="00AC77DF">
        <w:t>12</w:t>
      </w:r>
      <w:r w:rsidRPr="00AC77DF">
        <w:t>日彈劾檢察官徐仕瑋；另糾正法務部及臺北地檢署，並請法務部檢討改進</w:t>
      </w:r>
      <w:r w:rsidRPr="00AC77DF">
        <w:lastRenderedPageBreak/>
        <w:t>見復。</w:t>
      </w:r>
    </w:p>
    <w:p w:rsidR="003807A5" w:rsidRPr="00AC77DF" w:rsidRDefault="00270354" w:rsidP="00E5718D">
      <w:pPr>
        <w:pStyle w:val="afff1"/>
        <w:spacing w:before="360" w:after="360"/>
      </w:pPr>
      <w:bookmarkStart w:id="120" w:name="_Toc527731078"/>
      <w:r>
        <w:rPr>
          <w:rFonts w:hint="eastAsia"/>
        </w:rPr>
        <w:t>(三)</w:t>
      </w:r>
      <w:r w:rsidR="003807A5" w:rsidRPr="00AC77DF">
        <w:t>政府機關改善情形</w:t>
      </w:r>
      <w:bookmarkEnd w:id="120"/>
    </w:p>
    <w:p w:rsidR="003807A5" w:rsidRPr="00AC77DF" w:rsidRDefault="003807A5" w:rsidP="007373B4">
      <w:pPr>
        <w:pStyle w:val="1---"/>
        <w:ind w:leftChars="100" w:left="600" w:hangingChars="150" w:hanging="360"/>
      </w:pPr>
      <w:r w:rsidRPr="00AC77DF">
        <w:t>1</w:t>
      </w:r>
      <w:r w:rsidRPr="00AC77DF">
        <w:t>、彈劾案經司法院職務法庭審理，於</w:t>
      </w:r>
      <w:r w:rsidRPr="00AC77DF">
        <w:t>106</w:t>
      </w:r>
      <w:r w:rsidRPr="00AC77DF">
        <w:t>年</w:t>
      </w:r>
      <w:r w:rsidRPr="00AC77DF">
        <w:t>6</w:t>
      </w:r>
      <w:r w:rsidRPr="00AC77DF">
        <w:t>月</w:t>
      </w:r>
      <w:r w:rsidRPr="00AC77DF">
        <w:t>26</w:t>
      </w:r>
      <w:r w:rsidRPr="00AC77DF">
        <w:t>日判決徐員罰款，其數額為任職時最後月俸給總額</w:t>
      </w:r>
      <w:r w:rsidRPr="00AC77DF">
        <w:t>3</w:t>
      </w:r>
      <w:r w:rsidRPr="00AC77DF">
        <w:t>個月。</w:t>
      </w:r>
    </w:p>
    <w:p w:rsidR="003807A5" w:rsidRPr="00AC77DF" w:rsidRDefault="003807A5" w:rsidP="007373B4">
      <w:pPr>
        <w:pStyle w:val="1---"/>
        <w:ind w:leftChars="100" w:left="600" w:hangingChars="150" w:hanging="360"/>
      </w:pPr>
      <w:r w:rsidRPr="00AC77DF">
        <w:t>2</w:t>
      </w:r>
      <w:r w:rsidRPr="00AC77DF">
        <w:t>、法務部表示，現行實務作業上，由檢察官「交查」或「核交」之案件，均已在傳票上註明係由「檢察官指揮檢察事務官」字樣，且檢察事務官大多在其專屬之詢問室，採平台式詢問，並有懸掛承辦檢察事務官名銜牌，檢察事務官詢問時未穿著法袍，形式上極易與檢察官之訊問相互辨認。部分地檢署</w:t>
      </w:r>
      <w:r w:rsidR="0024642A">
        <w:rPr>
          <w:rFonts w:hint="eastAsia"/>
        </w:rPr>
        <w:t>因</w:t>
      </w:r>
      <w:r w:rsidRPr="00AC77DF">
        <w:t>辦公廳舍限制，雖無法立即將檢察事務官詢問室與檢察官使用之偵查庭相區隔，但仍能從上述之傳票註記事項、有無穿著法袍及檢察事務官名銜牌上得知究係由檢察官訊問抑或由檢察事務官詢問。</w:t>
      </w:r>
    </w:p>
    <w:p w:rsidR="003807A5" w:rsidRPr="00AC77DF" w:rsidRDefault="003807A5" w:rsidP="007373B4">
      <w:pPr>
        <w:pStyle w:val="1---"/>
        <w:ind w:leftChars="100" w:left="600" w:hangingChars="150" w:hanging="360"/>
      </w:pPr>
      <w:r w:rsidRPr="00AC77DF">
        <w:t>3</w:t>
      </w:r>
      <w:r w:rsidRPr="00AC77DF">
        <w:t>、法務部表示，檢察官就其承辦之案件，除內、外勤外，經衡酌案情，認有交由檢察事務官襄助執行之必要時，應先填具「案件交辦進行單</w:t>
      </w:r>
      <w:r w:rsidRPr="000E4DE6">
        <w:rPr>
          <w:spacing w:val="-30"/>
        </w:rPr>
        <w:t>」</w:t>
      </w:r>
      <w:r w:rsidRPr="00AC77DF">
        <w:t>，具體指示交辦事項，經各組主任檢察官核閱後，送交檢察事務官室分辦。如有搜索或其他突發狀況而臨時交辦事項，檢察官得先以電話或口頭交辦，事後再依前述交辦案件程序辦理。檢察事務官對辦理事務，應分別設簿登記並以電腦管理，</w:t>
      </w:r>
      <w:r w:rsidR="002B14EC">
        <w:rPr>
          <w:rFonts w:hint="eastAsia"/>
        </w:rPr>
        <w:t>此</w:t>
      </w:r>
      <w:r w:rsidR="00763E88">
        <w:rPr>
          <w:rFonts w:hint="eastAsia"/>
        </w:rPr>
        <w:t>已明確規定</w:t>
      </w:r>
      <w:r w:rsidR="002B14EC">
        <w:rPr>
          <w:rFonts w:hint="eastAsia"/>
        </w:rPr>
        <w:t>於</w:t>
      </w:r>
      <w:r w:rsidRPr="00AC77DF">
        <w:t>「地方檢察署檢察事務官事務分配要點」第</w:t>
      </w:r>
      <w:r w:rsidRPr="00AC77DF">
        <w:t>5</w:t>
      </w:r>
      <w:r w:rsidRPr="00AC77DF">
        <w:t>點（一）之</w:t>
      </w:r>
      <w:r w:rsidRPr="00AC77DF">
        <w:t>1</w:t>
      </w:r>
      <w:r w:rsidRPr="00AC77DF">
        <w:t>及第</w:t>
      </w:r>
      <w:r w:rsidRPr="00AC77DF">
        <w:t>9</w:t>
      </w:r>
      <w:r w:rsidRPr="00AC77DF">
        <w:t>點。檢察事務官之事務分配，應確實依上開要點規定辦理，不得有違反該規定之作法，並要求各地檢署應指</w:t>
      </w:r>
      <w:r w:rsidRPr="00AC77DF">
        <w:lastRenderedPageBreak/>
        <w:t>定專人落實管考稽核。</w:t>
      </w:r>
    </w:p>
    <w:p w:rsidR="003807A5" w:rsidRPr="00AC77DF" w:rsidRDefault="00270354" w:rsidP="00E5718D">
      <w:pPr>
        <w:pStyle w:val="afff1"/>
        <w:spacing w:before="360" w:after="360"/>
      </w:pPr>
      <w:bookmarkStart w:id="121" w:name="_Toc527731079"/>
      <w:r>
        <w:rPr>
          <w:rFonts w:hint="eastAsia"/>
        </w:rPr>
        <w:t>(四)</w:t>
      </w:r>
      <w:r w:rsidR="003807A5" w:rsidRPr="00AC77DF">
        <w:t>案件進展</w:t>
      </w:r>
      <w:bookmarkEnd w:id="121"/>
    </w:p>
    <w:p w:rsidR="003807A5" w:rsidRDefault="003807A5" w:rsidP="00B7222B">
      <w:pPr>
        <w:pStyle w:val="1---"/>
        <w:ind w:firstLine="480"/>
        <w:rPr>
          <w:lang w:eastAsia="zh-TW"/>
        </w:rPr>
      </w:pPr>
      <w:r w:rsidRPr="00AC77DF">
        <w:t>本案監察院持續追蹤中。</w:t>
      </w:r>
    </w:p>
    <w:p w:rsidR="000E4DE6" w:rsidRPr="00AC77DF" w:rsidRDefault="000E4DE6" w:rsidP="00B7222B">
      <w:pPr>
        <w:pStyle w:val="1---"/>
        <w:ind w:firstLine="480"/>
        <w:rPr>
          <w:lang w:eastAsia="zh-TW"/>
        </w:rPr>
      </w:pPr>
    </w:p>
    <w:p w:rsidR="003807A5" w:rsidRPr="000E4DE6" w:rsidRDefault="003807A5" w:rsidP="009446C7">
      <w:pPr>
        <w:pStyle w:val="11-"/>
        <w:spacing w:before="72" w:afterLines="70" w:after="252"/>
        <w:rPr>
          <w:sz w:val="32"/>
          <w:szCs w:val="32"/>
        </w:rPr>
      </w:pPr>
      <w:bookmarkStart w:id="122" w:name="_Toc535228340"/>
      <w:bookmarkStart w:id="123" w:name="_Toc4058751"/>
      <w:r w:rsidRPr="000E4DE6">
        <w:rPr>
          <w:sz w:val="32"/>
          <w:szCs w:val="32"/>
        </w:rPr>
        <w:t>二、司法偵辦案件</w:t>
      </w:r>
      <w:bookmarkEnd w:id="122"/>
      <w:bookmarkEnd w:id="123"/>
    </w:p>
    <w:p w:rsidR="003807A5" w:rsidRPr="00AC77DF" w:rsidRDefault="003807A5" w:rsidP="009F5B62">
      <w:pPr>
        <w:pStyle w:val="1---"/>
        <w:ind w:firstLine="480"/>
        <w:jc w:val="distribute"/>
      </w:pPr>
      <w:r w:rsidRPr="00AC77DF">
        <w:t>聯合國於</w:t>
      </w:r>
      <w:r w:rsidRPr="00AC77DF">
        <w:t>2014</w:t>
      </w:r>
      <w:r w:rsidRPr="00AC77DF">
        <w:t>年</w:t>
      </w:r>
      <w:r w:rsidRPr="00AC77DF">
        <w:t>12</w:t>
      </w:r>
      <w:r w:rsidRPr="00AC77DF">
        <w:t>月</w:t>
      </w:r>
      <w:r w:rsidRPr="00AC77DF">
        <w:t>16</w:t>
      </w:r>
      <w:r w:rsidRPr="00AC77DF">
        <w:t>日公布第</w:t>
      </w:r>
      <w:r w:rsidRPr="00AC77DF">
        <w:t>35</w:t>
      </w:r>
      <w:r w:rsidRPr="00AC77DF">
        <w:t>號一般性意見，並取代</w:t>
      </w:r>
      <w:r w:rsidRPr="00AC77DF">
        <w:t>1982</w:t>
      </w:r>
      <w:r w:rsidRPr="00AC77DF">
        <w:t>年針對公民與政治權利國際公約第</w:t>
      </w:r>
      <w:r w:rsidRPr="00AC77DF">
        <w:t>9</w:t>
      </w:r>
      <w:r w:rsidRPr="00AC77DF">
        <w:t>條有關人身自由和安全的第</w:t>
      </w:r>
      <w:r w:rsidRPr="00AC77DF">
        <w:t>8</w:t>
      </w:r>
      <w:r w:rsidRPr="00AC77DF">
        <w:t>號一般性意見</w:t>
      </w:r>
      <w:r w:rsidRPr="00AC77DF">
        <w:rPr>
          <w:lang w:eastAsia="zh-TW"/>
        </w:rPr>
        <w:t>，</w:t>
      </w:r>
      <w:r w:rsidRPr="00AC77DF">
        <w:t>以進一步強化司法人權之保障。該意見特別重申，公民與政治權利國際公約第</w:t>
      </w:r>
      <w:r w:rsidRPr="00AC77DF">
        <w:t>9</w:t>
      </w:r>
      <w:r w:rsidRPr="00AC77DF">
        <w:t>條第</w:t>
      </w:r>
      <w:r w:rsidRPr="00AC77DF">
        <w:t>2</w:t>
      </w:r>
      <w:r w:rsidRPr="00AC77DF">
        <w:t>至</w:t>
      </w:r>
      <w:r w:rsidRPr="00AC77DF">
        <w:t>5</w:t>
      </w:r>
      <w:r w:rsidRPr="00AC77DF">
        <w:t>項列舉了保護人身自由與安全的具體標準。第</w:t>
      </w:r>
      <w:r w:rsidRPr="00AC77DF">
        <w:t>9</w:t>
      </w:r>
      <w:r w:rsidRPr="00AC77DF">
        <w:t>條的一些規定（第</w:t>
      </w:r>
      <w:r w:rsidRPr="00AC77DF">
        <w:t>2</w:t>
      </w:r>
      <w:r w:rsidRPr="00AC77DF">
        <w:t>項的部分和整個第</w:t>
      </w:r>
      <w:r w:rsidRPr="00AC77DF">
        <w:t>3</w:t>
      </w:r>
      <w:r w:rsidRPr="00AC77DF">
        <w:t>項）只適用於與刑事訴訟有關的情況。但其餘部分，特別是第</w:t>
      </w:r>
      <w:r w:rsidRPr="00AC77DF">
        <w:t>4</w:t>
      </w:r>
      <w:r w:rsidRPr="00AC77DF">
        <w:t>項規定的重要保障，即由一個法庭</w:t>
      </w:r>
      <w:r w:rsidRPr="009F5B62">
        <w:rPr>
          <w:spacing w:val="-2"/>
        </w:rPr>
        <w:t>對拘禁的合法性進行審查的權利，適用於所有被剝奪自由的人。</w:t>
      </w:r>
    </w:p>
    <w:p w:rsidR="003807A5" w:rsidRPr="00AC77DF" w:rsidRDefault="003807A5" w:rsidP="00B7222B">
      <w:pPr>
        <w:pStyle w:val="1---"/>
        <w:ind w:firstLine="480"/>
      </w:pPr>
      <w:r w:rsidRPr="00AC77DF">
        <w:t>和第</w:t>
      </w:r>
      <w:r w:rsidRPr="00AC77DF">
        <w:t>12</w:t>
      </w:r>
      <w:r w:rsidRPr="00AC77DF">
        <w:t>條所說只是對行動自由的限制相比，剝奪自由涉及對活動的更嚴格限制，將其限制在一個更狹窄的空間內，例如員警拘留、還押拘禁、判罪後監禁、軟禁、行政拘禁、非自願住院、兒童機構監管和在機場的某個禁區內監禁以及非自願轉移等。</w:t>
      </w:r>
    </w:p>
    <w:p w:rsidR="003807A5" w:rsidRPr="00AC77DF" w:rsidRDefault="003807A5" w:rsidP="00B7222B">
      <w:pPr>
        <w:pStyle w:val="1---"/>
        <w:ind w:firstLine="480"/>
      </w:pPr>
      <w:r w:rsidRPr="00AC77DF">
        <w:t>締約國有義務採取適當措施保護人身自由不被第三方剝奪。締約國必須保護個人不被單一犯人或不正常集團綁架或拘禁，包括在其境內活動的武裝或恐怖分子集團。它們還必須保護個人不被合法組織錯誤地剝奪自由，如雇主、學校和醫院。締</w:t>
      </w:r>
      <w:r w:rsidRPr="00AC77DF">
        <w:lastRenderedPageBreak/>
        <w:t>約國應儘可能採取適當措施保護個人不因其他國家在其境內的行動而被剝奪自由。在私人或實體被締約國給予能力或授權行使逮捕或拘禁權力的情況下，締約國仍有責任遵守或確保遵守第</w:t>
      </w:r>
      <w:r w:rsidRPr="00AC77DF">
        <w:t>9</w:t>
      </w:r>
      <w:r w:rsidRPr="00AC77DF">
        <w:t>條。它必須嚴格限制這些權力，必須給予嚴格和有效的控制，確保這些權力不被濫用，不會導致任意或非法逮捕或拘禁。如果確實發生了任意或非法逮捕或拘禁，它還必須向受害者提供有效補救。</w:t>
      </w:r>
    </w:p>
    <w:p w:rsidR="003807A5" w:rsidRPr="00AC77DF" w:rsidRDefault="003807A5" w:rsidP="00B7222B">
      <w:pPr>
        <w:pStyle w:val="1---"/>
        <w:ind w:firstLine="480"/>
      </w:pPr>
      <w:r w:rsidRPr="00AC77DF">
        <w:t>人身安全權保護個人身體或精神不被故意傷害，不論受害者是被拘禁還是未被拘禁。例如，締約國官員如果無故傷害別人身體，即侵犯了人身安全權。人身安全權還要求締約國採取適當措施，對公共場所人員受到的死亡威脅做出反應，通常是保護個人免受可預見的來自任何政府或私人對生命或身體完整的威脅。締約國既要採取措施防止未來的傷害，又要採取回溯措施，如針對過去的傷害執行刑法。例如，締約國必須針對不同類受害者所遭受不同形式的暴力作出適當反應，如對人權捍衛者和記者的恐嚇，對證人的報復，對婦女的暴力，包括家庭暴力，武裝部隊中戲弄新兵，對兒童的暴力，基於性傾向或性認同的暴力，以及對殘疾人的暴力。人身安全權並不是針對所有對身體或精神健康的危險，也不涉及作為民事或刑事訴訟對象間接受到的健康影響。</w:t>
      </w:r>
    </w:p>
    <w:p w:rsidR="003807A5" w:rsidRPr="00AC77DF" w:rsidRDefault="003807A5" w:rsidP="00B7222B">
      <w:pPr>
        <w:pStyle w:val="1---"/>
        <w:ind w:firstLine="480"/>
      </w:pPr>
      <w:r w:rsidRPr="00AC77DF">
        <w:t>人身自由權並不是絕對的。第</w:t>
      </w:r>
      <w:r w:rsidRPr="00AC77DF">
        <w:t>9</w:t>
      </w:r>
      <w:r w:rsidRPr="00AC77DF">
        <w:t>條承認，有時候剝奪自由是合理的，例如，在執行刑法過程中。第</w:t>
      </w:r>
      <w:r w:rsidRPr="00AC77DF">
        <w:t>1</w:t>
      </w:r>
      <w:r w:rsidRPr="00AC77DF">
        <w:t>項要求，不得任意剝奪自由，必須是依法執行。第</w:t>
      </w:r>
      <w:r w:rsidRPr="00AC77DF">
        <w:t>1</w:t>
      </w:r>
      <w:r w:rsidRPr="00AC77DF">
        <w:t>項第</w:t>
      </w:r>
      <w:r w:rsidRPr="00AC77DF">
        <w:t>2</w:t>
      </w:r>
      <w:r w:rsidRPr="00AC77DF">
        <w:t>句禁止任意逮捕或拘禁，而第</w:t>
      </w:r>
      <w:r w:rsidRPr="00AC77DF">
        <w:t>3</w:t>
      </w:r>
      <w:r w:rsidRPr="00AC77DF">
        <w:t>句禁止非法剝奪自由，即剝奪自由不是依照法律所確定的根據和程序。兩項禁止重疊，因為逮捕或拘禁可能違反</w:t>
      </w:r>
      <w:r w:rsidRPr="00AC77DF">
        <w:lastRenderedPageBreak/>
        <w:t>適用的法律，但不是任意的；或者，法律上允許，但卻是任意的；或者既是任意的又是違法的。沒有任何法律依據的逮捕或拘禁也是任意的。未經授權對犯人進行超過其刑期的監禁既是任意的也是非法的，未經授權延長其他形式的拘禁也是如此。不顧要求將被拘禁者釋放的司法命令繼續監禁被拘禁者，也屬於任意和非法。逮捕或拘禁可能是依國內法授權的，但仍可能屬於任意</w:t>
      </w:r>
      <w:r w:rsidRPr="009F5B62">
        <w:rPr>
          <w:spacing w:val="-30"/>
        </w:rPr>
        <w:t>。</w:t>
      </w:r>
      <w:r w:rsidRPr="00AC77DF">
        <w:t>「任意」這一概念不能和「違法」劃等號，必須給予更廣泛的解釋，使其包括不適當、不正當、缺乏可預見性和正當法律程序，以及合理性、必要性和比例性等要素。例如，根據刑事指控實行的還押拘禁，在任何情況下都必須是合理的、有必要的。除司法機關做出的有一定期限的徒刑判決以外，關於對一個人繼續實行任何形式的拘禁的決定，如果不是定期審查繼續拘禁理由的結果，就屬於任意。</w:t>
      </w:r>
    </w:p>
    <w:p w:rsidR="003807A5" w:rsidRPr="00AC77DF" w:rsidRDefault="003807A5" w:rsidP="00B7222B">
      <w:pPr>
        <w:pStyle w:val="1---"/>
        <w:ind w:firstLine="480"/>
      </w:pPr>
      <w:r w:rsidRPr="00AC77DF">
        <w:t>「逮捕」一詞係指抓某人從而開始剝奪其自由</w:t>
      </w:r>
      <w:r w:rsidRPr="009F5B62">
        <w:rPr>
          <w:spacing w:val="-30"/>
        </w:rPr>
        <w:t>；</w:t>
      </w:r>
      <w:r w:rsidRPr="00AC77DF">
        <w:t>「拘禁」一詞係指從逮捕開始的剝奪自由，其延續時間從抓獲開始至釋放。第</w:t>
      </w:r>
      <w:r w:rsidRPr="00AC77DF">
        <w:t>9</w:t>
      </w:r>
      <w:r w:rsidRPr="00AC77DF">
        <w:t>條含意範圍內的逮捕不一定是國內法律所界定的正式逮捕。對已經在押的一個人另外實行剝奪自由的情況下，如根據無關的刑事指控實行的拘禁，剝奪自由的開始也相當於逮捕。而公民與政治權利國際公約第</w:t>
      </w:r>
      <w:r w:rsidRPr="00AC77DF">
        <w:t>9</w:t>
      </w:r>
      <w:r w:rsidRPr="00AC77DF">
        <w:t>條明確承認個人可因刑事指控而被拘禁，而第</w:t>
      </w:r>
      <w:r w:rsidRPr="00AC77DF">
        <w:t>11</w:t>
      </w:r>
      <w:r w:rsidRPr="00AC77DF">
        <w:t>條明確禁止以不能履行</w:t>
      </w:r>
      <w:r w:rsidR="003674EF">
        <w:t>合同義務為由實行監禁。涉及剝奪自由的其他制度也必須依法確立，還</w:t>
      </w:r>
      <w:r w:rsidRPr="00AC77DF">
        <w:t>須伴有防止任意拘禁的程序。法律規定的理由和程序不得損害人身自由權利。</w:t>
      </w:r>
    </w:p>
    <w:p w:rsidR="003807A5" w:rsidRPr="00AC77DF" w:rsidRDefault="003807A5" w:rsidP="00B7222B">
      <w:pPr>
        <w:pStyle w:val="1---"/>
        <w:ind w:firstLine="480"/>
      </w:pPr>
      <w:r w:rsidRPr="00AC77DF">
        <w:t>第</w:t>
      </w:r>
      <w:r w:rsidRPr="00AC77DF">
        <w:t>9</w:t>
      </w:r>
      <w:r w:rsidRPr="00AC77DF">
        <w:t>條第</w:t>
      </w:r>
      <w:r w:rsidRPr="00AC77DF">
        <w:t>1</w:t>
      </w:r>
      <w:r w:rsidRPr="00AC77DF">
        <w:t>項第</w:t>
      </w:r>
      <w:r w:rsidRPr="00AC77DF">
        <w:t>3</w:t>
      </w:r>
      <w:r w:rsidRPr="00AC77DF">
        <w:t>句規定，除非依照法律所規定的根據和程序，任何人不得被剝奪自由。任何實質性逮捕或拘禁理由都</w:t>
      </w:r>
      <w:r w:rsidRPr="00AC77DF">
        <w:lastRenderedPageBreak/>
        <w:t>必須是法律所規定，其定義應足夠精確以避免過於廣泛或任意解釋或適用。沒有</w:t>
      </w:r>
      <w:r w:rsidRPr="00B7222B">
        <w:t>這</w:t>
      </w:r>
      <w:r w:rsidRPr="00AC77DF">
        <w:t>種法律授權的剝奪自由是非法的。不顧要求釋放的現行司法命令或有效的特赦而繼續拘禁也是非法的。</w:t>
      </w:r>
    </w:p>
    <w:p w:rsidR="003807A5" w:rsidRPr="00AC77DF" w:rsidRDefault="003807A5" w:rsidP="00B7222B">
      <w:pPr>
        <w:pStyle w:val="1---"/>
        <w:ind w:firstLine="480"/>
        <w:rPr>
          <w:lang w:eastAsia="zh-TW"/>
        </w:rPr>
      </w:pPr>
      <w:r w:rsidRPr="00AC77DF">
        <w:t>第</w:t>
      </w:r>
      <w:r w:rsidRPr="00AC77DF">
        <w:t>9</w:t>
      </w:r>
      <w:r w:rsidRPr="00AC77DF">
        <w:t>條第</w:t>
      </w:r>
      <w:r w:rsidRPr="00AC77DF">
        <w:t>2</w:t>
      </w:r>
      <w:r w:rsidRPr="00AC77DF">
        <w:t>項為被剝奪自由者的利益提出兩個要求：一、他們在被捕時必須被告知逮捕的理由；二、他們應被立即告知對他們的任何指控。第一個要求廣泛適用於任何剝奪自由的理由。因為「逮捕」意味著開始剝奪自由，不論逮捕是正式還非正式的，不論逮捕所依據的是合法還是非法理由，第一個要求都適用。</w:t>
      </w:r>
    </w:p>
    <w:p w:rsidR="003807A5" w:rsidRDefault="003807A5" w:rsidP="00B7222B">
      <w:pPr>
        <w:pStyle w:val="1---"/>
        <w:ind w:firstLine="480"/>
        <w:rPr>
          <w:lang w:eastAsia="zh-TW"/>
        </w:rPr>
      </w:pPr>
      <w:r w:rsidRPr="00AC77DF">
        <w:t>我國憲法第</w:t>
      </w:r>
      <w:r w:rsidRPr="00AC77DF">
        <w:t>8</w:t>
      </w:r>
      <w:r w:rsidRPr="00AC77DF">
        <w:t>條有關「人身自由應予保障」之規定，使用了</w:t>
      </w:r>
      <w:r w:rsidRPr="00AC77DF">
        <w:t>210</w:t>
      </w:r>
      <w:r w:rsidRPr="00AC77DF">
        <w:t>字，詳細規定人民被逮捕之要件及救濟之程序，乃憲法全部條文中使用字數最多、內容最詳盡的條文，可見制憲者對人身自由保障之重視。依憲法第</w:t>
      </w:r>
      <w:r w:rsidRPr="00AC77DF">
        <w:t>8</w:t>
      </w:r>
      <w:r w:rsidRPr="00AC77DF">
        <w:t>條規定，逮捕、拘禁、審問與處罰人民的機關應限定於司法或警察機關；逮捕、拘禁機關應以書面告知逮捕、拘禁之理由與地點；對於非法逮捕、拘禁、審問與處罰，人民得拒絕之，以及逮捕、拘禁機關應於</w:t>
      </w:r>
      <w:r w:rsidRPr="00AC77DF">
        <w:t>24</w:t>
      </w:r>
      <w:r w:rsidRPr="00AC77DF">
        <w:t>小時內移送法院之義務。足見，人身自由是一種「加重保障」的人權，其限制是一種「特殊的保留」</w:t>
      </w:r>
      <w:r w:rsidRPr="00AC77DF">
        <w:rPr>
          <w:rStyle w:val="aff2"/>
          <w:kern w:val="0"/>
        </w:rPr>
        <w:footnoteReference w:id="58"/>
      </w:r>
      <w:r w:rsidRPr="00AC77DF">
        <w:t>。另人身自由亦衍生出「刑求禁止</w:t>
      </w:r>
      <w:r w:rsidRPr="009F5B62">
        <w:rPr>
          <w:spacing w:val="-30"/>
        </w:rPr>
        <w:t>」、</w:t>
      </w:r>
      <w:r w:rsidRPr="00AC77DF">
        <w:t>「苛刑禁止」及「正當法律程序的保障」等原則，分別明定於相關法律。</w:t>
      </w:r>
    </w:p>
    <w:p w:rsidR="00270354" w:rsidRDefault="00270354" w:rsidP="00B7222B">
      <w:pPr>
        <w:pStyle w:val="1---"/>
        <w:ind w:firstLine="480"/>
        <w:rPr>
          <w:lang w:eastAsia="zh-TW"/>
        </w:rPr>
      </w:pPr>
    </w:p>
    <w:p w:rsidR="003B45B6" w:rsidRDefault="003B45B6" w:rsidP="00B7222B">
      <w:pPr>
        <w:pStyle w:val="1---"/>
        <w:ind w:firstLine="480"/>
        <w:rPr>
          <w:lang w:eastAsia="zh-TW"/>
        </w:rPr>
      </w:pPr>
    </w:p>
    <w:p w:rsidR="003B45B6" w:rsidRDefault="003B45B6" w:rsidP="00B7222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3681"/>
      </w:tblGrid>
      <w:tr w:rsidR="00270354" w:rsidTr="009F5B62">
        <w:tc>
          <w:tcPr>
            <w:tcW w:w="3681" w:type="dxa"/>
            <w:shd w:val="clear" w:color="auto" w:fill="D9D9D9" w:themeFill="background1" w:themeFillShade="D9"/>
          </w:tcPr>
          <w:p w:rsidR="00270354" w:rsidRDefault="00270354" w:rsidP="009F5B62">
            <w:pPr>
              <w:pStyle w:val="11-"/>
              <w:spacing w:before="72" w:after="108"/>
              <w:rPr>
                <w:lang w:eastAsia="zh-TW"/>
              </w:rPr>
            </w:pPr>
            <w:bookmarkStart w:id="124" w:name="_Toc535228341"/>
            <w:bookmarkStart w:id="125" w:name="_Toc4058752"/>
            <w:r w:rsidRPr="00AC77DF">
              <w:lastRenderedPageBreak/>
              <w:t>偵查期間違反不公開原則</w:t>
            </w:r>
            <w:bookmarkEnd w:id="124"/>
            <w:bookmarkEnd w:id="125"/>
          </w:p>
        </w:tc>
      </w:tr>
    </w:tbl>
    <w:p w:rsidR="003807A5" w:rsidRPr="00AC77DF" w:rsidRDefault="00270354" w:rsidP="003B45B6">
      <w:pPr>
        <w:pStyle w:val="afff1"/>
        <w:spacing w:beforeLines="150" w:before="540" w:after="360"/>
      </w:pPr>
      <w:bookmarkStart w:id="126" w:name="_Toc527731031"/>
      <w:r>
        <w:rPr>
          <w:rFonts w:hint="eastAsia"/>
        </w:rPr>
        <w:t>(一)</w:t>
      </w:r>
      <w:r w:rsidR="003807A5" w:rsidRPr="00AC77DF">
        <w:t>案情簡述</w:t>
      </w:r>
      <w:bookmarkEnd w:id="126"/>
    </w:p>
    <w:p w:rsidR="003807A5" w:rsidRPr="00AC77DF" w:rsidRDefault="003807A5" w:rsidP="00B7222B">
      <w:pPr>
        <w:pStyle w:val="1---"/>
        <w:ind w:firstLine="480"/>
      </w:pPr>
      <w:r w:rsidRPr="00AC77DF">
        <w:t>據林</w:t>
      </w:r>
      <w:r w:rsidRPr="00937E63">
        <w:rPr>
          <w:rFonts w:asciiTheme="majorEastAsia" w:eastAsiaTheme="majorEastAsia" w:hAnsiTheme="majorEastAsia"/>
        </w:rPr>
        <w:t>○○</w:t>
      </w:r>
      <w:r w:rsidRPr="00AC77DF">
        <w:t>君陳訴：臺東縣警察局關山分局偵辦其被訴恐嚇取財等案件，明知並無查獲其涉嫌犯罪之具體事證，卻違反偵查不公開原則，竟召開記者會並發布新聞稿；另警方對查扣之木材未妥善保管，且案件經不起訴處分後遲未返還，損及權益等情，案經監察委員立案調查。</w:t>
      </w:r>
    </w:p>
    <w:p w:rsidR="003807A5" w:rsidRPr="00AC77DF" w:rsidRDefault="00270354" w:rsidP="00E5718D">
      <w:pPr>
        <w:pStyle w:val="afff1"/>
        <w:spacing w:before="360" w:after="360"/>
      </w:pPr>
      <w:bookmarkStart w:id="127" w:name="_Toc527731032"/>
      <w:r>
        <w:rPr>
          <w:rFonts w:hint="eastAsia"/>
        </w:rPr>
        <w:t>(二)</w:t>
      </w:r>
      <w:r w:rsidR="003807A5" w:rsidRPr="00AC77DF">
        <w:t>監察院調查發現</w:t>
      </w:r>
      <w:bookmarkEnd w:id="127"/>
    </w:p>
    <w:p w:rsidR="003807A5" w:rsidRPr="00AC77DF" w:rsidRDefault="00383BEE" w:rsidP="00D92DAE">
      <w:pPr>
        <w:pStyle w:val="1--13"/>
        <w:spacing w:before="180" w:after="180"/>
      </w:pPr>
      <w:r w:rsidRPr="008E1832">
        <w:rPr>
          <w:rFonts w:hint="eastAsia"/>
        </w:rPr>
        <w:t>˙</w:t>
      </w:r>
      <w:r w:rsidR="003807A5" w:rsidRPr="00AC77DF">
        <w:t>盜伐林木宜有專法</w:t>
      </w:r>
    </w:p>
    <w:p w:rsidR="00520153" w:rsidRPr="00AC77DF" w:rsidRDefault="003807A5" w:rsidP="00B7222B">
      <w:pPr>
        <w:pStyle w:val="1---"/>
        <w:ind w:firstLine="480"/>
        <w:rPr>
          <w:lang w:eastAsia="zh-TW"/>
        </w:rPr>
      </w:pPr>
      <w:r w:rsidRPr="00AC77DF">
        <w:t>本案扣押之標的物「牛樟木」屬主管機關公告之「貴重木」樹種，是否為被告合法取得，或犯嫌另有他人，仍有再細究查明之必要。而盜伐林木涉及龐大利益，其背後往往具有集團性之組織犯罪，或以合法掩護非法，法務部宜就所屬檢察機關轄管區域內頻繁違反森林法刑事案件之地方檢察署，研議設置森林法專責檢察官或增加森林法刑事案件之偵查實務訓練，以保護珍貴森林自然資產。</w:t>
      </w:r>
      <w:r w:rsidRPr="00AC77DF">
        <w:t xml:space="preserve"> </w:t>
      </w:r>
    </w:p>
    <w:p w:rsidR="003807A5" w:rsidRPr="00AC77DF" w:rsidRDefault="00383BEE" w:rsidP="00D92DAE">
      <w:pPr>
        <w:pStyle w:val="1--13"/>
        <w:spacing w:before="180" w:after="180"/>
      </w:pPr>
      <w:r w:rsidRPr="008E1832">
        <w:rPr>
          <w:rFonts w:hint="eastAsia"/>
        </w:rPr>
        <w:t>˙</w:t>
      </w:r>
      <w:r w:rsidR="003807A5" w:rsidRPr="00AC77DF">
        <w:t>查扣之牛樟木有持續扣押必要</w:t>
      </w:r>
    </w:p>
    <w:p w:rsidR="003807A5" w:rsidRPr="00AC77DF" w:rsidRDefault="003807A5" w:rsidP="00B7222B">
      <w:pPr>
        <w:pStyle w:val="1---"/>
        <w:ind w:firstLine="480"/>
        <w:rPr>
          <w:lang w:eastAsia="zh-TW"/>
        </w:rPr>
      </w:pPr>
      <w:r w:rsidRPr="00AC77DF">
        <w:t>本案查扣之牛樟木，經勘驗比對非漂流木，屬貴重木，檢</w:t>
      </w:r>
      <w:r w:rsidRPr="00AC77DF">
        <w:lastRenderedPageBreak/>
        <w:t>警研究後，認有持續扣押予以查察之必要，且已善盡保管之責，移放在臺東林管處東堤貯木場。陳訴人若有不服，可循刑事訴訟法規定聲請發還。</w:t>
      </w:r>
    </w:p>
    <w:p w:rsidR="003807A5" w:rsidRPr="00AC77DF" w:rsidRDefault="00383BEE" w:rsidP="00D92DAE">
      <w:pPr>
        <w:pStyle w:val="1--13"/>
        <w:spacing w:before="180" w:after="180"/>
      </w:pPr>
      <w:r w:rsidRPr="008E1832">
        <w:rPr>
          <w:rFonts w:hint="eastAsia"/>
        </w:rPr>
        <w:t>˙</w:t>
      </w:r>
      <w:r w:rsidR="003807A5" w:rsidRPr="00AC77DF">
        <w:t>偵查中新聞發布應謹慎</w:t>
      </w:r>
    </w:p>
    <w:p w:rsidR="003807A5" w:rsidRPr="00AC77DF" w:rsidRDefault="003807A5" w:rsidP="00B7222B">
      <w:pPr>
        <w:pStyle w:val="1---"/>
        <w:ind w:firstLine="480"/>
        <w:rPr>
          <w:lang w:eastAsia="zh-TW"/>
        </w:rPr>
      </w:pPr>
      <w:r w:rsidRPr="00AC77DF">
        <w:t>本案新聞發布時，相關犯罪嫌疑人詢問筆錄尚未製作完成，相關犯罪事實是否確已查證明確，尚有爭議。而臺東縣警察局及所屬關山分局之聯繫作業未能齊一，即發布新聞，導致媒體過度報導，影響陳訴人之聲譽。</w:t>
      </w:r>
    </w:p>
    <w:p w:rsidR="003807A5" w:rsidRPr="00AC77DF" w:rsidRDefault="00383BEE" w:rsidP="00D92DAE">
      <w:pPr>
        <w:pStyle w:val="1--13"/>
        <w:spacing w:before="180" w:after="180"/>
      </w:pPr>
      <w:r w:rsidRPr="008E1832">
        <w:rPr>
          <w:rFonts w:hint="eastAsia"/>
        </w:rPr>
        <w:t>˙</w:t>
      </w:r>
      <w:r w:rsidR="003807A5" w:rsidRPr="00AC77DF">
        <w:t>專業及橫向聯繫尚待加強</w:t>
      </w:r>
    </w:p>
    <w:p w:rsidR="003807A5" w:rsidRPr="00AC77DF" w:rsidRDefault="003807A5" w:rsidP="00B7222B">
      <w:pPr>
        <w:pStyle w:val="1---"/>
        <w:ind w:firstLine="480"/>
      </w:pPr>
      <w:r w:rsidRPr="00AC77DF">
        <w:t>本案關山分局查扣牛樟木後，多次聯繫臺東林管處關山工作站人員協助勘驗，然因該站承辦人經驗、專業不足及人員更替，始終無法協助執行會勘。又警察、林管機關偵辦本件是否為涉及森林法刑事案件，聯繫欠佳，乃至延宕半年之久，臺東縣警察局及臺東林管處宜強化聯繫，以發揮共同打擊不法之綜效。</w:t>
      </w:r>
    </w:p>
    <w:p w:rsidR="003807A5" w:rsidRPr="00AC77DF" w:rsidRDefault="003807A5" w:rsidP="00B7222B">
      <w:pPr>
        <w:pStyle w:val="1---"/>
        <w:ind w:firstLine="480"/>
      </w:pPr>
      <w:r w:rsidRPr="00AC77DF">
        <w:t>依據本案調查意見</w:t>
      </w:r>
      <w:r w:rsidRPr="00F85A65">
        <w:rPr>
          <w:rStyle w:val="aff2"/>
        </w:rPr>
        <w:footnoteReference w:id="59"/>
      </w:r>
      <w:r w:rsidRPr="00AC77DF">
        <w:t>，監察院函請臺東縣警察局及所屬關山分局、請臺東縣警察局會同農委會林務局臺東林區管理處檢討改進見復；請法務部、臺灣臺東地方檢察署參處辦理。</w:t>
      </w:r>
    </w:p>
    <w:p w:rsidR="003B45B6" w:rsidRDefault="003B45B6">
      <w:pPr>
        <w:widowControl/>
        <w:snapToGrid/>
        <w:rPr>
          <w:rFonts w:ascii="華康魏碑體" w:eastAsia="華康魏碑體" w:hAnsi="細明體" w:cs="細明體"/>
          <w:kern w:val="0"/>
          <w:sz w:val="34"/>
          <w:szCs w:val="32"/>
        </w:rPr>
      </w:pPr>
      <w:bookmarkStart w:id="128" w:name="_Toc527731033"/>
      <w:r>
        <w:br w:type="page"/>
      </w:r>
    </w:p>
    <w:p w:rsidR="003807A5" w:rsidRPr="00AC77DF" w:rsidRDefault="00270354" w:rsidP="00E5718D">
      <w:pPr>
        <w:pStyle w:val="afff1"/>
        <w:spacing w:before="360" w:after="360"/>
      </w:pPr>
      <w:r>
        <w:rPr>
          <w:rFonts w:hint="eastAsia"/>
        </w:rPr>
        <w:lastRenderedPageBreak/>
        <w:t>(三)</w:t>
      </w:r>
      <w:r w:rsidR="003807A5" w:rsidRPr="00AC77DF">
        <w:t>政府機關改善情形</w:t>
      </w:r>
      <w:bookmarkEnd w:id="128"/>
    </w:p>
    <w:p w:rsidR="003807A5" w:rsidRPr="00AC77DF" w:rsidRDefault="003807A5" w:rsidP="007373B4">
      <w:pPr>
        <w:pStyle w:val="1---"/>
        <w:ind w:leftChars="100" w:left="600" w:hangingChars="150" w:hanging="360"/>
      </w:pPr>
      <w:r w:rsidRPr="00AC77DF">
        <w:t>1</w:t>
      </w:r>
      <w:r w:rsidRPr="00AC77DF">
        <w:t>、法務部於</w:t>
      </w:r>
      <w:r w:rsidRPr="00AC77DF">
        <w:t>106</w:t>
      </w:r>
      <w:r w:rsidRPr="00AC77DF">
        <w:t>年</w:t>
      </w:r>
      <w:r w:rsidRPr="00AC77DF">
        <w:t>10</w:t>
      </w:r>
      <w:r w:rsidRPr="00AC77DF">
        <w:t>月</w:t>
      </w:r>
      <w:r w:rsidRPr="00AC77DF">
        <w:t>12</w:t>
      </w:r>
      <w:r w:rsidRPr="00AC77DF">
        <w:t>日頒布修訂「檢察機關查緝盜伐森林犯罪案件執行方案</w:t>
      </w:r>
      <w:r w:rsidRPr="00604716">
        <w:rPr>
          <w:spacing w:val="-30"/>
        </w:rPr>
        <w:t>」、</w:t>
      </w:r>
      <w:r w:rsidRPr="00AC77DF">
        <w:t>「檢察機關查緝環保犯罪案件執行方案</w:t>
      </w:r>
      <w:r w:rsidRPr="00604716">
        <w:rPr>
          <w:spacing w:val="-30"/>
        </w:rPr>
        <w:t>」</w:t>
      </w:r>
      <w:r w:rsidRPr="00AC77DF">
        <w:t>，依據專業辦案原則，要求各地方檢察署成立國土環保犯罪查緝小組，指定專責之主任檢察官、檢察官，專責辦理查緝盜伐森林案件，從嚴追緝幕後主嫌及銷贓管道。另本案涉及違反森林法之個案，因符合刑事訴訟法第</w:t>
      </w:r>
      <w:r w:rsidRPr="00AC77DF">
        <w:t>260</w:t>
      </w:r>
      <w:r w:rsidRPr="00AC77DF">
        <w:t>條第</w:t>
      </w:r>
      <w:r w:rsidRPr="00AC77DF">
        <w:t>1</w:t>
      </w:r>
      <w:r w:rsidRPr="00AC77DF">
        <w:t>款發見新證據之規定，由臺東地檢署於</w:t>
      </w:r>
      <w:r w:rsidRPr="00AC77DF">
        <w:t>107</w:t>
      </w:r>
      <w:r w:rsidRPr="00AC77DF">
        <w:t>年</w:t>
      </w:r>
      <w:r w:rsidRPr="00AC77DF">
        <w:t>1</w:t>
      </w:r>
      <w:r w:rsidRPr="00AC77DF">
        <w:t>月</w:t>
      </w:r>
      <w:r w:rsidRPr="00AC77DF">
        <w:t>8</w:t>
      </w:r>
      <w:r w:rsidRPr="00AC77DF">
        <w:t>日另簽分</w:t>
      </w:r>
      <w:r w:rsidRPr="00AC77DF">
        <w:t>107</w:t>
      </w:r>
      <w:r w:rsidRPr="00AC77DF">
        <w:t>年度偵字第</w:t>
      </w:r>
      <w:r w:rsidRPr="00AC77DF">
        <w:t>155</w:t>
      </w:r>
      <w:r w:rsidRPr="00AC77DF">
        <w:t>號案件偵辦，並經檢察官以違反森林法第</w:t>
      </w:r>
      <w:r w:rsidRPr="00AC77DF">
        <w:t>50</w:t>
      </w:r>
      <w:r w:rsidRPr="00AC77DF">
        <w:t>條第</w:t>
      </w:r>
      <w:r w:rsidRPr="00AC77DF">
        <w:t>1</w:t>
      </w:r>
      <w:r w:rsidRPr="00AC77DF">
        <w:t>項故買贓物之罪嫌，提起公訴，由臺灣臺東地方法院審理中。</w:t>
      </w:r>
    </w:p>
    <w:p w:rsidR="003807A5" w:rsidRPr="00AC77DF" w:rsidRDefault="003807A5" w:rsidP="007373B4">
      <w:pPr>
        <w:pStyle w:val="1---"/>
        <w:ind w:leftChars="100" w:left="600" w:hangingChars="150" w:hanging="360"/>
      </w:pPr>
      <w:r w:rsidRPr="00AC77DF">
        <w:t>2</w:t>
      </w:r>
      <w:r w:rsidRPr="00AC77DF">
        <w:t>、臺東縣警察局暨關山分局已就偵辦中案件之新聞發布時機及內容進行檢討，未來如遇涉及民眾權益之記者會召開前，將依相關規範謹慎研議評估，審酌發言內容，以避免造成民眾名譽受損之爭議。</w:t>
      </w:r>
    </w:p>
    <w:p w:rsidR="003807A5" w:rsidRPr="00AC77DF" w:rsidRDefault="003807A5" w:rsidP="007373B4">
      <w:pPr>
        <w:pStyle w:val="1---"/>
        <w:ind w:leftChars="100" w:left="600" w:hangingChars="150" w:hanging="360"/>
      </w:pPr>
      <w:r w:rsidRPr="00AC77DF">
        <w:t>3</w:t>
      </w:r>
      <w:r w:rsidRPr="00AC77DF">
        <w:t>、依據「</w:t>
      </w:r>
      <w:r w:rsidRPr="00AC77DF">
        <w:t>106</w:t>
      </w:r>
      <w:r w:rsidRPr="00AC77DF">
        <w:t>年度林警暨救災聯繫會議</w:t>
      </w:r>
      <w:r w:rsidRPr="00604716">
        <w:rPr>
          <w:spacing w:val="-30"/>
        </w:rPr>
        <w:t>」</w:t>
      </w:r>
      <w:r w:rsidRPr="00AC77DF">
        <w:t>，對於林警共同查察森林法案件之證物扣留及後續程序等執行細節，已建立執行會勘輪值或專責人員聯繫名冊，並律定雙方配合協助事項。</w:t>
      </w:r>
    </w:p>
    <w:p w:rsidR="003807A5" w:rsidRPr="00AC77DF" w:rsidRDefault="00270354" w:rsidP="00E5718D">
      <w:pPr>
        <w:pStyle w:val="afff1"/>
        <w:spacing w:before="360" w:after="360"/>
        <w:rPr>
          <w:lang w:val="x-none"/>
        </w:rPr>
      </w:pPr>
      <w:bookmarkStart w:id="129" w:name="_Toc527731034"/>
      <w:r>
        <w:rPr>
          <w:rFonts w:hint="eastAsia"/>
        </w:rPr>
        <w:t>(四)</w:t>
      </w:r>
      <w:r w:rsidR="003807A5" w:rsidRPr="00AC77DF">
        <w:t>案件進展</w:t>
      </w:r>
      <w:bookmarkEnd w:id="129"/>
    </w:p>
    <w:p w:rsidR="003807A5" w:rsidRDefault="003807A5" w:rsidP="00274413">
      <w:pPr>
        <w:pStyle w:val="1---"/>
        <w:spacing w:before="180" w:after="180"/>
        <w:ind w:firstLine="480"/>
        <w:rPr>
          <w:lang w:eastAsia="zh-TW"/>
        </w:rPr>
      </w:pPr>
      <w:r w:rsidRPr="00AC77DF">
        <w:t>本案在監察院監督下已產生具體成果，核予結案。</w:t>
      </w:r>
    </w:p>
    <w:tbl>
      <w:tblPr>
        <w:tblStyle w:val="aff5"/>
        <w:tblW w:w="0" w:type="auto"/>
        <w:tblInd w:w="113" w:type="dxa"/>
        <w:shd w:val="clear" w:color="auto" w:fill="D9D9D9" w:themeFill="background1" w:themeFillShade="D9"/>
        <w:tblLook w:val="04A0" w:firstRow="1" w:lastRow="0" w:firstColumn="1" w:lastColumn="0" w:noHBand="0" w:noVBand="1"/>
      </w:tblPr>
      <w:tblGrid>
        <w:gridCol w:w="4276"/>
      </w:tblGrid>
      <w:tr w:rsidR="00270354" w:rsidTr="00604716">
        <w:tc>
          <w:tcPr>
            <w:tcW w:w="4276" w:type="dxa"/>
            <w:shd w:val="clear" w:color="auto" w:fill="D9D9D9" w:themeFill="background1" w:themeFillShade="D9"/>
          </w:tcPr>
          <w:p w:rsidR="00270354" w:rsidRDefault="00270354" w:rsidP="00604716">
            <w:pPr>
              <w:pStyle w:val="11-"/>
              <w:spacing w:before="72" w:after="108"/>
              <w:rPr>
                <w:lang w:eastAsia="zh-TW"/>
              </w:rPr>
            </w:pPr>
            <w:bookmarkStart w:id="130" w:name="_Toc527731085"/>
            <w:bookmarkStart w:id="131" w:name="_Toc535228342"/>
            <w:bookmarkStart w:id="132" w:name="_Toc4058753"/>
            <w:r w:rsidRPr="00AC77DF">
              <w:lastRenderedPageBreak/>
              <w:t>軍方查辦機密文件不當搜索案</w:t>
            </w:r>
            <w:bookmarkEnd w:id="130"/>
            <w:bookmarkEnd w:id="131"/>
            <w:bookmarkEnd w:id="132"/>
          </w:p>
        </w:tc>
      </w:tr>
    </w:tbl>
    <w:p w:rsidR="003807A5" w:rsidRPr="00AC77DF" w:rsidRDefault="003807A5" w:rsidP="00604716">
      <w:pPr>
        <w:pStyle w:val="1---"/>
        <w:ind w:firstLine="480"/>
      </w:pPr>
    </w:p>
    <w:tbl>
      <w:tblPr>
        <w:tblStyle w:val="aff5"/>
        <w:tblW w:w="4777" w:type="pct"/>
        <w:tblInd w:w="113" w:type="dxa"/>
        <w:tblLook w:val="04A0" w:firstRow="1" w:lastRow="0" w:firstColumn="1" w:lastColumn="0" w:noHBand="0" w:noVBand="1"/>
      </w:tblPr>
      <w:tblGrid>
        <w:gridCol w:w="6544"/>
      </w:tblGrid>
      <w:tr w:rsidR="00FE3372" w:rsidTr="00604716">
        <w:tc>
          <w:tcPr>
            <w:tcW w:w="5000" w:type="pct"/>
          </w:tcPr>
          <w:p w:rsidR="00FE3372" w:rsidRPr="00FE3372" w:rsidRDefault="00FE3372" w:rsidP="00604716">
            <w:pPr>
              <w:spacing w:line="360" w:lineRule="exact"/>
              <w:jc w:val="both"/>
              <w:rPr>
                <w:lang w:val="x-none"/>
              </w:rPr>
            </w:pPr>
            <w:bookmarkStart w:id="133" w:name="_Toc527731086"/>
            <w:r w:rsidRPr="00AC77DF">
              <w:rPr>
                <w:b/>
                <w:lang w:val="x-none"/>
              </w:rPr>
              <w:t>相關國際人權公約：</w:t>
            </w:r>
            <w:r w:rsidRPr="00AC77DF">
              <w:t>公民與政治權利國際公約第</w:t>
            </w:r>
            <w:r w:rsidRPr="00AC77DF">
              <w:t>9</w:t>
            </w:r>
            <w:r w:rsidRPr="00AC77DF">
              <w:t>條、第</w:t>
            </w:r>
            <w:r w:rsidRPr="00AC77DF">
              <w:t>14</w:t>
            </w:r>
            <w:r w:rsidRPr="00AC77DF">
              <w:t>條；公民與政治權利國際公約第</w:t>
            </w:r>
            <w:r w:rsidRPr="00AC77DF">
              <w:t>8</w:t>
            </w:r>
            <w:r w:rsidRPr="00AC77DF">
              <w:t>號一般性意見。</w:t>
            </w:r>
          </w:p>
        </w:tc>
      </w:tr>
    </w:tbl>
    <w:p w:rsidR="003807A5" w:rsidRPr="00AC77DF" w:rsidRDefault="00270354" w:rsidP="0039290C">
      <w:pPr>
        <w:pStyle w:val="afff1"/>
        <w:spacing w:beforeLines="150" w:before="540" w:after="360"/>
      </w:pPr>
      <w:r>
        <w:rPr>
          <w:rFonts w:hint="eastAsia"/>
        </w:rPr>
        <w:t>(一)</w:t>
      </w:r>
      <w:r w:rsidR="003807A5" w:rsidRPr="00AC77DF">
        <w:t>案情簡述</w:t>
      </w:r>
      <w:bookmarkEnd w:id="133"/>
    </w:p>
    <w:p w:rsidR="003807A5" w:rsidRPr="00AC77DF" w:rsidRDefault="003807A5" w:rsidP="00B7222B">
      <w:pPr>
        <w:pStyle w:val="1---"/>
        <w:ind w:firstLine="480"/>
      </w:pPr>
      <w:r w:rsidRPr="00AC77DF">
        <w:t>據媒體報導，魏姓男子之女上網指控，父親透過網站購買販售白色恐怖時期機密文件，遭憲兵登門搜索、偵訊，事後又發給</w:t>
      </w:r>
      <w:r w:rsidRPr="00AC77DF">
        <w:t>1</w:t>
      </w:r>
      <w:r w:rsidRPr="00AC77DF">
        <w:t>萬</w:t>
      </w:r>
      <w:r w:rsidRPr="00AC77DF">
        <w:t>5</w:t>
      </w:r>
      <w:r w:rsidRPr="00AC77DF">
        <w:t>千元獎金要求簽切結書遭拒等情，事件曝光後引發各界爭議。究軍方機密文件為何外流且公然於網站販售？軍方檔案管理是否涉有疏失？魏男持有機密文件是否與白色恐怖有關？憲兵隊辦案程序有無瑕疵？魏男人權有無受到不當侵犯？監察委員認有深入瞭解之必要，而立案調查。</w:t>
      </w:r>
    </w:p>
    <w:p w:rsidR="003807A5" w:rsidRPr="00AC77DF" w:rsidRDefault="00270354" w:rsidP="00E5718D">
      <w:pPr>
        <w:pStyle w:val="afff1"/>
        <w:spacing w:before="360" w:after="360"/>
      </w:pPr>
      <w:bookmarkStart w:id="134" w:name="_Toc527731087"/>
      <w:r>
        <w:rPr>
          <w:rFonts w:hint="eastAsia"/>
        </w:rPr>
        <w:t>(二)</w:t>
      </w:r>
      <w:r w:rsidR="003807A5" w:rsidRPr="00AC77DF">
        <w:t>監察院調查發現與建議</w:t>
      </w:r>
      <w:bookmarkEnd w:id="134"/>
    </w:p>
    <w:p w:rsidR="003807A5" w:rsidRPr="00AC77DF" w:rsidRDefault="00383BEE" w:rsidP="00D92DAE">
      <w:pPr>
        <w:pStyle w:val="1--13"/>
        <w:spacing w:before="180" w:after="180"/>
      </w:pPr>
      <w:r w:rsidRPr="008E1832">
        <w:rPr>
          <w:rFonts w:hint="eastAsia"/>
        </w:rPr>
        <w:t>˙</w:t>
      </w:r>
      <w:r w:rsidR="003807A5" w:rsidRPr="00AC77DF">
        <w:t>所用方法已逾達成行政目的之必要限度</w:t>
      </w:r>
    </w:p>
    <w:p w:rsidR="003807A5" w:rsidRPr="00AC77DF" w:rsidRDefault="003807A5" w:rsidP="008744FB">
      <w:pPr>
        <w:pStyle w:val="1---"/>
        <w:ind w:firstLine="480"/>
        <w:rPr>
          <w:rFonts w:eastAsia="標楷體"/>
        </w:rPr>
      </w:pPr>
      <w:r w:rsidRPr="00AC77DF">
        <w:t>政治作戰局保防安全處處長趙代川於</w:t>
      </w:r>
      <w:r w:rsidRPr="00AC77DF">
        <w:t>105</w:t>
      </w:r>
      <w:r w:rsidRPr="00AC77DF">
        <w:t>年</w:t>
      </w:r>
      <w:r w:rsidRPr="00AC77DF">
        <w:t>2</w:t>
      </w:r>
      <w:r w:rsidRPr="00AC77DF">
        <w:t>月</w:t>
      </w:r>
      <w:r w:rsidRPr="00AC77DF">
        <w:t>19</w:t>
      </w:r>
      <w:r w:rsidRPr="00AC77DF">
        <w:t>日召開專案會議，未依該會議建議或結論，先查明文件是否解除機密、銷毀，並釐清要行政調查或刑事偵查，憲兵如啟動偵查應報請檢察署立案指揮偵辦，且未先簽呈局長核定成立專案，即貿然於會後決定，當日向魏姓民眾</w:t>
      </w:r>
      <w:r w:rsidRPr="008744FB">
        <w:rPr>
          <w:spacing w:val="-18"/>
        </w:rPr>
        <w:t>以</w:t>
      </w:r>
      <w:r w:rsidRPr="00AC77DF">
        <w:t>15,00</w:t>
      </w:r>
      <w:r w:rsidRPr="008744FB">
        <w:rPr>
          <w:spacing w:val="-18"/>
        </w:rPr>
        <w:t>0</w:t>
      </w:r>
      <w:r w:rsidRPr="00AC77DF">
        <w:t>元洽談購買或歸還文</w:t>
      </w:r>
      <w:r w:rsidRPr="00AC77DF">
        <w:lastRenderedPageBreak/>
        <w:t>件，並請臺北憲兵隊配合支援；該處余姓中校依趙代川之命指示軍事安全總隊洽談購買或歸還文件，卻採取誘騙手段，向魏姓民眾謊稱欲購買普洱茶而約其於下</w:t>
      </w:r>
      <w:r w:rsidRPr="0035245D">
        <w:rPr>
          <w:spacing w:val="-10"/>
        </w:rPr>
        <w:t>午</w:t>
      </w:r>
      <w:r w:rsidRPr="0035245D">
        <w:rPr>
          <w:spacing w:val="-10"/>
        </w:rPr>
        <w:t>6</w:t>
      </w:r>
      <w:r w:rsidRPr="00AC77DF">
        <w:t>點半在捷運站出口碰面後，再指示總隊及臺北憲兵隊派員計</w:t>
      </w:r>
      <w:r w:rsidRPr="00AC77DF">
        <w:t>11</w:t>
      </w:r>
      <w:r w:rsidRPr="00AC77DF">
        <w:t>名兵力到場（總隊</w:t>
      </w:r>
      <w:r w:rsidRPr="00AC77DF">
        <w:t>7</w:t>
      </w:r>
      <w:r w:rsidRPr="00AC77DF">
        <w:t>名、憲兵</w:t>
      </w:r>
      <w:r w:rsidRPr="008744FB">
        <w:rPr>
          <w:spacing w:val="-4"/>
        </w:rPr>
        <w:t>隊</w:t>
      </w:r>
      <w:r w:rsidRPr="008744FB">
        <w:rPr>
          <w:spacing w:val="-4"/>
        </w:rPr>
        <w:t>4</w:t>
      </w:r>
      <w:r w:rsidRPr="00AC77DF">
        <w:t>名</w:t>
      </w:r>
      <w:r w:rsidRPr="008744FB">
        <w:rPr>
          <w:spacing w:val="-30"/>
        </w:rPr>
        <w:t>）</w:t>
      </w:r>
      <w:r w:rsidRPr="00AC77DF">
        <w:t>。所用方法逾越所欲達成目的之必要限度，未兼顧國家安全與人民權益之保障</w:t>
      </w:r>
      <w:r w:rsidRPr="00AC77DF">
        <w:rPr>
          <w:rFonts w:eastAsia="標楷體"/>
        </w:rPr>
        <w:t>。</w:t>
      </w:r>
    </w:p>
    <w:p w:rsidR="003807A5" w:rsidRPr="00AC77DF" w:rsidRDefault="00383BEE" w:rsidP="00D92DAE">
      <w:pPr>
        <w:pStyle w:val="1--13"/>
        <w:spacing w:before="180" w:after="180"/>
      </w:pPr>
      <w:r w:rsidRPr="008E1832">
        <w:rPr>
          <w:rFonts w:hint="eastAsia"/>
        </w:rPr>
        <w:t>˙</w:t>
      </w:r>
      <w:r w:rsidR="003807A5" w:rsidRPr="00AC77DF">
        <w:t>不當核發獎勵金</w:t>
      </w:r>
    </w:p>
    <w:p w:rsidR="003807A5" w:rsidRPr="00AC77DF" w:rsidRDefault="003807A5" w:rsidP="00B7222B">
      <w:pPr>
        <w:pStyle w:val="1---"/>
        <w:ind w:firstLine="480"/>
      </w:pPr>
      <w:r w:rsidRPr="00AC77DF">
        <w:t>趙代川與余姓中校明知保防安全處於</w:t>
      </w:r>
      <w:r w:rsidRPr="00AC77DF">
        <w:rPr>
          <w:lang w:eastAsia="zh-TW"/>
        </w:rPr>
        <w:t>105</w:t>
      </w:r>
      <w:r w:rsidRPr="00AC77DF">
        <w:t>年</w:t>
      </w:r>
      <w:r w:rsidRPr="00AC77DF">
        <w:t>2</w:t>
      </w:r>
      <w:r w:rsidRPr="00AC77DF">
        <w:t>月</w:t>
      </w:r>
      <w:r w:rsidRPr="00AC77DF">
        <w:t>19</w:t>
      </w:r>
      <w:r w:rsidRPr="00AC77DF">
        <w:t>日自臺北憲兵隊取得</w:t>
      </w:r>
      <w:r w:rsidRPr="00AC77DF">
        <w:t>3</w:t>
      </w:r>
      <w:r w:rsidRPr="00AC77DF">
        <w:t>份文件，卻未儘速請該隊補發公文，致使該處遲至本案經媒體報導曝光後始於</w:t>
      </w:r>
      <w:r w:rsidRPr="00AC77DF">
        <w:rPr>
          <w:lang w:eastAsia="zh-TW"/>
        </w:rPr>
        <w:t>105</w:t>
      </w:r>
      <w:r w:rsidRPr="00AC77DF">
        <w:t>年</w:t>
      </w:r>
      <w:r w:rsidRPr="00AC77DF">
        <w:t>3</w:t>
      </w:r>
      <w:r w:rsidRPr="00AC77DF">
        <w:t>月</w:t>
      </w:r>
      <w:r w:rsidRPr="00AC77DF">
        <w:t>8</w:t>
      </w:r>
      <w:r w:rsidRPr="00AC77DF">
        <w:t>日完成鑑密。趙代川在臺北憲兵隊以妨害秘密等罪偵辦魏姓民眾時，</w:t>
      </w:r>
      <w:r w:rsidRPr="0035245D">
        <w:rPr>
          <w:spacing w:val="-10"/>
        </w:rPr>
        <w:t>於</w:t>
      </w:r>
      <w:r w:rsidRPr="00AC77DF">
        <w:t>10</w:t>
      </w:r>
      <w:r w:rsidRPr="0035245D">
        <w:rPr>
          <w:spacing w:val="-10"/>
        </w:rPr>
        <w:t>5</w:t>
      </w:r>
      <w:r w:rsidRPr="0035245D">
        <w:rPr>
          <w:spacing w:val="-10"/>
        </w:rPr>
        <w:t>年</w:t>
      </w:r>
      <w:r w:rsidRPr="00AC77DF">
        <w:t>2</w:t>
      </w:r>
      <w:r w:rsidRPr="00AC77DF">
        <w:t>月間指示下屬向臺北憲兵隊長探詢案件後續偵辦方向，有無可能不移送，已干擾刑案偵辦程序。又指示余姓中校等人</w:t>
      </w:r>
      <w:r w:rsidRPr="0035245D">
        <w:rPr>
          <w:spacing w:val="-10"/>
        </w:rPr>
        <w:t>於</w:t>
      </w:r>
      <w:r w:rsidRPr="00AC77DF">
        <w:t>105</w:t>
      </w:r>
      <w:r w:rsidRPr="00AC77DF">
        <w:t>年</w:t>
      </w:r>
      <w:r w:rsidRPr="00AC77DF">
        <w:t>3</w:t>
      </w:r>
      <w:r w:rsidRPr="00AC77DF">
        <w:t>月</w:t>
      </w:r>
      <w:r w:rsidRPr="00AC77DF">
        <w:t>1</w:t>
      </w:r>
      <w:r w:rsidRPr="00AC77DF">
        <w:t>日請魏姓民眾收下</w:t>
      </w:r>
      <w:r w:rsidRPr="00AC77DF">
        <w:t>15,000</w:t>
      </w:r>
      <w:r w:rsidRPr="00AC77DF">
        <w:t>元獎勵金及簽署切結書，遭魏姓民眾拒絕，不僅造成魏姓民眾既被當成犯罪嫌疑人又被當成軍事工作有功人士之困擾，而且引發民眾質疑該獎勵金實為「封口費」，嚴重損害軍譽。</w:t>
      </w:r>
    </w:p>
    <w:p w:rsidR="003807A5" w:rsidRPr="00AC77DF" w:rsidRDefault="00383BEE" w:rsidP="00D92DAE">
      <w:pPr>
        <w:pStyle w:val="1--13"/>
        <w:spacing w:before="180" w:after="180"/>
      </w:pPr>
      <w:r w:rsidRPr="008E1832">
        <w:rPr>
          <w:rFonts w:hint="eastAsia"/>
        </w:rPr>
        <w:t>˙</w:t>
      </w:r>
      <w:r w:rsidR="003807A5" w:rsidRPr="00AC77DF">
        <w:t>處理程序瑕疵</w:t>
      </w:r>
    </w:p>
    <w:p w:rsidR="003807A5" w:rsidRPr="00AC77DF" w:rsidRDefault="003807A5" w:rsidP="00B7222B">
      <w:pPr>
        <w:pStyle w:val="1---"/>
        <w:ind w:firstLine="480"/>
      </w:pPr>
      <w:r w:rsidRPr="00AC77DF">
        <w:t>憲兵指揮部臺北憲兵隊黃姓調查官在捷運站開始調查</w:t>
      </w:r>
      <w:r w:rsidRPr="0035245D">
        <w:rPr>
          <w:spacing w:val="-10"/>
        </w:rPr>
        <w:t>後</w:t>
      </w:r>
      <w:r w:rsidRPr="00AC77DF">
        <w:t>1</w:t>
      </w:r>
      <w:r w:rsidRPr="00AC77DF">
        <w:t>分鐘，在車上讓魏姓民眾簽署自願受搜索同意書時，均未依法全程錄音或錄影；其於捷運站進行詢問及在車上簽署同意書時，均有非屬司法警察之總隊人員在場。其進行詢問時，未依法告知魏姓民眾所犯罪名、得保持緘默、得選任辯護人等法定事</w:t>
      </w:r>
      <w:r w:rsidRPr="00AC77DF">
        <w:lastRenderedPageBreak/>
        <w:t>項，於其簽署自願受搜索同意書時，未依法先製作同意搜索筆錄並記明夜間搜索，使同意搜索自願性有瑕疵。又扣押文件鑑密未依法由憲兵隊函請憲兵指揮部轉請政治作戰局辦理，程序均有瑕疵。</w:t>
      </w:r>
    </w:p>
    <w:p w:rsidR="003807A5" w:rsidRPr="00AC77DF" w:rsidRDefault="003807A5" w:rsidP="00B7222B">
      <w:pPr>
        <w:pStyle w:val="1---"/>
        <w:ind w:firstLine="480"/>
      </w:pPr>
      <w:r w:rsidRPr="00AC77DF">
        <w:t>依據本案調查意見</w:t>
      </w:r>
      <w:r w:rsidRPr="00F85A65">
        <w:rPr>
          <w:rStyle w:val="aff2"/>
        </w:rPr>
        <w:footnoteReference w:id="60"/>
      </w:r>
      <w:r w:rsidRPr="00AC77DF">
        <w:t>，監察院彈劾趙代川；糾正國防部及所屬相關機關，並請行政院督飭所屬檢討改進。</w:t>
      </w:r>
    </w:p>
    <w:p w:rsidR="003807A5" w:rsidRPr="00AC77DF" w:rsidRDefault="00270354" w:rsidP="00E5718D">
      <w:pPr>
        <w:pStyle w:val="afff1"/>
        <w:spacing w:before="360" w:after="360"/>
      </w:pPr>
      <w:bookmarkStart w:id="135" w:name="_Toc527731088"/>
      <w:r>
        <w:rPr>
          <w:rFonts w:hint="eastAsia"/>
        </w:rPr>
        <w:t>(三)</w:t>
      </w:r>
      <w:r w:rsidR="003807A5" w:rsidRPr="00AC77DF">
        <w:t>政府機關改善情形</w:t>
      </w:r>
      <w:bookmarkEnd w:id="135"/>
    </w:p>
    <w:p w:rsidR="003807A5" w:rsidRPr="00AC77DF" w:rsidRDefault="003807A5" w:rsidP="007373B4">
      <w:pPr>
        <w:pStyle w:val="1---"/>
        <w:ind w:leftChars="100" w:left="600" w:hangingChars="150" w:hanging="360"/>
      </w:pPr>
      <w:r w:rsidRPr="00AC77DF">
        <w:t>1</w:t>
      </w:r>
      <w:r w:rsidRPr="00AC77DF">
        <w:t>、關於監察院彈劾趙代川案，公懲會判決其記過壹次。</w:t>
      </w:r>
    </w:p>
    <w:p w:rsidR="003807A5" w:rsidRPr="00AC77DF" w:rsidRDefault="003807A5" w:rsidP="007373B4">
      <w:pPr>
        <w:pStyle w:val="1---"/>
        <w:ind w:leftChars="100" w:left="600" w:hangingChars="150" w:hanging="360"/>
      </w:pPr>
      <w:r w:rsidRPr="00AC77DF">
        <w:t>2</w:t>
      </w:r>
      <w:r w:rsidRPr="00AC77DF">
        <w:t>、各憲兵隊落實贓、證物品存管作業；另於送交權責機關政治作戰局辦理機密審認時，應確按程序執行，避免衍生延遲鑑密疑慮。</w:t>
      </w:r>
    </w:p>
    <w:p w:rsidR="003807A5" w:rsidRPr="00AC77DF" w:rsidRDefault="003807A5" w:rsidP="007373B4">
      <w:pPr>
        <w:pStyle w:val="1---"/>
        <w:ind w:leftChars="100" w:left="600" w:hangingChars="150" w:hanging="360"/>
      </w:pPr>
      <w:r w:rsidRPr="00AC77DF">
        <w:t>3</w:t>
      </w:r>
      <w:r w:rsidRPr="00AC77DF">
        <w:t>、「國軍保防案件處理作業要點」等規範，不得逾越比例原則及混用調查手段，以落實人權保障及維護國家安全之目的。</w:t>
      </w:r>
    </w:p>
    <w:p w:rsidR="003807A5" w:rsidRPr="00AC77DF" w:rsidRDefault="003807A5" w:rsidP="007373B4">
      <w:pPr>
        <w:pStyle w:val="1---"/>
        <w:ind w:leftChars="100" w:left="600" w:hangingChars="150" w:hanging="360"/>
      </w:pPr>
      <w:r w:rsidRPr="00AC77DF">
        <w:t>4</w:t>
      </w:r>
      <w:r w:rsidRPr="00AC77DF">
        <w:t>、</w:t>
      </w:r>
      <w:r w:rsidRPr="00AC77DF">
        <w:t>105</w:t>
      </w:r>
      <w:r w:rsidRPr="00AC77DF">
        <w:t>年</w:t>
      </w:r>
      <w:r w:rsidRPr="00AC77DF">
        <w:t>5</w:t>
      </w:r>
      <w:r w:rsidRPr="00AC77DF">
        <w:t>月</w:t>
      </w:r>
      <w:r w:rsidRPr="00AC77DF">
        <w:t>10</w:t>
      </w:r>
      <w:r w:rsidRPr="00AC77DF">
        <w:t>日增訂「政治作戰局涉及民人案件處理標準作業程序」及「憲兵指揮部專案作業機制作業程序」，明確律定職權劃分、處理流程、督管及標準作業程序，以完備機制。</w:t>
      </w:r>
    </w:p>
    <w:p w:rsidR="003807A5" w:rsidRPr="00AC77DF" w:rsidRDefault="003807A5" w:rsidP="007373B4">
      <w:pPr>
        <w:pStyle w:val="1---"/>
        <w:ind w:leftChars="100" w:left="600" w:hangingChars="150" w:hanging="360"/>
      </w:pPr>
      <w:r w:rsidRPr="00AC77DF">
        <w:t>5</w:t>
      </w:r>
      <w:r w:rsidRPr="00AC77DF">
        <w:t>、軍事安全總隊增加編配（制）法制官，協助幹部瞭解法律行政自我審查及職務權責行使範圍，以使保防人員深植正當法律程序之觀念。</w:t>
      </w:r>
    </w:p>
    <w:p w:rsidR="003807A5" w:rsidRPr="00AC77DF" w:rsidRDefault="00270354" w:rsidP="00E5718D">
      <w:pPr>
        <w:pStyle w:val="afff1"/>
        <w:spacing w:before="360" w:after="360"/>
      </w:pPr>
      <w:bookmarkStart w:id="136" w:name="_Toc527731089"/>
      <w:r>
        <w:rPr>
          <w:rFonts w:hint="eastAsia"/>
        </w:rPr>
        <w:lastRenderedPageBreak/>
        <w:t>(四)</w:t>
      </w:r>
      <w:r w:rsidR="003807A5" w:rsidRPr="00AC77DF">
        <w:t>案件進展</w:t>
      </w:r>
      <w:bookmarkEnd w:id="136"/>
    </w:p>
    <w:p w:rsidR="003807A5" w:rsidRDefault="003807A5" w:rsidP="00274413">
      <w:pPr>
        <w:pStyle w:val="1---"/>
        <w:spacing w:before="180" w:after="180"/>
        <w:ind w:firstLine="480"/>
        <w:rPr>
          <w:lang w:eastAsia="zh-TW"/>
        </w:rPr>
      </w:pPr>
      <w:r w:rsidRPr="00AC77DF">
        <w:t>本案已結案。</w:t>
      </w:r>
    </w:p>
    <w:p w:rsidR="00270354" w:rsidRDefault="00270354" w:rsidP="00274413">
      <w:pPr>
        <w:pStyle w:val="1---"/>
        <w:spacing w:before="180" w:after="180"/>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2972"/>
      </w:tblGrid>
      <w:tr w:rsidR="00270354" w:rsidTr="0035245D">
        <w:tc>
          <w:tcPr>
            <w:tcW w:w="2972" w:type="dxa"/>
            <w:shd w:val="clear" w:color="auto" w:fill="D9D9D9" w:themeFill="background1" w:themeFillShade="D9"/>
          </w:tcPr>
          <w:p w:rsidR="00270354" w:rsidRDefault="00270354" w:rsidP="0035245D">
            <w:pPr>
              <w:pStyle w:val="11-"/>
              <w:spacing w:before="72" w:after="108"/>
              <w:rPr>
                <w:lang w:eastAsia="zh-TW"/>
              </w:rPr>
            </w:pPr>
            <w:bookmarkStart w:id="137" w:name="_Toc527731065"/>
            <w:bookmarkStart w:id="138" w:name="_Toc535228343"/>
            <w:bookmarkStart w:id="139" w:name="_Toc4058754"/>
            <w:r w:rsidRPr="00AC77DF">
              <w:t>冒名偵訊致生爭議案</w:t>
            </w:r>
            <w:bookmarkEnd w:id="137"/>
            <w:bookmarkEnd w:id="138"/>
            <w:bookmarkEnd w:id="139"/>
          </w:p>
        </w:tc>
      </w:tr>
    </w:tbl>
    <w:p w:rsidR="00270354" w:rsidRPr="00270354" w:rsidRDefault="00270354" w:rsidP="00270354">
      <w:pPr>
        <w:pStyle w:val="1---"/>
        <w:ind w:firstLine="480"/>
      </w:pPr>
    </w:p>
    <w:tbl>
      <w:tblPr>
        <w:tblStyle w:val="aff5"/>
        <w:tblW w:w="0" w:type="auto"/>
        <w:tblInd w:w="113" w:type="dxa"/>
        <w:tblLook w:val="04A0" w:firstRow="1" w:lastRow="0" w:firstColumn="1" w:lastColumn="0" w:noHBand="0" w:noVBand="1"/>
      </w:tblPr>
      <w:tblGrid>
        <w:gridCol w:w="6516"/>
      </w:tblGrid>
      <w:tr w:rsidR="00173A1A" w:rsidTr="0039290C">
        <w:trPr>
          <w:trHeight w:val="441"/>
        </w:trPr>
        <w:tc>
          <w:tcPr>
            <w:tcW w:w="6516" w:type="dxa"/>
          </w:tcPr>
          <w:p w:rsidR="00173A1A" w:rsidRPr="00173A1A" w:rsidRDefault="00173A1A" w:rsidP="0035245D">
            <w:pPr>
              <w:spacing w:line="360" w:lineRule="exact"/>
              <w:jc w:val="both"/>
              <w:rPr>
                <w:lang w:val="x-none"/>
              </w:rPr>
            </w:pPr>
            <w:bookmarkStart w:id="140" w:name="_Toc527731066"/>
            <w:r w:rsidRPr="00AC77DF">
              <w:rPr>
                <w:b/>
                <w:lang w:val="x-none"/>
              </w:rPr>
              <w:t>相關國際人權公約：</w:t>
            </w:r>
            <w:r w:rsidRPr="00AC77DF">
              <w:t>公民與政治權利國際公約第</w:t>
            </w:r>
            <w:r w:rsidRPr="00AC77DF">
              <w:t>14</w:t>
            </w:r>
            <w:r w:rsidRPr="00AC77DF">
              <w:t>條</w:t>
            </w:r>
          </w:p>
        </w:tc>
      </w:tr>
    </w:tbl>
    <w:p w:rsidR="003807A5" w:rsidRPr="00AC77DF" w:rsidRDefault="00901B72" w:rsidP="00E5718D">
      <w:pPr>
        <w:pStyle w:val="afff1"/>
        <w:spacing w:before="360" w:after="360"/>
      </w:pPr>
      <w:r>
        <w:rPr>
          <w:rFonts w:hint="eastAsia"/>
        </w:rPr>
        <w:t>(一)</w:t>
      </w:r>
      <w:r w:rsidR="003807A5" w:rsidRPr="00AC77DF">
        <w:t>案情簡述</w:t>
      </w:r>
      <w:bookmarkEnd w:id="140"/>
    </w:p>
    <w:p w:rsidR="003807A5" w:rsidRPr="00AC77DF" w:rsidRDefault="003807A5" w:rsidP="00B7222B">
      <w:pPr>
        <w:pStyle w:val="1---"/>
        <w:ind w:firstLine="480"/>
      </w:pPr>
      <w:r w:rsidRPr="00AC77DF">
        <w:t>本件因潘男酒駕遭苗栗縣警察局竹南分局大同派出所員警查獲後，潘男於警方詢問及臺灣苗栗地方檢察署（簡稱苗栗地檢署）檢察官訊問時均冒用「何男」名義，但警方與檢察官未確實比對戶役政電子閘門系統裡何男相片，導致檢察官用「速偵」案件聲請簡易判決處刑、臺灣苗栗地方法院（簡稱苗栗地院）法官簡易判決時，均以「何男」為被告進行程序，產生真正行為人與判決書所載被告有不一致情形。直到判決確定拘提何男時始發現抓錯人，而對原確定判決進行姓名更正。苗栗地院簡易庭法官發覺潘男有前科，應可適用累犯規定加重其刑，於是裁定中告知檢察官可以再提起上訴，檢察官上訴後，苗栗地院合議庭卻認為判決已經確定，因此認定檢察官上訴逾期，駁回檢察官上訴，檢察官只好另向苗栗地院聲請累犯更定其刑，最後增加</w:t>
      </w:r>
      <w:r w:rsidRPr="00AC77DF">
        <w:t>1</w:t>
      </w:r>
      <w:r w:rsidRPr="00AC77DF">
        <w:t>個月刑責。從更正姓名到更定其刑，又再歷</w:t>
      </w:r>
      <w:r w:rsidRPr="0035245D">
        <w:rPr>
          <w:spacing w:val="-16"/>
        </w:rPr>
        <w:t>時</w:t>
      </w:r>
      <w:r w:rsidRPr="00AC77DF">
        <w:t>11</w:t>
      </w:r>
      <w:r w:rsidRPr="00AC77DF">
        <w:lastRenderedPageBreak/>
        <w:t>月餘。監察委員認本案已致他人權益受損而有瞭解之必要，爰立案調查。</w:t>
      </w:r>
    </w:p>
    <w:p w:rsidR="003807A5" w:rsidRPr="00AC77DF" w:rsidRDefault="00901B72" w:rsidP="00E5718D">
      <w:pPr>
        <w:pStyle w:val="afff1"/>
        <w:spacing w:before="360" w:after="360"/>
      </w:pPr>
      <w:bookmarkStart w:id="141" w:name="_Toc527731067"/>
      <w:r>
        <w:rPr>
          <w:rFonts w:hint="eastAsia"/>
        </w:rPr>
        <w:t>(二)</w:t>
      </w:r>
      <w:r w:rsidR="003807A5" w:rsidRPr="00AC77DF">
        <w:t>監察院調查發現與建議</w:t>
      </w:r>
      <w:bookmarkEnd w:id="141"/>
    </w:p>
    <w:p w:rsidR="003807A5" w:rsidRPr="00AC77DF" w:rsidRDefault="00383BEE" w:rsidP="00D92DAE">
      <w:pPr>
        <w:pStyle w:val="1--13"/>
        <w:spacing w:before="180" w:after="180"/>
      </w:pPr>
      <w:r w:rsidRPr="008E1832">
        <w:rPr>
          <w:rFonts w:hint="eastAsia"/>
        </w:rPr>
        <w:t>˙</w:t>
      </w:r>
      <w:r w:rsidR="003807A5" w:rsidRPr="00AC77DF">
        <w:t>未依規定比對指紋</w:t>
      </w:r>
    </w:p>
    <w:p w:rsidR="003807A5" w:rsidRPr="00AC77DF" w:rsidRDefault="003807A5" w:rsidP="00B7222B">
      <w:pPr>
        <w:pStyle w:val="1---"/>
        <w:ind w:firstLine="480"/>
      </w:pPr>
      <w:r w:rsidRPr="00AC77DF">
        <w:t>苗栗縣警察局竹南分局逮捕何男後，未能確實比對其拍攝相片影像與「戶役政電子閘門系統」相片影像以查核其身分，亦未製作可資比對之有效指紋卡片，違反「警察偵查犯罪手冊」第</w:t>
      </w:r>
      <w:r w:rsidRPr="00AC77DF">
        <w:t>116</w:t>
      </w:r>
      <w:r w:rsidRPr="00AC77DF">
        <w:t>點第</w:t>
      </w:r>
      <w:r w:rsidRPr="00AC77DF">
        <w:t>2</w:t>
      </w:r>
      <w:r w:rsidRPr="00AC77DF">
        <w:t>項第</w:t>
      </w:r>
      <w:r w:rsidRPr="00AC77DF">
        <w:t>2</w:t>
      </w:r>
      <w:r w:rsidRPr="00AC77DF">
        <w:t>、</w:t>
      </w:r>
      <w:r w:rsidRPr="00AC77DF">
        <w:t>3</w:t>
      </w:r>
      <w:r w:rsidRPr="00AC77DF">
        <w:t>款及「檢察機關與司法警察機關辦理刑事案件防範冒名頂替應行注意事項」第</w:t>
      </w:r>
      <w:r w:rsidRPr="00AC77DF">
        <w:t>3</w:t>
      </w:r>
      <w:r w:rsidRPr="00AC77DF">
        <w:t>點規定，致本件自始即陷於人別錯誤，影響國家訴追犯罪刑罰權行使之正確性，浪費國家資源。</w:t>
      </w:r>
    </w:p>
    <w:p w:rsidR="003807A5" w:rsidRPr="00AC77DF" w:rsidRDefault="003807A5" w:rsidP="00B7222B">
      <w:pPr>
        <w:pStyle w:val="1---"/>
        <w:ind w:firstLine="480"/>
      </w:pPr>
      <w:r w:rsidRPr="00AC77DF">
        <w:t>要求警政署宜敦促所屬各警察機關儘早購置「指紋活體掃描器」，以於偵查犯罪之初即可識別犯罪行為人身分。</w:t>
      </w:r>
    </w:p>
    <w:p w:rsidR="003807A5" w:rsidRPr="00AC77DF" w:rsidRDefault="00383BEE" w:rsidP="00D92DAE">
      <w:pPr>
        <w:pStyle w:val="1--13"/>
        <w:spacing w:before="180" w:after="180"/>
      </w:pPr>
      <w:r w:rsidRPr="008E1832">
        <w:rPr>
          <w:rFonts w:hint="eastAsia"/>
        </w:rPr>
        <w:t>˙</w:t>
      </w:r>
      <w:r w:rsidR="003807A5" w:rsidRPr="00AC77DF">
        <w:t>偵查過程有失嚴謹</w:t>
      </w:r>
    </w:p>
    <w:p w:rsidR="003807A5" w:rsidRPr="00AC77DF" w:rsidRDefault="003807A5" w:rsidP="00B7222B">
      <w:pPr>
        <w:pStyle w:val="1---"/>
        <w:ind w:firstLine="480"/>
      </w:pPr>
      <w:r w:rsidRPr="00AC77DF">
        <w:t>苗栗地檢署內勤檢察官於訊問真正行為人時，僅註記被告未攜帶身分證，未切實比對其與卷內相片是否相符，且未就與被告同行之友人進行訊問。該署主任檢察官於檢察事務官製作緩起訴處分書初稿後，亦未詳究本件有無人別錯誤情事，即率予核章製作緩起訴處分書，肇致本件後續均以被冒名人為被告、為緩起訴處分對象及聲請簡易判決處刑，該署之偵查過程有失嚴謹。又</w:t>
      </w:r>
      <w:r w:rsidR="005012B9">
        <w:rPr>
          <w:rFonts w:hint="eastAsia"/>
        </w:rPr>
        <w:t>高檢署</w:t>
      </w:r>
      <w:r w:rsidRPr="00AC77DF">
        <w:t>臺中檢察分署及苗栗地檢署就此缺失已有策</w:t>
      </w:r>
      <w:r w:rsidRPr="00AC77DF">
        <w:lastRenderedPageBreak/>
        <w:t>進作為，倘其運作成效良好，法務部宜廣為宣導至各地方檢察署，引為殷鑑。</w:t>
      </w:r>
    </w:p>
    <w:p w:rsidR="003807A5" w:rsidRPr="00AC77DF" w:rsidRDefault="00383BEE" w:rsidP="00D92DAE">
      <w:pPr>
        <w:pStyle w:val="1--13"/>
        <w:spacing w:before="180" w:after="180"/>
      </w:pPr>
      <w:r w:rsidRPr="008E1832">
        <w:rPr>
          <w:rFonts w:hint="eastAsia"/>
        </w:rPr>
        <w:t>˙</w:t>
      </w:r>
      <w:r w:rsidR="003807A5" w:rsidRPr="00AC77DF">
        <w:t>被告之正當程序保障有待維護</w:t>
      </w:r>
    </w:p>
    <w:p w:rsidR="003807A5" w:rsidRPr="00AC77DF" w:rsidRDefault="003807A5" w:rsidP="00B7222B">
      <w:pPr>
        <w:pStyle w:val="1---"/>
        <w:ind w:firstLine="480"/>
      </w:pPr>
      <w:r w:rsidRPr="00AC77DF">
        <w:t>各地方檢察署辦理「速偵」案件，依法務部</w:t>
      </w:r>
      <w:r w:rsidRPr="00AC77DF">
        <w:t>93</w:t>
      </w:r>
      <w:r w:rsidRPr="00AC77DF">
        <w:t>年</w:t>
      </w:r>
      <w:r w:rsidRPr="00AC77DF">
        <w:t>1</w:t>
      </w:r>
      <w:r w:rsidRPr="00AC77DF">
        <w:t>月</w:t>
      </w:r>
      <w:r w:rsidRPr="00AC77DF">
        <w:t>5</w:t>
      </w:r>
      <w:r w:rsidRPr="00AC77DF">
        <w:t>日函告全面推廣適用之「地方檢察署檢察官快速終結案件實施要點」規定，造成案件偵查決定過程接續由不同人協力完成之現象，對於被告之正當程序保障恐有所失。如須續行偵查，應以適當方式使被告知悉，以維護被告防禦權，落實正當法律程序保障。</w:t>
      </w:r>
    </w:p>
    <w:p w:rsidR="003807A5" w:rsidRPr="00AC77DF" w:rsidRDefault="003807A5" w:rsidP="00B7222B">
      <w:pPr>
        <w:pStyle w:val="1---"/>
        <w:ind w:firstLine="480"/>
      </w:pPr>
      <w:r w:rsidRPr="00AC77DF">
        <w:t>有關刑事訴訟簡易案件，法院不論係於判決前、後，發覺被告有冒名情形時，依現行實務作法，均認為得裁定更正。惟本件因誤用被冒名人未有前科之紀錄，致主文未諭知累犯，影響判決正確性，須再經非常上訴判決或更定其刑裁定程序確定被告刑責，易使被告刑度流於長期不確定，與加重累犯之處斷刑在於充分反</w:t>
      </w:r>
      <w:r w:rsidR="00A77C37">
        <w:rPr>
          <w:rFonts w:hint="eastAsia"/>
        </w:rPr>
        <w:t>映</w:t>
      </w:r>
      <w:r w:rsidRPr="00AC77DF">
        <w:t>被告刑罰適應性之制度目的相違，司法院與法務部宜就此詳加研議，研謀解決之道。</w:t>
      </w:r>
    </w:p>
    <w:p w:rsidR="003807A5" w:rsidRPr="00AC77DF" w:rsidRDefault="003807A5" w:rsidP="00B7222B">
      <w:pPr>
        <w:pStyle w:val="1---"/>
        <w:ind w:firstLine="480"/>
        <w:rPr>
          <w:rFonts w:eastAsiaTheme="majorEastAsia"/>
        </w:rPr>
      </w:pPr>
      <w:r w:rsidRPr="00AC77DF">
        <w:t>依據本案調查意見</w:t>
      </w:r>
      <w:r w:rsidRPr="00F85A65">
        <w:rPr>
          <w:rStyle w:val="aff2"/>
        </w:rPr>
        <w:footnoteReference w:id="61"/>
      </w:r>
      <w:r w:rsidRPr="00AC77DF">
        <w:t>，監察院函請</w:t>
      </w:r>
      <w:r w:rsidRPr="00387CF4">
        <w:rPr>
          <w:rFonts w:hint="eastAsia"/>
        </w:rPr>
        <w:t>警政署</w:t>
      </w:r>
      <w:r w:rsidRPr="00AC77DF">
        <w:t>及法務部督促所屬檢討改進見復。</w:t>
      </w:r>
    </w:p>
    <w:p w:rsidR="003807A5" w:rsidRPr="00AC77DF" w:rsidRDefault="00901B72" w:rsidP="00E5718D">
      <w:pPr>
        <w:pStyle w:val="afff1"/>
        <w:spacing w:before="360" w:after="360"/>
      </w:pPr>
      <w:bookmarkStart w:id="142" w:name="_Toc527731068"/>
      <w:r>
        <w:rPr>
          <w:rFonts w:hint="eastAsia"/>
        </w:rPr>
        <w:t>(三)</w:t>
      </w:r>
      <w:r w:rsidR="003807A5" w:rsidRPr="00AC77DF">
        <w:t>政府機關改善情形</w:t>
      </w:r>
      <w:bookmarkEnd w:id="142"/>
    </w:p>
    <w:p w:rsidR="003807A5" w:rsidRPr="00AC77DF" w:rsidRDefault="003807A5" w:rsidP="007373B4">
      <w:pPr>
        <w:pStyle w:val="1---"/>
        <w:ind w:leftChars="100" w:left="600" w:hangingChars="150" w:hanging="360"/>
      </w:pPr>
      <w:r w:rsidRPr="00AC77DF">
        <w:t>1</w:t>
      </w:r>
      <w:r w:rsidRPr="00AC77DF">
        <w:t>、苗栗縣警察局以</w:t>
      </w:r>
      <w:r w:rsidRPr="00AC77DF">
        <w:t>106</w:t>
      </w:r>
      <w:r w:rsidRPr="00AC77DF">
        <w:t>年</w:t>
      </w:r>
      <w:r w:rsidRPr="00AC77DF">
        <w:t>9</w:t>
      </w:r>
      <w:r w:rsidRPr="00AC77DF">
        <w:t>月</w:t>
      </w:r>
      <w:r w:rsidRPr="00AC77DF">
        <w:t>8</w:t>
      </w:r>
      <w:r w:rsidRPr="00AC77DF">
        <w:t>日苗警刑字第</w:t>
      </w:r>
      <w:r w:rsidRPr="00AC77DF">
        <w:t>1060037182</w:t>
      </w:r>
      <w:r w:rsidRPr="00AC77DF">
        <w:lastRenderedPageBreak/>
        <w:t>號函重申「檢察機關與司法警察機關辦理刑事案件防範冒名頂替應行注意事項」，要求員警倘遇到案犯嫌未帶身分證明文件，得命其立即通知親友補送（或以手機通訊軟體傳送證件影像、視訊即時連線確認等</w:t>
      </w:r>
      <w:r w:rsidRPr="0035245D">
        <w:rPr>
          <w:spacing w:val="-30"/>
        </w:rPr>
        <w:t>）</w:t>
      </w:r>
      <w:r w:rsidRPr="00AC77DF">
        <w:t>，並善用警用行動載具之「警政相片比對系統</w:t>
      </w:r>
      <w:r w:rsidRPr="0035245D">
        <w:rPr>
          <w:spacing w:val="-30"/>
        </w:rPr>
        <w:t>」</w:t>
      </w:r>
      <w:r w:rsidRPr="00AC77DF">
        <w:t>；若係依法拘捕之人，應採取指紋以個人身分識別系統查驗，或通知關係人到場指認，以確認本人身分，防範冒名應詢，並利用各式集會要求員警落實辦理。</w:t>
      </w:r>
    </w:p>
    <w:p w:rsidR="003807A5" w:rsidRPr="00AC77DF" w:rsidRDefault="003807A5" w:rsidP="007373B4">
      <w:pPr>
        <w:pStyle w:val="1---"/>
        <w:ind w:leftChars="100" w:left="600" w:hangingChars="150" w:hanging="360"/>
      </w:pPr>
      <w:r w:rsidRPr="00AC77DF">
        <w:t>2</w:t>
      </w:r>
      <w:r w:rsidRPr="00AC77DF">
        <w:t>、苗栗縣警察局</w:t>
      </w:r>
      <w:r w:rsidRPr="00AC77DF">
        <w:t>106</w:t>
      </w:r>
      <w:r w:rsidRPr="00AC77DF">
        <w:t>年</w:t>
      </w:r>
      <w:r w:rsidRPr="00AC77DF">
        <w:t>11</w:t>
      </w:r>
      <w:r w:rsidRPr="00AC77DF">
        <w:t>月</w:t>
      </w:r>
      <w:r w:rsidRPr="00AC77DF">
        <w:t>21</w:t>
      </w:r>
      <w:r w:rsidRPr="00AC77DF">
        <w:t>日「苗栗地區</w:t>
      </w:r>
      <w:r w:rsidRPr="00AC77DF">
        <w:t>106</w:t>
      </w:r>
      <w:r w:rsidRPr="00AC77DF">
        <w:t>年度檢警聯席會議」決議，該局所屬單位辦理案件移送，遇有犯嫌未攜帶身分證明文件，主動提供活體指紋比對結果，或其他替代科技辨識資料（如警用行動載具－人臉辨識功能），以利複式確認真實人別，並以</w:t>
      </w:r>
      <w:r w:rsidRPr="00AC77DF">
        <w:t>106</w:t>
      </w:r>
      <w:r w:rsidRPr="00AC77DF">
        <w:t>年</w:t>
      </w:r>
      <w:r w:rsidRPr="00AC77DF">
        <w:t>12</w:t>
      </w:r>
      <w:r w:rsidRPr="00AC77DF">
        <w:t>月</w:t>
      </w:r>
      <w:r w:rsidRPr="00AC77DF">
        <w:t>6</w:t>
      </w:r>
      <w:r w:rsidRPr="00AC77DF">
        <w:t>日苗警刑字第</w:t>
      </w:r>
      <w:r w:rsidRPr="00AC77DF">
        <w:t>1060049619</w:t>
      </w:r>
      <w:r w:rsidRPr="00AC77DF">
        <w:t>號函要求所屬確實辦理。</w:t>
      </w:r>
    </w:p>
    <w:p w:rsidR="003807A5" w:rsidRPr="00AC77DF" w:rsidRDefault="003807A5" w:rsidP="007373B4">
      <w:pPr>
        <w:pStyle w:val="1---"/>
        <w:ind w:leftChars="100" w:left="600" w:hangingChars="150" w:hanging="360"/>
      </w:pPr>
      <w:r w:rsidRPr="00AC77DF">
        <w:t>3</w:t>
      </w:r>
      <w:r w:rsidRPr="00AC77DF">
        <w:t>、刑事警察局表示指紋活體掃描器購置及維護經費係由地方政府編列預算支應，惟因各縣市財政及治安狀況不同，該署刑事警察局每日均有輪值人員，可依未購置掃描器單位提出需求，進行緊急身分比對，並提供即時查證及防範冒名情事之機制因應。</w:t>
      </w:r>
    </w:p>
    <w:p w:rsidR="003807A5" w:rsidRPr="00AC77DF" w:rsidRDefault="00901B72" w:rsidP="00E5718D">
      <w:pPr>
        <w:pStyle w:val="afff1"/>
        <w:spacing w:before="360" w:after="360"/>
      </w:pPr>
      <w:bookmarkStart w:id="143" w:name="_Toc527731069"/>
      <w:r>
        <w:rPr>
          <w:rFonts w:hint="eastAsia"/>
        </w:rPr>
        <w:t>(四)</w:t>
      </w:r>
      <w:r w:rsidR="003807A5" w:rsidRPr="00AC77DF">
        <w:t>案件進展</w:t>
      </w:r>
      <w:bookmarkEnd w:id="143"/>
    </w:p>
    <w:p w:rsidR="003807A5" w:rsidRDefault="00044B89" w:rsidP="00B7222B">
      <w:pPr>
        <w:pStyle w:val="1---"/>
        <w:ind w:firstLine="480"/>
        <w:rPr>
          <w:lang w:eastAsia="zh-TW"/>
        </w:rPr>
      </w:pPr>
      <w:r w:rsidRPr="00044B89">
        <w:rPr>
          <w:rFonts w:hint="eastAsia"/>
        </w:rPr>
        <w:t>本案</w:t>
      </w:r>
      <w:r>
        <w:rPr>
          <w:rFonts w:hint="eastAsia"/>
        </w:rPr>
        <w:t>相關機關已檢討改善</w:t>
      </w:r>
      <w:r w:rsidRPr="00044B89">
        <w:rPr>
          <w:rFonts w:hint="eastAsia"/>
        </w:rPr>
        <w:t>，</w:t>
      </w:r>
      <w:r>
        <w:rPr>
          <w:rFonts w:hint="eastAsia"/>
        </w:rPr>
        <w:t>爰予</w:t>
      </w:r>
      <w:r w:rsidRPr="00044B89">
        <w:rPr>
          <w:rFonts w:hint="eastAsia"/>
        </w:rPr>
        <w:t>結案</w:t>
      </w:r>
      <w:r w:rsidR="003807A5" w:rsidRPr="00AC77DF">
        <w:t>。</w:t>
      </w:r>
    </w:p>
    <w:p w:rsidR="00901B72" w:rsidRDefault="00901B72" w:rsidP="00B7222B">
      <w:pPr>
        <w:pStyle w:val="1---"/>
        <w:ind w:firstLine="480"/>
        <w:rPr>
          <w:lang w:eastAsia="zh-TW"/>
        </w:rPr>
      </w:pPr>
    </w:p>
    <w:p w:rsidR="00901B72" w:rsidRDefault="00901B72" w:rsidP="00B7222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4531"/>
      </w:tblGrid>
      <w:tr w:rsidR="00901B72" w:rsidRPr="009F1EA3" w:rsidTr="0035245D">
        <w:tc>
          <w:tcPr>
            <w:tcW w:w="4531" w:type="dxa"/>
            <w:shd w:val="clear" w:color="auto" w:fill="D9D9D9" w:themeFill="background1" w:themeFillShade="D9"/>
          </w:tcPr>
          <w:p w:rsidR="00901B72" w:rsidRDefault="00901B72" w:rsidP="00901B72">
            <w:pPr>
              <w:pStyle w:val="11-"/>
              <w:spacing w:before="72" w:after="108"/>
              <w:rPr>
                <w:lang w:eastAsia="zh-TW"/>
              </w:rPr>
            </w:pPr>
            <w:bookmarkStart w:id="144" w:name="_Toc527731035"/>
            <w:bookmarkStart w:id="145" w:name="_Toc535228344"/>
            <w:bookmarkStart w:id="146" w:name="_Toc4058755"/>
            <w:r w:rsidRPr="00AC77DF">
              <w:rPr>
                <w:bdr w:val="none" w:sz="0" w:space="0" w:color="auto" w:frame="1"/>
              </w:rPr>
              <w:lastRenderedPageBreak/>
              <w:t>測謊結果</w:t>
            </w:r>
            <w:r w:rsidRPr="00AC77DF">
              <w:rPr>
                <w:bdr w:val="none" w:sz="0" w:space="0" w:color="auto" w:frame="1"/>
                <w:lang w:eastAsia="zh-HK"/>
              </w:rPr>
              <w:t>不宜單獨</w:t>
            </w:r>
            <w:r w:rsidRPr="00AC77DF">
              <w:t>作為判決依據</w:t>
            </w:r>
            <w:bookmarkEnd w:id="144"/>
            <w:bookmarkEnd w:id="145"/>
            <w:bookmarkEnd w:id="146"/>
          </w:p>
        </w:tc>
      </w:tr>
    </w:tbl>
    <w:p w:rsidR="00901B72" w:rsidRPr="00AC77DF" w:rsidRDefault="00901B72" w:rsidP="00B7222B">
      <w:pPr>
        <w:pStyle w:val="1---"/>
        <w:ind w:firstLine="480"/>
        <w:rPr>
          <w:lang w:eastAsia="zh-TW"/>
        </w:rPr>
      </w:pPr>
    </w:p>
    <w:tbl>
      <w:tblPr>
        <w:tblStyle w:val="aff5"/>
        <w:tblW w:w="4756" w:type="pct"/>
        <w:tblInd w:w="113" w:type="dxa"/>
        <w:tblLook w:val="04A0" w:firstRow="1" w:lastRow="0" w:firstColumn="1" w:lastColumn="0" w:noHBand="0" w:noVBand="1"/>
      </w:tblPr>
      <w:tblGrid>
        <w:gridCol w:w="6516"/>
      </w:tblGrid>
      <w:tr w:rsidR="00537718" w:rsidTr="009F1EA3">
        <w:tc>
          <w:tcPr>
            <w:tcW w:w="5000" w:type="pct"/>
          </w:tcPr>
          <w:p w:rsidR="00537718" w:rsidRPr="00AC77DF" w:rsidRDefault="00537718" w:rsidP="00901B72">
            <w:pPr>
              <w:spacing w:line="360" w:lineRule="exact"/>
              <w:jc w:val="both"/>
              <w:rPr>
                <w:lang w:val="x-none"/>
              </w:rPr>
            </w:pPr>
            <w:bookmarkStart w:id="147" w:name="_Toc527731036"/>
            <w:r w:rsidRPr="00AC77DF">
              <w:rPr>
                <w:b/>
                <w:lang w:val="x-none"/>
              </w:rPr>
              <w:t>相關國際人權公約：</w:t>
            </w:r>
            <w:r w:rsidRPr="00AC77DF">
              <w:t>公民與政治權利國際公約第</w:t>
            </w:r>
            <w:r w:rsidRPr="00AC77DF">
              <w:t>14</w:t>
            </w:r>
            <w:r w:rsidRPr="00AC77DF">
              <w:t>條</w:t>
            </w:r>
          </w:p>
          <w:p w:rsidR="00537718" w:rsidRPr="00AC77DF" w:rsidRDefault="00537718" w:rsidP="00901B72">
            <w:pPr>
              <w:spacing w:line="360" w:lineRule="exact"/>
              <w:jc w:val="both"/>
              <w:rPr>
                <w:b/>
                <w:lang w:val="x-none"/>
              </w:rPr>
            </w:pPr>
            <w:r w:rsidRPr="00AC77DF">
              <w:rPr>
                <w:b/>
              </w:rPr>
              <w:t>公民與政治權利國際公約</w:t>
            </w:r>
            <w:r w:rsidRPr="00AC77DF">
              <w:rPr>
                <w:b/>
                <w:lang w:val="x-none"/>
              </w:rPr>
              <w:t>第</w:t>
            </w:r>
            <w:r w:rsidRPr="00AC77DF">
              <w:rPr>
                <w:b/>
                <w:lang w:val="x-none"/>
              </w:rPr>
              <w:t>14</w:t>
            </w:r>
            <w:r w:rsidRPr="00AC77DF">
              <w:rPr>
                <w:b/>
                <w:lang w:val="x-none"/>
              </w:rPr>
              <w:t>條</w:t>
            </w:r>
          </w:p>
          <w:p w:rsidR="00537718" w:rsidRPr="00AC77DF" w:rsidRDefault="00537718" w:rsidP="00AE5EF0">
            <w:pPr>
              <w:spacing w:line="360" w:lineRule="exact"/>
              <w:ind w:left="480" w:hangingChars="200" w:hanging="480"/>
              <w:jc w:val="both"/>
              <w:rPr>
                <w:lang w:val="x-none"/>
              </w:rPr>
            </w:pPr>
            <w:r w:rsidRPr="00AC77DF">
              <w:rPr>
                <w:lang w:val="x-none"/>
              </w:rPr>
              <w:t>一、人人在法院或法庭之前，悉屬平等。任何人受刑事控告或因其權利義務涉訟須予判定時，應有權受獨立無私之法定管轄法庭公正公開審問。法院得因民主社會之風化、公共秩序或國家安全關係，或於保護當事人私生活有此必要時，或因情形特殊公開審判勢必影響司法而在其認為絕對必要之限度內，禁止新聞界及公眾旁聽審判程序之全部或一部；但除保護少年有此必要，或事關婚姻爭執或子女監護問題外，刑事民事之判決應一律公開宣示。</w:t>
            </w:r>
          </w:p>
          <w:p w:rsidR="00537718" w:rsidRPr="00AC77DF" w:rsidRDefault="00537718" w:rsidP="00AE5EF0">
            <w:pPr>
              <w:spacing w:line="360" w:lineRule="exact"/>
              <w:ind w:left="480" w:hangingChars="200" w:hanging="480"/>
              <w:jc w:val="both"/>
              <w:rPr>
                <w:lang w:val="x-none"/>
              </w:rPr>
            </w:pPr>
            <w:r w:rsidRPr="00AC77DF">
              <w:rPr>
                <w:lang w:val="x-none"/>
              </w:rPr>
              <w:t>二、受刑事控告之人，未經依法確定有罪以前，應假定其無罪。</w:t>
            </w:r>
          </w:p>
          <w:p w:rsidR="00537718" w:rsidRPr="00AC77DF" w:rsidRDefault="00537718" w:rsidP="00AE5EF0">
            <w:pPr>
              <w:spacing w:line="360" w:lineRule="exact"/>
              <w:ind w:left="480" w:hangingChars="200" w:hanging="480"/>
              <w:jc w:val="both"/>
              <w:rPr>
                <w:lang w:val="x-none"/>
              </w:rPr>
            </w:pPr>
            <w:r w:rsidRPr="00AC77DF">
              <w:rPr>
                <w:lang w:val="x-none"/>
              </w:rPr>
              <w:t>三、審判被控刑事罪時，被告一律有權平等享受下列最低限度之保障：</w:t>
            </w:r>
          </w:p>
          <w:p w:rsidR="00537718" w:rsidRPr="00AC77DF" w:rsidRDefault="00AE5EF0" w:rsidP="00AE5EF0">
            <w:pPr>
              <w:spacing w:line="360" w:lineRule="exact"/>
              <w:ind w:left="910" w:hangingChars="379" w:hanging="910"/>
              <w:jc w:val="both"/>
              <w:rPr>
                <w:lang w:val="x-none"/>
              </w:rPr>
            </w:pPr>
            <w:r>
              <w:rPr>
                <w:rFonts w:hint="eastAsia"/>
                <w:lang w:val="x-none"/>
              </w:rPr>
              <w:t xml:space="preserve">　　</w:t>
            </w:r>
            <w:r>
              <w:rPr>
                <w:rFonts w:hint="eastAsia"/>
                <w:lang w:val="x-none"/>
              </w:rPr>
              <w:t>(</w:t>
            </w:r>
            <w:r w:rsidR="00537718" w:rsidRPr="00AC77DF">
              <w:rPr>
                <w:lang w:val="x-none"/>
              </w:rPr>
              <w:t>一</w:t>
            </w:r>
            <w:r>
              <w:rPr>
                <w:rFonts w:hint="eastAsia"/>
                <w:lang w:val="x-none"/>
              </w:rPr>
              <w:t>)</w:t>
            </w:r>
            <w:r w:rsidR="00537718" w:rsidRPr="00AC77DF">
              <w:rPr>
                <w:lang w:val="x-none"/>
              </w:rPr>
              <w:t>迅即以其通曉之語言，詳細告知被控罪名及案由；</w:t>
            </w:r>
          </w:p>
          <w:p w:rsidR="00537718" w:rsidRPr="00AC77DF" w:rsidRDefault="00AE5EF0" w:rsidP="00AE5EF0">
            <w:pPr>
              <w:spacing w:line="360" w:lineRule="exact"/>
              <w:ind w:left="910" w:hangingChars="379" w:hanging="910"/>
              <w:jc w:val="both"/>
              <w:rPr>
                <w:lang w:val="x-none"/>
              </w:rPr>
            </w:pPr>
            <w:r>
              <w:rPr>
                <w:rFonts w:hint="eastAsia"/>
                <w:lang w:val="x-none"/>
              </w:rPr>
              <w:t xml:space="preserve">　　</w:t>
            </w:r>
            <w:r>
              <w:rPr>
                <w:rFonts w:hint="eastAsia"/>
                <w:lang w:val="x-none"/>
              </w:rPr>
              <w:t>(</w:t>
            </w:r>
            <w:r w:rsidR="00537718" w:rsidRPr="00AC77DF">
              <w:rPr>
                <w:lang w:val="x-none"/>
              </w:rPr>
              <w:t>二</w:t>
            </w:r>
            <w:r>
              <w:rPr>
                <w:rFonts w:hint="eastAsia"/>
                <w:lang w:val="x-none"/>
              </w:rPr>
              <w:t>)</w:t>
            </w:r>
            <w:r w:rsidR="00537718" w:rsidRPr="00AC77DF">
              <w:rPr>
                <w:lang w:val="x-none"/>
              </w:rPr>
              <w:t>給予充分之時間及便利，準備答辯並與其選任之辯護人聯絡；</w:t>
            </w:r>
          </w:p>
          <w:p w:rsidR="00537718" w:rsidRPr="00AC77DF" w:rsidRDefault="00AE5EF0" w:rsidP="00901B72">
            <w:pPr>
              <w:spacing w:line="360" w:lineRule="exact"/>
              <w:jc w:val="both"/>
              <w:rPr>
                <w:lang w:val="x-none"/>
              </w:rPr>
            </w:pPr>
            <w:r>
              <w:rPr>
                <w:rFonts w:hint="eastAsia"/>
                <w:lang w:val="x-none"/>
              </w:rPr>
              <w:t xml:space="preserve">　　</w:t>
            </w:r>
            <w:r>
              <w:rPr>
                <w:rFonts w:hint="eastAsia"/>
                <w:lang w:val="x-none"/>
              </w:rPr>
              <w:t>(</w:t>
            </w:r>
            <w:r w:rsidR="00537718" w:rsidRPr="00AC77DF">
              <w:rPr>
                <w:lang w:val="x-none"/>
              </w:rPr>
              <w:t>三</w:t>
            </w:r>
            <w:r>
              <w:rPr>
                <w:rFonts w:hint="eastAsia"/>
                <w:lang w:val="x-none"/>
              </w:rPr>
              <w:t>)</w:t>
            </w:r>
            <w:r w:rsidR="00537718" w:rsidRPr="00AC77DF">
              <w:rPr>
                <w:lang w:val="x-none"/>
              </w:rPr>
              <w:t>立即受審，不得無故稽延；</w:t>
            </w:r>
          </w:p>
          <w:p w:rsidR="00537718" w:rsidRPr="00AC77DF" w:rsidRDefault="00AE5EF0" w:rsidP="00AE5EF0">
            <w:pPr>
              <w:spacing w:line="360" w:lineRule="exact"/>
              <w:ind w:left="910" w:hangingChars="379" w:hanging="910"/>
              <w:jc w:val="both"/>
              <w:rPr>
                <w:lang w:val="x-none"/>
              </w:rPr>
            </w:pPr>
            <w:r>
              <w:rPr>
                <w:rFonts w:hint="eastAsia"/>
                <w:lang w:val="x-none"/>
              </w:rPr>
              <w:t xml:space="preserve">　　</w:t>
            </w:r>
            <w:r>
              <w:rPr>
                <w:rFonts w:hint="eastAsia"/>
                <w:lang w:val="x-none"/>
              </w:rPr>
              <w:t>(</w:t>
            </w:r>
            <w:r w:rsidR="00537718" w:rsidRPr="00AC77DF">
              <w:rPr>
                <w:lang w:val="x-none"/>
              </w:rPr>
              <w:t>四</w:t>
            </w:r>
            <w:r>
              <w:rPr>
                <w:rFonts w:hint="eastAsia"/>
                <w:lang w:val="x-none"/>
              </w:rPr>
              <w:t>)</w:t>
            </w:r>
            <w:r w:rsidR="00537718" w:rsidRPr="00AC77DF">
              <w:rPr>
                <w:lang w:val="x-none"/>
              </w:rPr>
              <w:t>到庭受審，及親自答辯或由其選任辯護人答辯；未經選任辯護人者，應告以有此權利；法院認為審判有此必要時，應為其指定公設辯護人，如被告無資</w:t>
            </w:r>
            <w:r w:rsidR="00537718" w:rsidRPr="00AC77DF">
              <w:rPr>
                <w:lang w:val="x-none"/>
              </w:rPr>
              <w:lastRenderedPageBreak/>
              <w:t>力酬償，得免付之；</w:t>
            </w:r>
          </w:p>
          <w:p w:rsidR="00537718" w:rsidRPr="00AC77DF" w:rsidRDefault="00AE5EF0" w:rsidP="00AE5EF0">
            <w:pPr>
              <w:spacing w:line="360" w:lineRule="exact"/>
              <w:ind w:left="910" w:hangingChars="379" w:hanging="910"/>
              <w:jc w:val="both"/>
              <w:rPr>
                <w:lang w:val="x-none"/>
              </w:rPr>
            </w:pPr>
            <w:r>
              <w:rPr>
                <w:rFonts w:hint="eastAsia"/>
                <w:lang w:val="x-none"/>
              </w:rPr>
              <w:t xml:space="preserve">　　</w:t>
            </w:r>
            <w:r>
              <w:rPr>
                <w:rFonts w:hint="eastAsia"/>
                <w:lang w:val="x-none"/>
              </w:rPr>
              <w:t>(</w:t>
            </w:r>
            <w:r w:rsidR="00537718" w:rsidRPr="00AC77DF">
              <w:rPr>
                <w:lang w:val="x-none"/>
              </w:rPr>
              <w:t>五</w:t>
            </w:r>
            <w:r>
              <w:rPr>
                <w:rFonts w:hint="eastAsia"/>
                <w:lang w:val="x-none"/>
              </w:rPr>
              <w:t>)</w:t>
            </w:r>
            <w:r w:rsidR="00537718" w:rsidRPr="00AC77DF">
              <w:rPr>
                <w:lang w:val="x-none"/>
              </w:rPr>
              <w:t>得親自或間接詰問他造證人，並得聲請法院傳喚其證人在與他造證人同等條件下出庭作證；</w:t>
            </w:r>
          </w:p>
          <w:p w:rsidR="00537718" w:rsidRPr="00AC77DF" w:rsidRDefault="00AE5EF0" w:rsidP="00AE5EF0">
            <w:pPr>
              <w:spacing w:line="360" w:lineRule="exact"/>
              <w:ind w:left="910" w:hangingChars="379" w:hanging="910"/>
              <w:jc w:val="both"/>
              <w:rPr>
                <w:lang w:val="x-none"/>
              </w:rPr>
            </w:pPr>
            <w:r>
              <w:rPr>
                <w:rFonts w:hint="eastAsia"/>
                <w:lang w:val="x-none"/>
              </w:rPr>
              <w:t xml:space="preserve">　　</w:t>
            </w:r>
            <w:r>
              <w:rPr>
                <w:rFonts w:hint="eastAsia"/>
                <w:lang w:val="x-none"/>
              </w:rPr>
              <w:t>(</w:t>
            </w:r>
            <w:r w:rsidR="00537718" w:rsidRPr="00AC77DF">
              <w:rPr>
                <w:lang w:val="x-none"/>
              </w:rPr>
              <w:t>六</w:t>
            </w:r>
            <w:r>
              <w:rPr>
                <w:rFonts w:hint="eastAsia"/>
                <w:lang w:val="x-none"/>
              </w:rPr>
              <w:t>)</w:t>
            </w:r>
            <w:r w:rsidR="00537718" w:rsidRPr="00AC77DF">
              <w:rPr>
                <w:lang w:val="x-none"/>
              </w:rPr>
              <w:t>如不通曉或不能使用法院所用之語言，應免費為備通譯協助之；</w:t>
            </w:r>
          </w:p>
          <w:p w:rsidR="00537718" w:rsidRPr="00AC77DF" w:rsidRDefault="00AE5EF0" w:rsidP="00901B72">
            <w:pPr>
              <w:spacing w:line="360" w:lineRule="exact"/>
              <w:jc w:val="both"/>
              <w:rPr>
                <w:lang w:val="x-none"/>
              </w:rPr>
            </w:pPr>
            <w:r>
              <w:rPr>
                <w:rFonts w:hint="eastAsia"/>
                <w:lang w:val="x-none"/>
              </w:rPr>
              <w:t xml:space="preserve">　　</w:t>
            </w:r>
            <w:r>
              <w:rPr>
                <w:rFonts w:hint="eastAsia"/>
                <w:lang w:val="x-none"/>
              </w:rPr>
              <w:t>(</w:t>
            </w:r>
            <w:r w:rsidR="00537718" w:rsidRPr="00AC77DF">
              <w:rPr>
                <w:lang w:val="x-none"/>
              </w:rPr>
              <w:t>七</w:t>
            </w:r>
            <w:r>
              <w:rPr>
                <w:rFonts w:hint="eastAsia"/>
                <w:lang w:val="x-none"/>
              </w:rPr>
              <w:t>)</w:t>
            </w:r>
            <w:r w:rsidR="00537718" w:rsidRPr="00AC77DF">
              <w:rPr>
                <w:lang w:val="x-none"/>
              </w:rPr>
              <w:t>不得強迫被告自供或認罪。</w:t>
            </w:r>
          </w:p>
          <w:p w:rsidR="00537718" w:rsidRPr="00AC77DF" w:rsidRDefault="00537718" w:rsidP="00AE5EF0">
            <w:pPr>
              <w:spacing w:line="360" w:lineRule="exact"/>
              <w:ind w:left="480" w:hangingChars="200" w:hanging="480"/>
              <w:jc w:val="both"/>
              <w:rPr>
                <w:lang w:val="x-none"/>
              </w:rPr>
            </w:pPr>
            <w:r w:rsidRPr="00AC77DF">
              <w:rPr>
                <w:lang w:val="x-none"/>
              </w:rPr>
              <w:t>四、少年之審判，應顧念被告年齡及宜使其重適社會生活，而酌定程序。</w:t>
            </w:r>
          </w:p>
          <w:p w:rsidR="00537718" w:rsidRPr="00AC77DF" w:rsidRDefault="00537718" w:rsidP="00AE5EF0">
            <w:pPr>
              <w:spacing w:line="360" w:lineRule="exact"/>
              <w:ind w:left="480" w:hangingChars="200" w:hanging="480"/>
              <w:jc w:val="both"/>
              <w:rPr>
                <w:lang w:val="x-none"/>
              </w:rPr>
            </w:pPr>
            <w:r w:rsidRPr="00AC77DF">
              <w:rPr>
                <w:lang w:val="x-none"/>
              </w:rPr>
              <w:t>五、經判定犯罪者，有權聲請上級法院依法覆判其有罪判決及所科刑罰。</w:t>
            </w:r>
          </w:p>
          <w:p w:rsidR="00537718" w:rsidRPr="00AC77DF" w:rsidRDefault="00537718" w:rsidP="00AE5EF0">
            <w:pPr>
              <w:spacing w:line="360" w:lineRule="exact"/>
              <w:ind w:left="480" w:hangingChars="200" w:hanging="480"/>
              <w:jc w:val="both"/>
              <w:rPr>
                <w:lang w:val="x-none"/>
              </w:rPr>
            </w:pPr>
            <w:r w:rsidRPr="00AC77DF">
              <w:rPr>
                <w:lang w:val="x-none"/>
              </w:rPr>
              <w:t>六、經終局判決判定犯罪，如後因提出新證據或因發見新證據，確實證明原判錯誤而經撤銷原判或免刑者，除經證明有關證據之未能及時披露，應由其本人全部或局部負責者外，因此判決而服刑之人應依法受損害賠償。</w:t>
            </w:r>
          </w:p>
          <w:p w:rsidR="00537718" w:rsidRDefault="00537718" w:rsidP="00AE5EF0">
            <w:pPr>
              <w:spacing w:line="360" w:lineRule="exact"/>
              <w:ind w:left="480" w:hangingChars="200" w:hanging="480"/>
              <w:jc w:val="both"/>
            </w:pPr>
            <w:r w:rsidRPr="00AC77DF">
              <w:rPr>
                <w:lang w:val="x-none"/>
              </w:rPr>
              <w:t>七、任何人依一國法律及刑事程序經終局判決判定有罪或無罪開釋者，不得就同一罪名再予審判或科刑。</w:t>
            </w:r>
          </w:p>
        </w:tc>
      </w:tr>
    </w:tbl>
    <w:p w:rsidR="003807A5" w:rsidRPr="00AC77DF" w:rsidRDefault="00901B72" w:rsidP="0039290C">
      <w:pPr>
        <w:pStyle w:val="afff1"/>
        <w:spacing w:beforeLines="150" w:before="540" w:after="360"/>
      </w:pPr>
      <w:r>
        <w:rPr>
          <w:rFonts w:hint="eastAsia"/>
        </w:rPr>
        <w:lastRenderedPageBreak/>
        <w:t>(一)</w:t>
      </w:r>
      <w:r w:rsidR="003807A5" w:rsidRPr="00AC77DF">
        <w:t>案情簡述</w:t>
      </w:r>
      <w:bookmarkEnd w:id="147"/>
    </w:p>
    <w:p w:rsidR="003807A5" w:rsidRPr="00AC77DF" w:rsidRDefault="003807A5" w:rsidP="00B7222B">
      <w:pPr>
        <w:pStyle w:val="1---"/>
        <w:ind w:firstLine="480"/>
      </w:pPr>
      <w:r w:rsidRPr="00AC77DF">
        <w:t>據財團法人民間司法改革基金會與社團法人臺灣冤獄平反協會陳訴，現行刑事訴訟法雖未規範測謊鑑定之證據能力，然偵審實務卻不排斥測謊鑑定，並得引為刑事證據，然採用迄今司法機關並未就測謊鑑定統一</w:t>
      </w:r>
      <w:r w:rsidR="001B7615">
        <w:t>制定</w:t>
      </w:r>
      <w:r w:rsidRPr="00AC77DF">
        <w:t>相關規範及標準作業流程，肇致各級法院與檢察機關判斷標準不一，除涉有背離真實發見</w:t>
      </w:r>
      <w:r w:rsidRPr="00AC77DF">
        <w:lastRenderedPageBreak/>
        <w:t>義務外，亦與公民與政治權利國際公約第</w:t>
      </w:r>
      <w:r w:rsidRPr="00AC77DF">
        <w:t>14</w:t>
      </w:r>
      <w:r w:rsidRPr="00AC77DF">
        <w:t>條公平法院原則未盡相符，爰經監察委員立案調查。</w:t>
      </w:r>
    </w:p>
    <w:p w:rsidR="003807A5" w:rsidRPr="00AC77DF" w:rsidRDefault="00901B72" w:rsidP="00E5718D">
      <w:pPr>
        <w:pStyle w:val="afff1"/>
        <w:spacing w:before="360" w:after="360"/>
      </w:pPr>
      <w:bookmarkStart w:id="148" w:name="_Toc527731037"/>
      <w:r>
        <w:rPr>
          <w:rFonts w:hint="eastAsia"/>
        </w:rPr>
        <w:t>(二)</w:t>
      </w:r>
      <w:r w:rsidR="003807A5" w:rsidRPr="00AC77DF">
        <w:t>監察院調查發現</w:t>
      </w:r>
      <w:bookmarkEnd w:id="148"/>
    </w:p>
    <w:p w:rsidR="003807A5" w:rsidRPr="00AC77DF" w:rsidRDefault="00383BEE" w:rsidP="00D92DAE">
      <w:pPr>
        <w:pStyle w:val="1--13"/>
        <w:spacing w:before="180" w:after="180"/>
      </w:pPr>
      <w:r w:rsidRPr="008E1832">
        <w:rPr>
          <w:rFonts w:hint="eastAsia"/>
        </w:rPr>
        <w:t>˙</w:t>
      </w:r>
      <w:r w:rsidR="003807A5" w:rsidRPr="00AC77DF">
        <w:t>測謊鑑定宜有標準程序規範</w:t>
      </w:r>
    </w:p>
    <w:p w:rsidR="003807A5" w:rsidRPr="00AC77DF" w:rsidRDefault="003807A5" w:rsidP="00B7222B">
      <w:pPr>
        <w:pStyle w:val="1---"/>
        <w:ind w:firstLine="480"/>
      </w:pPr>
      <w:r w:rsidRPr="00AC77DF">
        <w:t>依據檢察官及法官委託司法警察機關測謊鑑定之實務操作現況，指出施測人員之認證及查核機制應有規範，而且各測謊鑑定機關亦應建立一致性的標準作業程序規範，以避免誤判，影響司法公信力。</w:t>
      </w:r>
    </w:p>
    <w:p w:rsidR="003807A5" w:rsidRPr="00AC77DF" w:rsidRDefault="003807A5" w:rsidP="00B7222B">
      <w:pPr>
        <w:pStyle w:val="1---"/>
        <w:ind w:firstLine="480"/>
        <w:rPr>
          <w:lang w:eastAsia="zh-TW"/>
        </w:rPr>
      </w:pPr>
      <w:r w:rsidRPr="00AC77DF">
        <w:t>我國司法機關在欠缺物證等相關直接證據下，採用準確性有爭議之測謊鑑定結果，作為認定犯罪事實之證據，有違刑事訴訟法發現真實及保障人權之主要目的。監察院已函請司法院及行政院等主管機關宜研議於刑事訴訟法等相關法令訂定囑託測謊鑑定要件及程序等事項，以利遵循。</w:t>
      </w:r>
    </w:p>
    <w:p w:rsidR="003807A5" w:rsidRPr="00AC77DF" w:rsidRDefault="00383BEE" w:rsidP="00D92DAE">
      <w:pPr>
        <w:pStyle w:val="1--13"/>
        <w:spacing w:before="180" w:after="180"/>
      </w:pPr>
      <w:r w:rsidRPr="008E1832">
        <w:rPr>
          <w:rFonts w:hint="eastAsia"/>
        </w:rPr>
        <w:t>˙</w:t>
      </w:r>
      <w:r w:rsidR="003807A5" w:rsidRPr="00AC77DF">
        <w:t>測謊鑑定應以法律明確規範</w:t>
      </w:r>
    </w:p>
    <w:p w:rsidR="003807A5" w:rsidRPr="00AC77DF" w:rsidRDefault="003807A5" w:rsidP="00B7222B">
      <w:pPr>
        <w:pStyle w:val="1---"/>
        <w:ind w:firstLine="480"/>
      </w:pPr>
      <w:r w:rsidRPr="00AC77DF">
        <w:t>刑事程序上之測謊鑑定，係對於人之內心中所知、所思或所信的檢查，具有侵害個人內心自由及意思活動之心理檢查的性質，其對人格權之侵害，猶勝對被告緘默權之違反。檢察官或法官要求被告同意測謊鑑定，恐有違公民與政治權利國際公約第</w:t>
      </w:r>
      <w:r w:rsidRPr="00AC77DF">
        <w:t>14</w:t>
      </w:r>
      <w:r w:rsidRPr="00AC77DF">
        <w:t>條第</w:t>
      </w:r>
      <w:r w:rsidRPr="00AC77DF">
        <w:t>3</w:t>
      </w:r>
      <w:r w:rsidRPr="00AC77DF">
        <w:t>項第</w:t>
      </w:r>
      <w:r w:rsidRPr="00AC77DF">
        <w:t>7</w:t>
      </w:r>
      <w:r w:rsidRPr="00AC77DF">
        <w:t>款所定刑事訴訟程序應遵守之被告不自證己罪原則之最低限度標準及憲法第</w:t>
      </w:r>
      <w:r w:rsidRPr="00AC77DF">
        <w:t>16</w:t>
      </w:r>
      <w:r w:rsidRPr="00AC77DF">
        <w:t>條人民訴訟權之保障。又測謊鑑定係對人類心智活動的監測方法，亦有違反現代法治國</w:t>
      </w:r>
      <w:r w:rsidRPr="00AC77DF">
        <w:lastRenderedPageBreak/>
        <w:t>保障人格權及人性尊嚴之虞，司法院及行政院宜審慎研議以相關法律明確規範。</w:t>
      </w:r>
    </w:p>
    <w:p w:rsidR="003807A5" w:rsidRPr="00AC77DF" w:rsidRDefault="003807A5" w:rsidP="00B7222B">
      <w:pPr>
        <w:pStyle w:val="1---"/>
        <w:ind w:firstLine="480"/>
      </w:pPr>
      <w:r w:rsidRPr="00AC77DF">
        <w:t>依據本案調查意見</w:t>
      </w:r>
      <w:r w:rsidRPr="00AC77DF">
        <w:rPr>
          <w:rStyle w:val="aff2"/>
        </w:rPr>
        <w:footnoteReference w:id="62"/>
      </w:r>
      <w:r w:rsidRPr="00AC77DF">
        <w:t>，監察院函請司法院研處，並請法務部檢討改進。</w:t>
      </w:r>
    </w:p>
    <w:p w:rsidR="003807A5" w:rsidRPr="00AC77DF" w:rsidRDefault="00901B72" w:rsidP="00E5718D">
      <w:pPr>
        <w:pStyle w:val="afff1"/>
        <w:spacing w:before="360" w:after="360"/>
      </w:pPr>
      <w:bookmarkStart w:id="149" w:name="_Toc527731038"/>
      <w:r>
        <w:rPr>
          <w:rFonts w:hint="eastAsia"/>
        </w:rPr>
        <w:t>(三)</w:t>
      </w:r>
      <w:r w:rsidR="003807A5" w:rsidRPr="00AC77DF">
        <w:t>政府機關改善情形</w:t>
      </w:r>
      <w:bookmarkEnd w:id="149"/>
    </w:p>
    <w:p w:rsidR="003807A5" w:rsidRPr="00AC77DF" w:rsidRDefault="003807A5" w:rsidP="007373B4">
      <w:pPr>
        <w:pStyle w:val="1---"/>
        <w:ind w:leftChars="100" w:left="600" w:hangingChars="150" w:hanging="360"/>
      </w:pPr>
      <w:r w:rsidRPr="00AC77DF">
        <w:t>1</w:t>
      </w:r>
      <w:r w:rsidRPr="00AC77DF">
        <w:t>、司法院表示，關於司法改革國是會議決議制定證據法專法、完善證據法則、評估專家證人制度之建立、積極提升司法弱勢者保護部分，事涉民事、刑事及行政訴訟各領域有關事實如何確定及訴訟程序如何規劃之基本原則，該院已分別成立法案研修委員會，以研議包含前揭決議事項等多項議題。</w:t>
      </w:r>
    </w:p>
    <w:p w:rsidR="003807A5" w:rsidRPr="00AC77DF" w:rsidRDefault="003807A5" w:rsidP="007373B4">
      <w:pPr>
        <w:pStyle w:val="1---"/>
        <w:ind w:leftChars="100" w:left="600" w:hangingChars="150" w:hanging="360"/>
      </w:pPr>
      <w:r w:rsidRPr="00AC77DF">
        <w:t>2</w:t>
      </w:r>
      <w:r w:rsidRPr="00AC77DF">
        <w:t>、監察院函請行政院研訂「測謊程序規範之一致性原則</w:t>
      </w:r>
      <w:r w:rsidRPr="00AE5EF0">
        <w:rPr>
          <w:spacing w:val="-30"/>
        </w:rPr>
        <w:t>」</w:t>
      </w:r>
      <w:r w:rsidRPr="00AC77DF">
        <w:t>，檢討測謊案件之程序及判讀結果之瑕疵，並提出救濟方法。若查得關鍵事證，足以構成聲請再審事由，應依法辦理，提供冤案當事人救濟管道，以維護人民之權益及司法公信力。</w:t>
      </w:r>
    </w:p>
    <w:p w:rsidR="003807A5" w:rsidRDefault="003807A5" w:rsidP="007373B4">
      <w:pPr>
        <w:pStyle w:val="1---"/>
        <w:ind w:leftChars="100" w:left="600" w:hangingChars="150" w:hanging="360"/>
        <w:rPr>
          <w:lang w:eastAsia="zh-TW"/>
        </w:rPr>
      </w:pPr>
      <w:r w:rsidRPr="00AC77DF">
        <w:t>3</w:t>
      </w:r>
      <w:r w:rsidRPr="00AC77DF">
        <w:t>、法務部於</w:t>
      </w:r>
      <w:r w:rsidRPr="00AC77DF">
        <w:t>106</w:t>
      </w:r>
      <w:r w:rsidRPr="00AC77DF">
        <w:t>年</w:t>
      </w:r>
      <w:r w:rsidRPr="00AC77DF">
        <w:t>6</w:t>
      </w:r>
      <w:r w:rsidRPr="00AC77DF">
        <w:t>月</w:t>
      </w:r>
      <w:r w:rsidRPr="00AC77DF">
        <w:t>13</w:t>
      </w:r>
      <w:r w:rsidRPr="00AC77DF">
        <w:t>日函頒「檢察機關辦理有罪確定案件審查作業要點</w:t>
      </w:r>
      <w:r w:rsidRPr="00AE5EF0">
        <w:rPr>
          <w:spacing w:val="-30"/>
        </w:rPr>
        <w:t>」</w:t>
      </w:r>
      <w:r w:rsidRPr="00AC77DF">
        <w:t>，在</w:t>
      </w:r>
      <w:r w:rsidR="005012B9">
        <w:rPr>
          <w:rFonts w:hint="eastAsia"/>
        </w:rPr>
        <w:t>高檢署</w:t>
      </w:r>
      <w:r w:rsidRPr="00AC77DF">
        <w:t>設置「辦理有罪確定案件審查會</w:t>
      </w:r>
      <w:r w:rsidRPr="00AE5EF0">
        <w:rPr>
          <w:spacing w:val="-30"/>
        </w:rPr>
        <w:t>」</w:t>
      </w:r>
      <w:r w:rsidRPr="00AC77DF">
        <w:t>，以提供冤案當事人救濟管道。</w:t>
      </w:r>
    </w:p>
    <w:p w:rsidR="00AE5EF0" w:rsidRDefault="00AE5EF0" w:rsidP="007373B4">
      <w:pPr>
        <w:pStyle w:val="1---"/>
        <w:ind w:leftChars="100" w:left="600" w:hangingChars="150" w:hanging="360"/>
        <w:rPr>
          <w:lang w:eastAsia="zh-TW"/>
        </w:rPr>
      </w:pPr>
    </w:p>
    <w:p w:rsidR="00AE5EF0" w:rsidRPr="00AC77DF" w:rsidRDefault="00AE5EF0" w:rsidP="007373B4">
      <w:pPr>
        <w:pStyle w:val="1---"/>
        <w:ind w:leftChars="100" w:left="600" w:hangingChars="150" w:hanging="360"/>
        <w:rPr>
          <w:lang w:eastAsia="zh-TW"/>
        </w:rPr>
      </w:pPr>
    </w:p>
    <w:p w:rsidR="003807A5" w:rsidRPr="00AC77DF" w:rsidRDefault="00901B72" w:rsidP="00E5718D">
      <w:pPr>
        <w:pStyle w:val="afff1"/>
        <w:spacing w:before="360" w:after="360"/>
      </w:pPr>
      <w:bookmarkStart w:id="150" w:name="_Toc527731039"/>
      <w:r>
        <w:rPr>
          <w:rFonts w:hint="eastAsia"/>
        </w:rPr>
        <w:lastRenderedPageBreak/>
        <w:t>(四)</w:t>
      </w:r>
      <w:r w:rsidR="003807A5" w:rsidRPr="00AC77DF">
        <w:t>案件進展</w:t>
      </w:r>
      <w:bookmarkEnd w:id="150"/>
    </w:p>
    <w:p w:rsidR="003807A5" w:rsidRDefault="003807A5" w:rsidP="00B7222B">
      <w:pPr>
        <w:pStyle w:val="1---"/>
        <w:ind w:firstLine="480"/>
        <w:rPr>
          <w:lang w:eastAsia="zh-TW"/>
        </w:rPr>
      </w:pPr>
      <w:r w:rsidRPr="00AC77DF">
        <w:t>監察院仍持續追蹤行政院及法務部檢討改進情形。</w:t>
      </w:r>
    </w:p>
    <w:p w:rsidR="00901B72" w:rsidRPr="00AC77DF" w:rsidRDefault="00901B72" w:rsidP="00B7222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4248"/>
      </w:tblGrid>
      <w:tr w:rsidR="00901B72" w:rsidTr="00AE5EF0">
        <w:tc>
          <w:tcPr>
            <w:tcW w:w="4248" w:type="dxa"/>
            <w:shd w:val="clear" w:color="auto" w:fill="D9D9D9" w:themeFill="background1" w:themeFillShade="D9"/>
          </w:tcPr>
          <w:p w:rsidR="00901B72" w:rsidRDefault="00901B72" w:rsidP="00901B72">
            <w:pPr>
              <w:pStyle w:val="11-"/>
              <w:spacing w:before="72" w:after="108"/>
            </w:pPr>
            <w:bookmarkStart w:id="151" w:name="_Toc527731144"/>
            <w:bookmarkStart w:id="152" w:name="_Toc535228345"/>
            <w:bookmarkStart w:id="153" w:name="_Toc4058756"/>
            <w:r w:rsidRPr="00AC77DF">
              <w:rPr>
                <w:rFonts w:ascii="Times New Roman"/>
              </w:rPr>
              <w:t>檢方偵辦賄選案件涉違法監聽</w:t>
            </w:r>
          </w:p>
        </w:tc>
      </w:tr>
    </w:tbl>
    <w:p w:rsidR="00901B72" w:rsidRDefault="00901B72" w:rsidP="00901B72">
      <w:pPr>
        <w:pStyle w:val="1---"/>
        <w:ind w:firstLine="480"/>
      </w:pPr>
    </w:p>
    <w:tbl>
      <w:tblPr>
        <w:tblStyle w:val="aff5"/>
        <w:tblW w:w="0" w:type="auto"/>
        <w:tblInd w:w="113" w:type="dxa"/>
        <w:tblLook w:val="04A0" w:firstRow="1" w:lastRow="0" w:firstColumn="1" w:lastColumn="0" w:noHBand="0" w:noVBand="1"/>
      </w:tblPr>
      <w:tblGrid>
        <w:gridCol w:w="6516"/>
      </w:tblGrid>
      <w:tr w:rsidR="005109C4" w:rsidTr="00AE5EF0">
        <w:tc>
          <w:tcPr>
            <w:tcW w:w="6516" w:type="dxa"/>
          </w:tcPr>
          <w:p w:rsidR="005109C4" w:rsidRPr="005109C4" w:rsidRDefault="005109C4" w:rsidP="00AE5EF0">
            <w:pPr>
              <w:spacing w:line="360" w:lineRule="exact"/>
              <w:rPr>
                <w:lang w:val="x-none"/>
              </w:rPr>
            </w:pPr>
            <w:bookmarkStart w:id="154" w:name="_Toc527731145"/>
            <w:bookmarkEnd w:id="151"/>
            <w:bookmarkEnd w:id="152"/>
            <w:bookmarkEnd w:id="153"/>
            <w:r w:rsidRPr="00AC77DF">
              <w:rPr>
                <w:b/>
                <w:lang w:val="x-none"/>
              </w:rPr>
              <w:t>相關國際人權公約：</w:t>
            </w:r>
            <w:r w:rsidRPr="00AC77DF">
              <w:t>公民與政治權利國際公約第</w:t>
            </w:r>
            <w:r w:rsidRPr="00AC77DF">
              <w:t>14</w:t>
            </w:r>
            <w:r w:rsidRPr="00AC77DF">
              <w:t>條</w:t>
            </w:r>
          </w:p>
        </w:tc>
      </w:tr>
    </w:tbl>
    <w:p w:rsidR="003807A5" w:rsidRPr="00AC77DF" w:rsidRDefault="00901B72" w:rsidP="00E5718D">
      <w:pPr>
        <w:pStyle w:val="afff1"/>
        <w:spacing w:before="360" w:after="360"/>
      </w:pPr>
      <w:r>
        <w:rPr>
          <w:rFonts w:hint="eastAsia"/>
        </w:rPr>
        <w:t>(一)</w:t>
      </w:r>
      <w:r w:rsidR="003807A5" w:rsidRPr="00AC77DF">
        <w:t>案情簡述</w:t>
      </w:r>
      <w:bookmarkEnd w:id="154"/>
    </w:p>
    <w:p w:rsidR="003807A5" w:rsidRPr="00AC77DF" w:rsidRDefault="003807A5" w:rsidP="00B7222B">
      <w:pPr>
        <w:pStyle w:val="1---"/>
        <w:ind w:firstLine="480"/>
      </w:pPr>
      <w:r w:rsidRPr="00AC77DF">
        <w:t>據訴：臺南地檢署於</w:t>
      </w:r>
      <w:r w:rsidRPr="00AC77DF">
        <w:t>99</w:t>
      </w:r>
      <w:r w:rsidRPr="00AC77DF">
        <w:t>年間偵辦臺南市第</w:t>
      </w:r>
      <w:r w:rsidRPr="00AC77DF">
        <w:t>1</w:t>
      </w:r>
      <w:r w:rsidRPr="00AC77DF">
        <w:t>屆市議員候選人李</w:t>
      </w:r>
      <w:r w:rsidRPr="00937E63">
        <w:rPr>
          <w:rFonts w:asciiTheme="majorEastAsia" w:eastAsiaTheme="majorEastAsia" w:hAnsiTheme="majorEastAsia"/>
        </w:rPr>
        <w:t>○○</w:t>
      </w:r>
      <w:r w:rsidRPr="00AC77DF">
        <w:t>賄選案件，涉有違法監聽，爰經監察委員立案調查。</w:t>
      </w:r>
    </w:p>
    <w:p w:rsidR="003807A5" w:rsidRPr="00AC77DF" w:rsidRDefault="002D5C1C" w:rsidP="00E5718D">
      <w:pPr>
        <w:pStyle w:val="afff1"/>
        <w:spacing w:before="360" w:after="360"/>
      </w:pPr>
      <w:bookmarkStart w:id="155" w:name="_Toc527731146"/>
      <w:r>
        <w:rPr>
          <w:rFonts w:hint="eastAsia"/>
        </w:rPr>
        <w:t>(二)</w:t>
      </w:r>
      <w:r w:rsidR="003807A5" w:rsidRPr="00AC77DF">
        <w:t>監察院調查發現與建議</w:t>
      </w:r>
      <w:bookmarkEnd w:id="155"/>
    </w:p>
    <w:p w:rsidR="003807A5" w:rsidRPr="00AC77DF" w:rsidRDefault="00383BEE" w:rsidP="00D92DAE">
      <w:pPr>
        <w:pStyle w:val="1--13"/>
        <w:spacing w:before="180" w:after="180"/>
      </w:pPr>
      <w:r w:rsidRPr="008E1832">
        <w:rPr>
          <w:rFonts w:hint="eastAsia"/>
        </w:rPr>
        <w:t>˙</w:t>
      </w:r>
      <w:r w:rsidR="003807A5" w:rsidRPr="00AC77DF">
        <w:t>未查證通訊監察對象之電話號碼</w:t>
      </w:r>
    </w:p>
    <w:p w:rsidR="003807A5" w:rsidRPr="00AC77DF" w:rsidRDefault="0039290C" w:rsidP="00B7222B">
      <w:pPr>
        <w:pStyle w:val="1---"/>
        <w:ind w:firstLine="480"/>
      </w:pPr>
      <w:r>
        <w:rPr>
          <w:rFonts w:hint="eastAsia"/>
          <w:lang w:eastAsia="zh-TW"/>
        </w:rPr>
        <w:t>臺灣</w:t>
      </w:r>
      <w:r w:rsidRPr="00AC77DF">
        <w:t>臺南地</w:t>
      </w:r>
      <w:r>
        <w:rPr>
          <w:rFonts w:hint="eastAsia"/>
          <w:lang w:eastAsia="zh-TW"/>
        </w:rPr>
        <w:t>方</w:t>
      </w:r>
      <w:r w:rsidRPr="00AC77DF">
        <w:t>檢</w:t>
      </w:r>
      <w:r>
        <w:rPr>
          <w:rFonts w:hint="eastAsia"/>
          <w:lang w:eastAsia="zh-TW"/>
        </w:rPr>
        <w:t>察</w:t>
      </w:r>
      <w:r w:rsidRPr="00AC77DF">
        <w:t>署</w:t>
      </w:r>
      <w:r>
        <w:rPr>
          <w:rFonts w:hint="eastAsia"/>
          <w:lang w:eastAsia="zh-TW"/>
        </w:rPr>
        <w:t>（簡稱</w:t>
      </w:r>
      <w:r w:rsidR="003807A5" w:rsidRPr="00AC77DF">
        <w:t>臺南地檢署</w:t>
      </w:r>
      <w:r>
        <w:rPr>
          <w:rFonts w:hint="eastAsia"/>
          <w:lang w:eastAsia="zh-TW"/>
        </w:rPr>
        <w:t>）</w:t>
      </w:r>
      <w:r w:rsidR="003807A5" w:rsidRPr="00AC77DF">
        <w:t>檢察官偵查賄選案件，未查證擬通訊監察對象之電話號碼，亦未待電信公司回覆用戶資料確認無誤，即率於</w:t>
      </w:r>
      <w:r w:rsidR="003807A5" w:rsidRPr="00AC77DF">
        <w:t>99</w:t>
      </w:r>
      <w:r w:rsidR="003807A5" w:rsidRPr="00AC77DF">
        <w:t>年</w:t>
      </w:r>
      <w:r w:rsidR="003807A5" w:rsidRPr="00AC77DF">
        <w:t>12</w:t>
      </w:r>
      <w:r w:rsidR="003807A5" w:rsidRPr="00AC77DF">
        <w:t>月</w:t>
      </w:r>
      <w:r w:rsidR="003807A5" w:rsidRPr="00AC77DF">
        <w:t>6</w:t>
      </w:r>
      <w:r w:rsidR="003807A5" w:rsidRPr="00AC77DF">
        <w:t>日以無關之陳訴人之電話號碼向法院聲請通訊監察，致法官誤予核發通訊監察書，聲請程序核有違失在先；嗣該署於獲准通訊監察當日即自電信公司回覆之用戶資料得知該門號申登人非聲請通訊監察對象，復未積極查證通訊監察對象之電話號碼，立即中止監聽，竟持續監聽至</w:t>
      </w:r>
      <w:r w:rsidR="003807A5" w:rsidRPr="00AC77DF">
        <w:t>99</w:t>
      </w:r>
      <w:r w:rsidR="003807A5" w:rsidRPr="00AC77DF">
        <w:t>年</w:t>
      </w:r>
      <w:r w:rsidR="003807A5" w:rsidRPr="00AC77DF">
        <w:t>12</w:t>
      </w:r>
      <w:r w:rsidR="003807A5" w:rsidRPr="00AC77DF">
        <w:t>月</w:t>
      </w:r>
      <w:r w:rsidR="003807A5" w:rsidRPr="00AC77DF">
        <w:t>31</w:t>
      </w:r>
      <w:r w:rsidR="003807A5" w:rsidRPr="00AC77DF">
        <w:t>日止，致違法監聽陳訴人之電話達</w:t>
      </w:r>
      <w:r w:rsidR="003807A5" w:rsidRPr="00AC77DF">
        <w:lastRenderedPageBreak/>
        <w:t>26</w:t>
      </w:r>
      <w:r w:rsidR="003807A5" w:rsidRPr="00AC77DF">
        <w:t>日之久，作業程序草率。</w:t>
      </w:r>
    </w:p>
    <w:p w:rsidR="003807A5" w:rsidRPr="00AC77DF" w:rsidRDefault="00383BEE" w:rsidP="00D92DAE">
      <w:pPr>
        <w:pStyle w:val="1--13"/>
        <w:spacing w:before="180" w:after="180"/>
      </w:pPr>
      <w:r w:rsidRPr="008E1832">
        <w:rPr>
          <w:rFonts w:hint="eastAsia"/>
        </w:rPr>
        <w:t>˙</w:t>
      </w:r>
      <w:r w:rsidR="003807A5" w:rsidRPr="00AC77DF">
        <w:t>監聽電話與對象不符</w:t>
      </w:r>
    </w:p>
    <w:p w:rsidR="003807A5" w:rsidRPr="00AC77DF" w:rsidRDefault="003807A5" w:rsidP="00B7222B">
      <w:pPr>
        <w:pStyle w:val="1---"/>
        <w:ind w:firstLine="480"/>
      </w:pPr>
      <w:r w:rsidRPr="00AC77DF">
        <w:t>本案臺南地檢署檢察官於</w:t>
      </w:r>
      <w:r w:rsidRPr="00AC77DF">
        <w:t>99</w:t>
      </w:r>
      <w:r w:rsidRPr="00AC77DF">
        <w:t>年</w:t>
      </w:r>
      <w:r w:rsidRPr="00AC77DF">
        <w:t>12</w:t>
      </w:r>
      <w:r w:rsidRPr="00AC77DF">
        <w:t>月</w:t>
      </w:r>
      <w:r w:rsidRPr="00AC77DF">
        <w:t>6</w:t>
      </w:r>
      <w:r w:rsidRPr="00AC77DF">
        <w:t>日誤以本案陳訴人之</w:t>
      </w:r>
      <w:r w:rsidRPr="00AC77DF">
        <w:t>0920</w:t>
      </w:r>
      <w:r w:rsidRPr="00AC77DF">
        <w:t>行動電話號碼為擬監察對象使用之行動電話號碼，向法院聲請通訊監察獲准。惟該署於聲請並獲准當日即自電信公司函復告知該行動電話之申登人係陳訴人，而非其擬監察對象，且負責執行監聽之司法警察雖未獲告知擬監察對象，亦於執行監聽時知悉該</w:t>
      </w:r>
      <w:r w:rsidRPr="00AC77DF">
        <w:t>0920</w:t>
      </w:r>
      <w:r w:rsidRPr="00AC77DF">
        <w:t>行動電話之使用人係本案陳訴人，並提出職務報告書陳報該署檢察官說明本案陳訴人為實際被監聽對象。惟該署檢察官於通訊監察期滿，既未依通訊保障及監察法</w:t>
      </w:r>
      <w:r w:rsidRPr="00EC198C">
        <w:rPr>
          <w:spacing w:val="-26"/>
        </w:rPr>
        <w:t>第</w:t>
      </w:r>
      <w:r w:rsidRPr="00AC77DF">
        <w:t>15</w:t>
      </w:r>
      <w:r w:rsidRPr="00AC77DF">
        <w:t>條等相關法令規定，立即陳報法院通訊監察結果，亦未建請法院通知實際被監聽對象之陳訴人，竟仍以其擬監察對象為該</w:t>
      </w:r>
      <w:r w:rsidRPr="00AC77DF">
        <w:t>0920</w:t>
      </w:r>
      <w:r w:rsidRPr="00AC77DF">
        <w:t>行動電話號碼之使用人，致陳訴人自始至終均未獲通知。臺南地檢署相關處置作為，核有違誤，並有礙民眾相關權利之行使。</w:t>
      </w:r>
    </w:p>
    <w:p w:rsidR="003807A5" w:rsidRPr="00AC77DF" w:rsidRDefault="003807A5" w:rsidP="00B7222B">
      <w:pPr>
        <w:pStyle w:val="1---"/>
        <w:ind w:firstLine="480"/>
      </w:pPr>
      <w:r w:rsidRPr="00AC77DF">
        <w:t>依據本案調查意見</w:t>
      </w:r>
      <w:r w:rsidRPr="00AC77DF">
        <w:rPr>
          <w:rStyle w:val="aff2"/>
        </w:rPr>
        <w:footnoteReference w:id="63"/>
      </w:r>
      <w:r w:rsidRPr="00AC77DF">
        <w:t>，監察院函送法務部轉飭臺南地檢署檢討改善見復。</w:t>
      </w:r>
    </w:p>
    <w:p w:rsidR="003807A5" w:rsidRPr="00AC77DF" w:rsidRDefault="002D5C1C" w:rsidP="00E5718D">
      <w:pPr>
        <w:pStyle w:val="afff1"/>
        <w:spacing w:before="360" w:after="360"/>
      </w:pPr>
      <w:bookmarkStart w:id="156" w:name="_Toc527731147"/>
      <w:r>
        <w:rPr>
          <w:rFonts w:hint="eastAsia"/>
        </w:rPr>
        <w:t>(三)</w:t>
      </w:r>
      <w:r w:rsidR="003807A5" w:rsidRPr="00AC77DF">
        <w:t>政府機關改善情形</w:t>
      </w:r>
      <w:bookmarkEnd w:id="156"/>
    </w:p>
    <w:p w:rsidR="003807A5" w:rsidRPr="00AC77DF" w:rsidRDefault="003807A5" w:rsidP="007373B4">
      <w:pPr>
        <w:pStyle w:val="1---"/>
        <w:ind w:leftChars="100" w:left="600" w:hangingChars="150" w:hanging="360"/>
      </w:pPr>
      <w:r w:rsidRPr="00AC77DF">
        <w:t>1</w:t>
      </w:r>
      <w:r w:rsidRPr="00AC77DF">
        <w:t>、本件因地檢署承辦檢察事務官出具之職務報告誤載受通訊監察人行動電話門號，其欠缺處理機敏案件應有之嚴謹，</w:t>
      </w:r>
      <w:r w:rsidRPr="00AC77DF">
        <w:lastRenderedPageBreak/>
        <w:t>導致違誤監聽案發生，因其事後轉任</w:t>
      </w:r>
      <w:r w:rsidRPr="00CF2F28">
        <w:rPr>
          <w:rFonts w:hint="eastAsia"/>
        </w:rPr>
        <w:t>退輔會</w:t>
      </w:r>
      <w:r w:rsidRPr="00AC77DF">
        <w:t>，已由該會予以申誡</w:t>
      </w:r>
      <w:r w:rsidRPr="00AC77DF">
        <w:t>1</w:t>
      </w:r>
      <w:r w:rsidRPr="00AC77DF">
        <w:t>次在案。</w:t>
      </w:r>
    </w:p>
    <w:p w:rsidR="003807A5" w:rsidRPr="00AC77DF" w:rsidRDefault="003807A5" w:rsidP="007373B4">
      <w:pPr>
        <w:pStyle w:val="1---"/>
        <w:ind w:leftChars="100" w:left="600" w:hangingChars="150" w:hanging="360"/>
      </w:pPr>
      <w:r w:rsidRPr="00AC77DF">
        <w:t>2</w:t>
      </w:r>
      <w:r w:rsidRPr="00AC77DF">
        <w:t>、通訊保障及監察法於</w:t>
      </w:r>
      <w:r w:rsidRPr="00AC77DF">
        <w:t>103</w:t>
      </w:r>
      <w:r w:rsidRPr="00AC77DF">
        <w:t>年</w:t>
      </w:r>
      <w:r w:rsidRPr="00AC77DF">
        <w:t>6</w:t>
      </w:r>
      <w:r w:rsidRPr="00AC77DF">
        <w:t>月</w:t>
      </w:r>
      <w:r w:rsidRPr="00AC77DF">
        <w:t>29</w:t>
      </w:r>
      <w:r w:rsidRPr="00AC77DF">
        <w:t>日修正始於第</w:t>
      </w:r>
      <w:r w:rsidRPr="00AC77DF">
        <w:t>5</w:t>
      </w:r>
      <w:r w:rsidRPr="00AC77DF">
        <w:t>條第</w:t>
      </w:r>
      <w:r w:rsidRPr="00AC77DF">
        <w:t>2</w:t>
      </w:r>
      <w:r w:rsidRPr="00AC77DF">
        <w:t>項增列</w:t>
      </w:r>
      <w:r w:rsidRPr="00EC198C">
        <w:rPr>
          <w:spacing w:val="-26"/>
        </w:rPr>
        <w:t>：</w:t>
      </w:r>
      <w:r w:rsidRPr="00AC77DF">
        <w:t>「其監察對象非電信服務用戶，應予載明」等規定，故修法後已有相關機制足供審核、注意監察對象與門號登記人是否同一，應可避免再發生類似違誤。</w:t>
      </w:r>
    </w:p>
    <w:p w:rsidR="003807A5" w:rsidRPr="00AC77DF" w:rsidRDefault="003807A5" w:rsidP="007373B4">
      <w:pPr>
        <w:pStyle w:val="1---"/>
        <w:ind w:leftChars="100" w:left="600" w:hangingChars="150" w:hanging="360"/>
      </w:pPr>
      <w:r w:rsidRPr="00AC77DF">
        <w:t>3</w:t>
      </w:r>
      <w:r w:rsidRPr="00AC77DF">
        <w:t>、查本件檢察官於通訊監察結束後，漏未通知該實際被監聽對象（即電話門號申設人</w:t>
      </w:r>
      <w:r w:rsidRPr="00EC198C">
        <w:rPr>
          <w:spacing w:val="-26"/>
        </w:rPr>
        <w:t>）</w:t>
      </w:r>
      <w:r w:rsidRPr="00AC77DF">
        <w:t>，此程序失當案例，將加強宣導所屬知悉</w:t>
      </w:r>
      <w:r w:rsidR="00DA23C0">
        <w:rPr>
          <w:rFonts w:hint="eastAsia"/>
          <w:lang w:eastAsia="zh-TW"/>
        </w:rPr>
        <w:t>，</w:t>
      </w:r>
      <w:r w:rsidRPr="00AC77DF">
        <w:t>避免再次發生。</w:t>
      </w:r>
    </w:p>
    <w:p w:rsidR="003807A5" w:rsidRPr="00AC77DF" w:rsidRDefault="002D5C1C" w:rsidP="00E5718D">
      <w:pPr>
        <w:pStyle w:val="afff1"/>
        <w:spacing w:before="360" w:after="360"/>
      </w:pPr>
      <w:bookmarkStart w:id="157" w:name="_Toc527731148"/>
      <w:r>
        <w:rPr>
          <w:rFonts w:hint="eastAsia"/>
        </w:rPr>
        <w:t>(四)</w:t>
      </w:r>
      <w:r w:rsidR="003807A5" w:rsidRPr="00AC77DF">
        <w:t>案件進展</w:t>
      </w:r>
      <w:bookmarkEnd w:id="157"/>
    </w:p>
    <w:p w:rsidR="003807A5" w:rsidRDefault="003807A5" w:rsidP="00B7222B">
      <w:pPr>
        <w:pStyle w:val="1---"/>
        <w:ind w:firstLine="480"/>
        <w:rPr>
          <w:lang w:eastAsia="zh-TW"/>
        </w:rPr>
      </w:pPr>
      <w:r w:rsidRPr="00AC77DF">
        <w:t>本案已懲處失職人員並採行改善措施，爰予結案。</w:t>
      </w:r>
    </w:p>
    <w:p w:rsidR="002D5C1C" w:rsidRDefault="002D5C1C" w:rsidP="00B7222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2972"/>
      </w:tblGrid>
      <w:tr w:rsidR="002D5C1C" w:rsidTr="00EC198C">
        <w:tc>
          <w:tcPr>
            <w:tcW w:w="2972" w:type="dxa"/>
            <w:shd w:val="clear" w:color="auto" w:fill="D9D9D9" w:themeFill="background1" w:themeFillShade="D9"/>
          </w:tcPr>
          <w:p w:rsidR="002D5C1C" w:rsidRDefault="002D5C1C" w:rsidP="00EC198C">
            <w:pPr>
              <w:pStyle w:val="11-"/>
              <w:spacing w:before="72" w:after="108"/>
              <w:rPr>
                <w:b/>
                <w:lang w:eastAsia="zh-TW"/>
              </w:rPr>
            </w:pPr>
            <w:bookmarkStart w:id="158" w:name="_Toc527731149"/>
            <w:bookmarkStart w:id="159" w:name="_Toc535228346"/>
            <w:bookmarkStart w:id="160" w:name="_Toc4058757"/>
            <w:r w:rsidRPr="00AC77DF">
              <w:t>偵辦案件採證涉違失</w:t>
            </w:r>
            <w:bookmarkEnd w:id="158"/>
            <w:bookmarkEnd w:id="159"/>
            <w:bookmarkEnd w:id="160"/>
          </w:p>
        </w:tc>
      </w:tr>
    </w:tbl>
    <w:p w:rsidR="002D5C1C" w:rsidRPr="00AC77DF" w:rsidRDefault="002D5C1C" w:rsidP="00B7222B">
      <w:pPr>
        <w:pStyle w:val="1---"/>
        <w:ind w:firstLine="480"/>
        <w:rPr>
          <w:b/>
          <w:lang w:eastAsia="zh-TW"/>
        </w:rPr>
      </w:pPr>
    </w:p>
    <w:tbl>
      <w:tblPr>
        <w:tblStyle w:val="aff5"/>
        <w:tblW w:w="0" w:type="auto"/>
        <w:tblInd w:w="113" w:type="dxa"/>
        <w:tblLook w:val="04A0" w:firstRow="1" w:lastRow="0" w:firstColumn="1" w:lastColumn="0" w:noHBand="0" w:noVBand="1"/>
      </w:tblPr>
      <w:tblGrid>
        <w:gridCol w:w="6516"/>
      </w:tblGrid>
      <w:tr w:rsidR="005109C4" w:rsidTr="0039290C">
        <w:trPr>
          <w:trHeight w:val="455"/>
        </w:trPr>
        <w:tc>
          <w:tcPr>
            <w:tcW w:w="6516" w:type="dxa"/>
          </w:tcPr>
          <w:p w:rsidR="005109C4" w:rsidRPr="005109C4" w:rsidRDefault="005109C4" w:rsidP="00EC198C">
            <w:pPr>
              <w:spacing w:line="360" w:lineRule="exact"/>
              <w:rPr>
                <w:lang w:val="x-none"/>
              </w:rPr>
            </w:pPr>
            <w:bookmarkStart w:id="161" w:name="_Toc527731150"/>
            <w:r w:rsidRPr="00AC77DF">
              <w:rPr>
                <w:b/>
                <w:lang w:val="x-none"/>
              </w:rPr>
              <w:t>相關國際人權公約：</w:t>
            </w:r>
            <w:r w:rsidRPr="00AC77DF">
              <w:t>公民與政治權利國際公約第</w:t>
            </w:r>
            <w:r w:rsidRPr="00AC77DF">
              <w:t>14</w:t>
            </w:r>
            <w:r w:rsidRPr="00AC77DF">
              <w:t>條</w:t>
            </w:r>
          </w:p>
        </w:tc>
      </w:tr>
    </w:tbl>
    <w:p w:rsidR="003807A5" w:rsidRPr="00AC77DF" w:rsidRDefault="002D5C1C" w:rsidP="00E5718D">
      <w:pPr>
        <w:pStyle w:val="afff1"/>
        <w:spacing w:before="360" w:after="360"/>
      </w:pPr>
      <w:r>
        <w:rPr>
          <w:rFonts w:hint="eastAsia"/>
        </w:rPr>
        <w:t>(一)</w:t>
      </w:r>
      <w:r w:rsidR="003807A5" w:rsidRPr="00AC77DF">
        <w:t>案情簡述</w:t>
      </w:r>
      <w:bookmarkEnd w:id="161"/>
    </w:p>
    <w:p w:rsidR="003807A5" w:rsidRPr="00AC77DF" w:rsidRDefault="003807A5" w:rsidP="00B7222B">
      <w:pPr>
        <w:pStyle w:val="1---"/>
        <w:ind w:firstLine="480"/>
      </w:pPr>
      <w:r w:rsidRPr="00AC77DF">
        <w:t>據訴，法務部調查局臺中市調查處（簡稱臺中市調查處）及臺中地檢署偵辦陳訴人涉犯違反貪污治罪條例等案件，疑以不正方法詢問取得證人證言，並以該違法之供述證據予以起訴，且調查筆錄疑與錄（影）音不符等情，宜有深入瞭解之必要</w:t>
      </w:r>
      <w:r w:rsidRPr="00AC77DF">
        <w:lastRenderedPageBreak/>
        <w:t>，監察委員爰立案調查。</w:t>
      </w:r>
    </w:p>
    <w:p w:rsidR="003807A5" w:rsidRPr="00AC77DF" w:rsidRDefault="002D5C1C" w:rsidP="00E5718D">
      <w:pPr>
        <w:pStyle w:val="afff1"/>
        <w:spacing w:before="360" w:after="360"/>
      </w:pPr>
      <w:bookmarkStart w:id="162" w:name="_Toc527731151"/>
      <w:r>
        <w:rPr>
          <w:rFonts w:hint="eastAsia"/>
        </w:rPr>
        <w:t>(二)</w:t>
      </w:r>
      <w:r w:rsidR="003807A5" w:rsidRPr="00AC77DF">
        <w:t>監察院調查發現與建議</w:t>
      </w:r>
      <w:bookmarkEnd w:id="162"/>
    </w:p>
    <w:p w:rsidR="003807A5" w:rsidRPr="00AC77DF" w:rsidRDefault="00383BEE" w:rsidP="00D92DAE">
      <w:pPr>
        <w:pStyle w:val="1--13"/>
        <w:spacing w:before="180" w:after="180"/>
      </w:pPr>
      <w:r w:rsidRPr="008E1832">
        <w:rPr>
          <w:rFonts w:hint="eastAsia"/>
        </w:rPr>
        <w:t>˙</w:t>
      </w:r>
      <w:r w:rsidR="003807A5" w:rsidRPr="00AC77DF">
        <w:t>未依實際詢答要旨製作筆錄</w:t>
      </w:r>
    </w:p>
    <w:p w:rsidR="003807A5" w:rsidRPr="00AC77DF" w:rsidRDefault="003807A5" w:rsidP="00476404">
      <w:pPr>
        <w:pStyle w:val="1---"/>
        <w:ind w:firstLine="480"/>
        <w:jc w:val="distribute"/>
      </w:pPr>
      <w:r w:rsidRPr="00AC77DF">
        <w:t>法務部調查局所屬臺中市調查處偵辦被告林</w:t>
      </w:r>
      <w:r w:rsidRPr="00937E63">
        <w:rPr>
          <w:rFonts w:asciiTheme="majorEastAsia" w:eastAsiaTheme="majorEastAsia" w:hAnsiTheme="majorEastAsia"/>
        </w:rPr>
        <w:t>○○、</w:t>
      </w:r>
      <w:r w:rsidRPr="00AC77DF">
        <w:t>徐</w:t>
      </w:r>
      <w:r w:rsidRPr="00937E63">
        <w:rPr>
          <w:rFonts w:asciiTheme="majorEastAsia" w:eastAsiaTheme="majorEastAsia" w:hAnsiTheme="majorEastAsia"/>
        </w:rPr>
        <w:t>○○</w:t>
      </w:r>
      <w:r w:rsidRPr="00AC77DF">
        <w:t>等涉嫌貪瀆案件，詢問共同被告趙</w:t>
      </w:r>
      <w:r w:rsidRPr="00937E63">
        <w:rPr>
          <w:rFonts w:asciiTheme="majorEastAsia" w:eastAsiaTheme="majorEastAsia" w:hAnsiTheme="majorEastAsia"/>
        </w:rPr>
        <w:t>○○</w:t>
      </w:r>
      <w:r w:rsidRPr="00AC77DF">
        <w:t>時，未依實際詢答要旨製作筆錄，部分筆錄內容係詢問人自問自答，經被詢問人「嗯」、「對」或點頭等回應後，詢問人自行解讀整理，即指示筆錄製作人記載為被詢問人對案情完整的回答；甚至未有實際詢答，逕依據其他調查筆錄等資料指示記載為受詢問人之回答，</w:t>
      </w:r>
      <w:r w:rsidRPr="00476404">
        <w:rPr>
          <w:spacing w:val="-2"/>
        </w:rPr>
        <w:t>顯已違反刑事訴訟法及法務部調查局內部作業規定之正當程序。</w:t>
      </w:r>
    </w:p>
    <w:p w:rsidR="003807A5" w:rsidRPr="00AC77DF" w:rsidRDefault="00383BEE" w:rsidP="00D92DAE">
      <w:pPr>
        <w:pStyle w:val="1--13"/>
        <w:spacing w:before="180" w:after="180"/>
      </w:pPr>
      <w:r w:rsidRPr="008E1832">
        <w:rPr>
          <w:rFonts w:hint="eastAsia"/>
        </w:rPr>
        <w:t>˙</w:t>
      </w:r>
      <w:r w:rsidR="003807A5" w:rsidRPr="00AC77DF">
        <w:t>未全程連續錄音錄影</w:t>
      </w:r>
    </w:p>
    <w:p w:rsidR="003807A5" w:rsidRPr="00AC77DF" w:rsidRDefault="003807A5" w:rsidP="00B7222B">
      <w:pPr>
        <w:pStyle w:val="1---"/>
        <w:ind w:firstLine="480"/>
      </w:pPr>
      <w:r w:rsidRPr="00AC77DF">
        <w:t>臺中市調查處於</w:t>
      </w:r>
      <w:r w:rsidRPr="00AC77DF">
        <w:t>100</w:t>
      </w:r>
      <w:r w:rsidRPr="00AC77DF">
        <w:t>年</w:t>
      </w:r>
      <w:r w:rsidRPr="00AC77DF">
        <w:t>4</w:t>
      </w:r>
      <w:r w:rsidRPr="00AC77DF">
        <w:t>月</w:t>
      </w:r>
      <w:r w:rsidRPr="00AC77DF">
        <w:t>19</w:t>
      </w:r>
      <w:r w:rsidRPr="00AC77DF">
        <w:t>日借提被告趙</w:t>
      </w:r>
      <w:r w:rsidRPr="00937E63">
        <w:rPr>
          <w:rFonts w:asciiTheme="majorEastAsia" w:eastAsiaTheme="majorEastAsia" w:hAnsiTheme="majorEastAsia"/>
        </w:rPr>
        <w:t>○○</w:t>
      </w:r>
      <w:r w:rsidRPr="00AC77DF">
        <w:t>詢問時，未全程連續錄音錄影，先行「溝通」後始開始製作筆錄</w:t>
      </w:r>
      <w:r w:rsidR="00AA2C31">
        <w:t>，</w:t>
      </w:r>
      <w:r w:rsidRPr="00AC77DF">
        <w:t>雖查無指示趙</w:t>
      </w:r>
      <w:r w:rsidRPr="00937E63">
        <w:rPr>
          <w:rFonts w:asciiTheme="majorEastAsia" w:eastAsiaTheme="majorEastAsia" w:hAnsiTheme="majorEastAsia"/>
        </w:rPr>
        <w:t>○○</w:t>
      </w:r>
      <w:r w:rsidRPr="00AC77DF">
        <w:t>為特定作答之具體事證，然與法定程序不符，易滋勾串證人之爭議。</w:t>
      </w:r>
    </w:p>
    <w:p w:rsidR="003807A5" w:rsidRPr="00AC77DF" w:rsidRDefault="00383BEE" w:rsidP="00D92DAE">
      <w:pPr>
        <w:pStyle w:val="1--13"/>
        <w:spacing w:before="180" w:after="180"/>
      </w:pPr>
      <w:r w:rsidRPr="008E1832">
        <w:rPr>
          <w:rFonts w:hint="eastAsia"/>
        </w:rPr>
        <w:t>˙</w:t>
      </w:r>
      <w:r w:rsidR="003807A5" w:rsidRPr="00AC77DF">
        <w:t>違背筆錄製作程序規定</w:t>
      </w:r>
    </w:p>
    <w:p w:rsidR="003807A5" w:rsidRPr="00AC77DF" w:rsidRDefault="003807A5" w:rsidP="00B7222B">
      <w:pPr>
        <w:pStyle w:val="1---"/>
        <w:ind w:firstLine="480"/>
      </w:pPr>
      <w:r w:rsidRPr="00AC77DF">
        <w:t>臺中市調查處於</w:t>
      </w:r>
      <w:r w:rsidRPr="00AC77DF">
        <w:t>100</w:t>
      </w:r>
      <w:r w:rsidRPr="00AC77DF">
        <w:t>年</w:t>
      </w:r>
      <w:r w:rsidRPr="00AC77DF">
        <w:t>4</w:t>
      </w:r>
      <w:r w:rsidRPr="00AC77DF">
        <w:t>月</w:t>
      </w:r>
      <w:r w:rsidRPr="00AC77DF">
        <w:t>25</w:t>
      </w:r>
      <w:r w:rsidRPr="00AC77DF">
        <w:t>日詢問趙</w:t>
      </w:r>
      <w:r w:rsidRPr="00937E63">
        <w:rPr>
          <w:rFonts w:asciiTheme="majorEastAsia" w:eastAsiaTheme="majorEastAsia" w:hAnsiTheme="majorEastAsia"/>
        </w:rPr>
        <w:t>○○，</w:t>
      </w:r>
      <w:r w:rsidRPr="00AC77DF">
        <w:t>事先於筆錄內擬妥題組及證人回答內容，詢問人雖就部分細節再向被詢問人確認，但筆錄內大部分內容係由詢問人自問自答；而被詢問人趙</w:t>
      </w:r>
      <w:r w:rsidRPr="00937E63">
        <w:rPr>
          <w:rFonts w:asciiTheme="majorEastAsia" w:eastAsiaTheme="majorEastAsia" w:hAnsiTheme="majorEastAsia"/>
        </w:rPr>
        <w:t>○○</w:t>
      </w:r>
      <w:r w:rsidRPr="00AC77DF">
        <w:t>於詢問結束離開詢問室後，筆錄製作人又先將筆錄交</w:t>
      </w:r>
      <w:r w:rsidRPr="00AC77DF">
        <w:lastRenderedPageBreak/>
        <w:t>詢問人及其他辦案人員檢視修改補充，逾</w:t>
      </w:r>
      <w:r w:rsidRPr="00AC77DF">
        <w:t>1</w:t>
      </w:r>
      <w:r w:rsidRPr="00AC77DF">
        <w:t>小時後，始命證人返回詢問室確認並於筆錄上簽名，明顯違背筆錄應依受詢問人</w:t>
      </w:r>
      <w:r w:rsidRPr="00476404">
        <w:rPr>
          <w:spacing w:val="-2"/>
        </w:rPr>
        <w:t>之陳述內容當場製作，並應由行詢問以外之人為之等法定程序。</w:t>
      </w:r>
    </w:p>
    <w:p w:rsidR="003807A5" w:rsidRPr="00AC77DF" w:rsidRDefault="00383BEE" w:rsidP="00D92DAE">
      <w:pPr>
        <w:pStyle w:val="1--13"/>
        <w:spacing w:before="180" w:after="180"/>
      </w:pPr>
      <w:r w:rsidRPr="008E1832">
        <w:rPr>
          <w:rFonts w:hint="eastAsia"/>
        </w:rPr>
        <w:t>˙</w:t>
      </w:r>
      <w:r w:rsidR="003807A5" w:rsidRPr="00AC77DF">
        <w:t>未善盡監督管理責任</w:t>
      </w:r>
    </w:p>
    <w:p w:rsidR="003807A5" w:rsidRPr="00AC77DF" w:rsidRDefault="003807A5" w:rsidP="00B7222B">
      <w:pPr>
        <w:pStyle w:val="1---"/>
        <w:ind w:firstLine="480"/>
        <w:rPr>
          <w:lang w:eastAsia="zh-TW"/>
        </w:rPr>
      </w:pPr>
      <w:r w:rsidRPr="00AC77DF">
        <w:t>臺中市調查處於</w:t>
      </w:r>
      <w:r w:rsidRPr="00AC77DF">
        <w:t>100</w:t>
      </w:r>
      <w:r w:rsidRPr="00AC77DF">
        <w:t>年</w:t>
      </w:r>
      <w:r w:rsidRPr="00AC77DF">
        <w:t>4</w:t>
      </w:r>
      <w:r w:rsidRPr="00AC77DF">
        <w:t>月</w:t>
      </w:r>
      <w:r w:rsidRPr="00AC77DF">
        <w:t>25</w:t>
      </w:r>
      <w:r w:rsidRPr="00AC77DF">
        <w:t>日借提被告趙</w:t>
      </w:r>
      <w:r w:rsidRPr="00937E63">
        <w:rPr>
          <w:rFonts w:asciiTheme="majorEastAsia" w:eastAsiaTheme="majorEastAsia" w:hAnsiTheme="majorEastAsia"/>
        </w:rPr>
        <w:t>○○</w:t>
      </w:r>
      <w:r w:rsidRPr="00AC77DF">
        <w:t>進行詢問，竟安排共同被告吳</w:t>
      </w:r>
      <w:r w:rsidRPr="00937E63">
        <w:rPr>
          <w:rFonts w:asciiTheme="majorEastAsia" w:eastAsiaTheme="majorEastAsia" w:hAnsiTheme="majorEastAsia"/>
        </w:rPr>
        <w:t>○○</w:t>
      </w:r>
      <w:r w:rsidRPr="00AC77DF">
        <w:t>與借提之被告趙</w:t>
      </w:r>
      <w:r w:rsidRPr="00937E63">
        <w:rPr>
          <w:rFonts w:asciiTheme="majorEastAsia" w:eastAsiaTheme="majorEastAsia" w:hAnsiTheme="majorEastAsia"/>
        </w:rPr>
        <w:t>○○</w:t>
      </w:r>
      <w:r w:rsidRPr="00AC77DF">
        <w:t>在詢問室外私下會面商討案情。</w:t>
      </w:r>
    </w:p>
    <w:p w:rsidR="003807A5" w:rsidRPr="00AC77DF" w:rsidRDefault="00383BEE" w:rsidP="00D92DAE">
      <w:pPr>
        <w:pStyle w:val="1--13"/>
        <w:spacing w:before="180" w:after="180"/>
        <w:ind w:left="260" w:hangingChars="100" w:hanging="260"/>
      </w:pPr>
      <w:r w:rsidRPr="008E1832">
        <w:rPr>
          <w:rFonts w:hint="eastAsia"/>
        </w:rPr>
        <w:t>˙</w:t>
      </w:r>
      <w:r w:rsidR="003807A5" w:rsidRPr="00AC77DF">
        <w:t>無具體事證足認檢察官有指示辦案人員令共同被告私下見面等情</w:t>
      </w:r>
    </w:p>
    <w:p w:rsidR="003807A5" w:rsidRPr="00AC77DF" w:rsidRDefault="003807A5" w:rsidP="00B7222B">
      <w:pPr>
        <w:pStyle w:val="1---"/>
        <w:ind w:firstLine="480"/>
      </w:pPr>
      <w:r w:rsidRPr="00AC77DF">
        <w:t>本案承辦檢察官雖於臺中市調查處</w:t>
      </w:r>
      <w:r w:rsidRPr="00AC77DF">
        <w:t>99</w:t>
      </w:r>
      <w:r w:rsidRPr="00AC77DF">
        <w:t>年</w:t>
      </w:r>
      <w:r w:rsidRPr="00AC77DF">
        <w:t>6</w:t>
      </w:r>
      <w:r w:rsidRPr="00AC77DF">
        <w:t>月</w:t>
      </w:r>
      <w:r w:rsidRPr="00AC77DF">
        <w:t>10</w:t>
      </w:r>
      <w:r w:rsidRPr="00AC77DF">
        <w:t>日借提詢問趙</w:t>
      </w:r>
      <w:r w:rsidRPr="00937E63">
        <w:rPr>
          <w:rFonts w:asciiTheme="majorEastAsia" w:eastAsiaTheme="majorEastAsia" w:hAnsiTheme="majorEastAsia"/>
        </w:rPr>
        <w:t>○○</w:t>
      </w:r>
      <w:r w:rsidRPr="00AC77DF">
        <w:t>時致電調查人員，但檢察官致電司法警察（官）瞭解相關涉嫌人及證人之詢問狀況，本屬其合法之職務聯繫行為，尚無具體事證足認檢察官有指示辦案人員令共同被告趙</w:t>
      </w:r>
      <w:r w:rsidRPr="00937E63">
        <w:rPr>
          <w:rFonts w:asciiTheme="majorEastAsia" w:eastAsiaTheme="majorEastAsia" w:hAnsiTheme="majorEastAsia"/>
        </w:rPr>
        <w:t>○○</w:t>
      </w:r>
      <w:r w:rsidRPr="00AC77DF">
        <w:t>及證人吳</w:t>
      </w:r>
      <w:r w:rsidRPr="00937E63">
        <w:rPr>
          <w:rFonts w:asciiTheme="majorEastAsia" w:eastAsiaTheme="majorEastAsia" w:hAnsiTheme="majorEastAsia"/>
        </w:rPr>
        <w:t>○○</w:t>
      </w:r>
      <w:r w:rsidRPr="00AC77DF">
        <w:t>私下見面或勾串證言等情事。</w:t>
      </w:r>
    </w:p>
    <w:p w:rsidR="003807A5" w:rsidRPr="00AC77DF" w:rsidRDefault="003807A5" w:rsidP="00B7222B">
      <w:pPr>
        <w:pStyle w:val="1---"/>
        <w:ind w:firstLine="480"/>
      </w:pPr>
      <w:r w:rsidRPr="00AC77DF">
        <w:t>依據本案調查意見</w:t>
      </w:r>
      <w:r w:rsidRPr="00AC77DF">
        <w:rPr>
          <w:rStyle w:val="aff2"/>
        </w:rPr>
        <w:footnoteReference w:id="64"/>
      </w:r>
      <w:r w:rsidRPr="00AC77DF">
        <w:t>，監察院糾正法務部調查局，移送法務部督促所屬確實檢討改善見復。</w:t>
      </w:r>
    </w:p>
    <w:p w:rsidR="003807A5" w:rsidRPr="00AC77DF" w:rsidRDefault="002D5C1C" w:rsidP="00E5718D">
      <w:pPr>
        <w:pStyle w:val="afff1"/>
        <w:spacing w:before="360" w:after="360"/>
      </w:pPr>
      <w:bookmarkStart w:id="163" w:name="_Toc527731152"/>
      <w:r>
        <w:rPr>
          <w:rFonts w:hint="eastAsia"/>
        </w:rPr>
        <w:t>(三)</w:t>
      </w:r>
      <w:r w:rsidR="003807A5" w:rsidRPr="00AC77DF">
        <w:t>政府機關改善情形</w:t>
      </w:r>
      <w:bookmarkEnd w:id="163"/>
    </w:p>
    <w:p w:rsidR="003807A5" w:rsidRPr="00AC77DF" w:rsidRDefault="003807A5" w:rsidP="007373B4">
      <w:pPr>
        <w:pStyle w:val="1---"/>
        <w:ind w:leftChars="100" w:left="600" w:hangingChars="150" w:hanging="360"/>
      </w:pPr>
      <w:r w:rsidRPr="00AC77DF">
        <w:t>1</w:t>
      </w:r>
      <w:r w:rsidRPr="00AC77DF">
        <w:t>、法務部調查局於</w:t>
      </w:r>
      <w:r w:rsidRPr="00AC77DF">
        <w:t>106</w:t>
      </w:r>
      <w:r w:rsidRPr="00AC77DF">
        <w:t>年</w:t>
      </w:r>
      <w:r w:rsidRPr="00AC77DF">
        <w:t>6</w:t>
      </w:r>
      <w:r w:rsidRPr="00AC77DF">
        <w:t>月</w:t>
      </w:r>
      <w:r w:rsidRPr="00AC77DF">
        <w:t>21</w:t>
      </w:r>
      <w:r w:rsidRPr="00AC77DF">
        <w:t>日舉辦「犯罪調查詢問工作研討會」，針對本案糾正意見提出檢討策進報告及辦理</w:t>
      </w:r>
      <w:r w:rsidRPr="00AC77DF">
        <w:lastRenderedPageBreak/>
        <w:t>綜合座談。該局並針對臺中市調查處強化專業訓練，及於</w:t>
      </w:r>
      <w:r w:rsidRPr="00AC77DF">
        <w:t>106</w:t>
      </w:r>
      <w:r w:rsidRPr="00AC77DF">
        <w:t>年</w:t>
      </w:r>
      <w:r w:rsidRPr="00AC77DF">
        <w:t>6</w:t>
      </w:r>
      <w:r w:rsidRPr="00AC77DF">
        <w:t>月</w:t>
      </w:r>
      <w:r w:rsidRPr="00AC77DF">
        <w:t>23</w:t>
      </w:r>
      <w:r w:rsidRPr="00AC77DF">
        <w:t>日「</w:t>
      </w:r>
      <w:r w:rsidRPr="00AC77DF">
        <w:t>106</w:t>
      </w:r>
      <w:r w:rsidRPr="00AC77DF">
        <w:t>年第</w:t>
      </w:r>
      <w:r w:rsidRPr="00AC77DF">
        <w:t>1</w:t>
      </w:r>
      <w:r w:rsidRPr="00AC77DF">
        <w:t>次駐區督察工作座談會」中，彙整製作筆錄可能發生之缺失，請各地區駐區督察於例行抽檢外勤單位詢問光碟時注意檢視。</w:t>
      </w:r>
    </w:p>
    <w:p w:rsidR="003807A5" w:rsidRPr="00AC77DF" w:rsidRDefault="003807A5" w:rsidP="007373B4">
      <w:pPr>
        <w:pStyle w:val="1---"/>
        <w:ind w:leftChars="100" w:left="600" w:hangingChars="150" w:hanging="360"/>
      </w:pPr>
      <w:r w:rsidRPr="00AC77DF">
        <w:t>2</w:t>
      </w:r>
      <w:r w:rsidRPr="00AC77DF">
        <w:t>、法務部調查局於</w:t>
      </w:r>
      <w:r w:rsidRPr="00AC77DF">
        <w:t>106</w:t>
      </w:r>
      <w:r w:rsidRPr="00AC77DF">
        <w:t>年</w:t>
      </w:r>
      <w:r w:rsidRPr="00AC77DF">
        <w:t>6</w:t>
      </w:r>
      <w:r w:rsidRPr="00AC77DF">
        <w:t>月</w:t>
      </w:r>
      <w:r w:rsidRPr="00AC77DF">
        <w:t>29</w:t>
      </w:r>
      <w:r w:rsidRPr="00AC77DF">
        <w:t>日函申各外勤單位應確實遵守該局犯罪調查詢問工作及筆錄製作等相關規定，及提示製作調查筆錄應注意事項，請各單位主管加強所屬教育訓練，並於案件偵辦時確實督導恪遵相關規定。</w:t>
      </w:r>
    </w:p>
    <w:p w:rsidR="003807A5" w:rsidRPr="00AC77DF" w:rsidRDefault="003807A5" w:rsidP="007373B4">
      <w:pPr>
        <w:pStyle w:val="1---"/>
        <w:ind w:leftChars="100" w:left="600" w:hangingChars="150" w:hanging="360"/>
      </w:pPr>
      <w:r w:rsidRPr="00AC77DF">
        <w:t>3</w:t>
      </w:r>
      <w:r w:rsidRPr="00AC77DF">
        <w:t>、檢討修正法務部調查局「犯罪調查作業手冊」第</w:t>
      </w:r>
      <w:r w:rsidRPr="00AC77DF">
        <w:t>4</w:t>
      </w:r>
      <w:r w:rsidRPr="00AC77DF">
        <w:t>章第</w:t>
      </w:r>
      <w:r w:rsidRPr="00AC77DF">
        <w:t>2</w:t>
      </w:r>
      <w:r w:rsidRPr="00AC77DF">
        <w:t>節第</w:t>
      </w:r>
      <w:r w:rsidRPr="00AC77DF">
        <w:t>9</w:t>
      </w:r>
      <w:r w:rsidRPr="00AC77DF">
        <w:t>項第</w:t>
      </w:r>
      <w:r w:rsidRPr="00AC77DF">
        <w:t>2</w:t>
      </w:r>
      <w:r w:rsidRPr="00AC77DF">
        <w:t>款第</w:t>
      </w:r>
      <w:r w:rsidRPr="00AC77DF">
        <w:t>2</w:t>
      </w:r>
      <w:r w:rsidRPr="00AC77DF">
        <w:t>目規範不周詳之處。</w:t>
      </w:r>
    </w:p>
    <w:p w:rsidR="003807A5" w:rsidRPr="00AC77DF" w:rsidRDefault="002D5C1C" w:rsidP="00E5718D">
      <w:pPr>
        <w:pStyle w:val="afff1"/>
        <w:spacing w:before="360" w:after="360"/>
      </w:pPr>
      <w:bookmarkStart w:id="164" w:name="_Toc527731153"/>
      <w:r>
        <w:rPr>
          <w:rFonts w:hint="eastAsia"/>
        </w:rPr>
        <w:t>(四)</w:t>
      </w:r>
      <w:r w:rsidR="003807A5" w:rsidRPr="00AC77DF">
        <w:t>案件進展</w:t>
      </w:r>
      <w:bookmarkEnd w:id="164"/>
    </w:p>
    <w:p w:rsidR="002D5C1C" w:rsidRDefault="003807A5" w:rsidP="00B7222B">
      <w:pPr>
        <w:pStyle w:val="1---"/>
        <w:ind w:firstLine="480"/>
        <w:rPr>
          <w:lang w:eastAsia="zh-TW"/>
        </w:rPr>
      </w:pPr>
      <w:r w:rsidRPr="00AC77DF">
        <w:t>本案在監察院監督下，已產生具體成果，核予結案。</w:t>
      </w:r>
    </w:p>
    <w:p w:rsidR="002D5C1C" w:rsidRDefault="002D5C1C" w:rsidP="00B7222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3993"/>
      </w:tblGrid>
      <w:tr w:rsidR="002D5C1C" w:rsidTr="00302BD2">
        <w:tc>
          <w:tcPr>
            <w:tcW w:w="3993" w:type="dxa"/>
            <w:shd w:val="clear" w:color="auto" w:fill="D9D9D9" w:themeFill="background1" w:themeFillShade="D9"/>
          </w:tcPr>
          <w:p w:rsidR="002D5C1C" w:rsidRDefault="002D5C1C" w:rsidP="002D5C1C">
            <w:pPr>
              <w:pStyle w:val="11-"/>
              <w:spacing w:before="72" w:after="108"/>
              <w:rPr>
                <w:b/>
                <w:noProof/>
                <w:sz w:val="36"/>
                <w:lang w:eastAsia="zh-TW"/>
              </w:rPr>
            </w:pPr>
            <w:bookmarkStart w:id="165" w:name="_Toc527731040"/>
            <w:bookmarkStart w:id="166" w:name="_Toc535228347"/>
            <w:bookmarkStart w:id="167" w:name="_Toc4058758"/>
            <w:r w:rsidRPr="0039290C">
              <w:rPr>
                <w:color w:val="000000"/>
                <w:bdr w:val="none" w:sz="0" w:space="0" w:color="auto" w:frame="1"/>
              </w:rPr>
              <w:t>違反</w:t>
            </w:r>
            <w:r w:rsidRPr="0039290C">
              <w:t>程序規</w:t>
            </w:r>
            <w:r w:rsidRPr="00AC77DF">
              <w:t>定證詞之證據</w:t>
            </w:r>
            <w:r w:rsidRPr="00AC77DF">
              <w:rPr>
                <w:lang w:eastAsia="zh-HK"/>
              </w:rPr>
              <w:t>力</w:t>
            </w:r>
            <w:bookmarkEnd w:id="165"/>
            <w:bookmarkEnd w:id="166"/>
            <w:bookmarkEnd w:id="167"/>
          </w:p>
        </w:tc>
      </w:tr>
    </w:tbl>
    <w:p w:rsidR="003807A5" w:rsidRPr="00AC77DF" w:rsidRDefault="003807A5" w:rsidP="00B7222B">
      <w:pPr>
        <w:pStyle w:val="1---"/>
        <w:ind w:firstLine="480"/>
        <w:rPr>
          <w:b/>
          <w:noProof/>
          <w:sz w:val="36"/>
          <w:szCs w:val="36"/>
          <w:lang w:eastAsia="zh-TW"/>
        </w:rPr>
      </w:pPr>
      <w:r w:rsidRPr="00AC77DF">
        <w:rPr>
          <w:noProof/>
          <w:lang w:val="en-US" w:eastAsia="zh-TW"/>
        </w:rPr>
        <mc:AlternateContent>
          <mc:Choice Requires="wps">
            <w:drawing>
              <wp:anchor distT="0" distB="0" distL="114300" distR="114300" simplePos="0" relativeHeight="251926528" behindDoc="0" locked="1" layoutInCell="1" allowOverlap="1" wp14:anchorId="7EBACC65" wp14:editId="5F403C6B">
                <wp:simplePos x="0" y="0"/>
                <wp:positionH relativeFrom="column">
                  <wp:posOffset>7989570</wp:posOffset>
                </wp:positionH>
                <wp:positionV relativeFrom="paragraph">
                  <wp:posOffset>-773430</wp:posOffset>
                </wp:positionV>
                <wp:extent cx="635000" cy="317500"/>
                <wp:effectExtent l="0" t="0" r="0" b="0"/>
                <wp:wrapNone/>
                <wp:docPr id="102" name="文字方塊 10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832" w:rsidRDefault="00970832" w:rsidP="00912880">
                            <w:pPr>
                              <w:jc w:val="center"/>
                              <w:rPr>
                                <w:sz w:val="18"/>
                              </w:rPr>
                            </w:pPr>
                            <w:r>
                              <w:rPr>
                                <w:sz w:val="18"/>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2" o:spid="_x0000_s1067" type="#_x0000_t202" style="position:absolute;left:0;text-align:left;margin-left:629.1pt;margin-top:-60.9pt;width:50pt;height:25pt;z-index:2519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" stroked="f">
                <v:textbox>
                  <w:txbxContent>
                    <w:p w:rsidR="00895792" w:rsidRDefault="00895792" w:rsidP="00912880">
                      <w:pPr>
                        <w:jc w:val="center"/>
                        <w:rPr>
                          <w:sz w:val="18"/>
                        </w:rPr>
                      </w:pPr>
                      <w:r>
                        <w:rPr>
                          <w:sz w:val="18"/>
                        </w:rPr>
                        <w:t>00</w:t>
                      </w:r>
                    </w:p>
                  </w:txbxContent>
                </v:textbox>
                <w10:anchorlock/>
              </v:shape>
            </w:pict>
          </mc:Fallback>
        </mc:AlternateContent>
      </w:r>
      <w:r w:rsidRPr="00AC77DF">
        <w:rPr>
          <w:noProof/>
          <w:lang w:val="en-US" w:eastAsia="zh-TW"/>
        </w:rPr>
        <mc:AlternateContent>
          <mc:Choice Requires="wpg">
            <w:drawing>
              <wp:anchor distT="0" distB="0" distL="114300" distR="114300" simplePos="0" relativeHeight="251925504" behindDoc="0" locked="1" layoutInCell="0" allowOverlap="1" wp14:anchorId="3E5ACD48" wp14:editId="3C821906">
                <wp:simplePos x="0" y="0"/>
                <wp:positionH relativeFrom="column">
                  <wp:posOffset>-2152650</wp:posOffset>
                </wp:positionH>
                <wp:positionV relativeFrom="paragraph">
                  <wp:posOffset>-121285</wp:posOffset>
                </wp:positionV>
                <wp:extent cx="149225" cy="8839200"/>
                <wp:effectExtent l="0" t="0" r="3175" b="19050"/>
                <wp:wrapNone/>
                <wp:docPr id="103" name="群組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39200"/>
                          <a:chOff x="745" y="1414"/>
                          <a:chExt cx="235" cy="13920"/>
                        </a:xfrm>
                      </wpg:grpSpPr>
                      <wps:wsp>
                        <wps:cNvPr id="104" name="Line 13"/>
                        <wps:cNvCnPr/>
                        <wps:spPr bwMode="auto">
                          <a:xfrm>
                            <a:off x="851" y="1414"/>
                            <a:ext cx="0" cy="139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5" name="Text Box 14"/>
                        <wps:cNvSpPr txBox="1">
                          <a:spLocks noChangeArrowheads="1"/>
                        </wps:cNvSpPr>
                        <wps:spPr bwMode="auto">
                          <a:xfrm>
                            <a:off x="745" y="5523"/>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912880">
                              <w:pPr>
                                <w:kinsoku w:val="0"/>
                                <w:wordWrap w:val="0"/>
                                <w:overflowPunct w:val="0"/>
                                <w:rPr>
                                  <w:sz w:val="20"/>
                                </w:rPr>
                              </w:pPr>
                              <w:r>
                                <w:rPr>
                                  <w:rFonts w:hint="eastAsia"/>
                                  <w:sz w:val="20"/>
                                </w:rPr>
                                <w:t>裝</w:t>
                              </w:r>
                            </w:p>
                          </w:txbxContent>
                        </wps:txbx>
                        <wps:bodyPr rot="0" vert="horz" wrap="square" lIns="0" tIns="0" rIns="0" bIns="0" anchor="t" anchorCtr="0" upright="1">
                          <a:noAutofit/>
                        </wps:bodyPr>
                      </wps:wsp>
                      <wps:wsp>
                        <wps:cNvPr id="106" name="Text Box 15"/>
                        <wps:cNvSpPr txBox="1">
                          <a:spLocks noChangeArrowheads="1"/>
                        </wps:cNvSpPr>
                        <wps:spPr bwMode="auto">
                          <a:xfrm>
                            <a:off x="745" y="8312"/>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912880">
                              <w:pPr>
                                <w:kinsoku w:val="0"/>
                                <w:wordWrap w:val="0"/>
                                <w:overflowPunct w:val="0"/>
                                <w:rPr>
                                  <w:sz w:val="20"/>
                                </w:rPr>
                              </w:pPr>
                              <w:r>
                                <w:rPr>
                                  <w:rFonts w:hint="eastAsia"/>
                                  <w:sz w:val="20"/>
                                </w:rPr>
                                <w:t>訂</w:t>
                              </w:r>
                            </w:p>
                          </w:txbxContent>
                        </wps:txbx>
                        <wps:bodyPr rot="0" vert="horz" wrap="square" lIns="0" tIns="0" rIns="0" bIns="0" anchor="t" anchorCtr="0" upright="1">
                          <a:noAutofit/>
                        </wps:bodyPr>
                      </wps:wsp>
                      <wps:wsp>
                        <wps:cNvPr id="107" name="Text Box 16"/>
                        <wps:cNvSpPr txBox="1">
                          <a:spLocks noChangeArrowheads="1"/>
                        </wps:cNvSpPr>
                        <wps:spPr bwMode="auto">
                          <a:xfrm>
                            <a:off x="745" y="11127"/>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912880">
                              <w:pPr>
                                <w:kinsoku w:val="0"/>
                                <w:wordWrap w:val="0"/>
                                <w:overflowPunct w:val="0"/>
                                <w:rPr>
                                  <w:sz w:val="20"/>
                                </w:rPr>
                              </w:pPr>
                              <w:r>
                                <w:rPr>
                                  <w:rFonts w:hint="eastAsia"/>
                                  <w:sz w:val="20"/>
                                </w:rPr>
                                <w:t>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03" o:spid="_x0000_s1068" style="position:absolute;left:0;text-align:left;margin-left:-169.5pt;margin-top:-9.55pt;width:11.75pt;height:696pt;z-index:251925504" coordorigin="745,1414" coordsize="235,1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" o:allowincell="f">
                <v:line id="Line 13" o:spid="_x0000_s1069" style="position:absolute;visibility:visible;mso-wrap-style:square" from="851,1414" to="851,1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dY8MMAAADcAAAADwAAAGRycy9kb3ducmV2LnhtbERPTWsCMRC9F/wPYYTeNGuR1q5G0YJg&#10;rR7ctuBx2IzJ4maybFJd/31TEHqbx/uc2aJztbhQGyrPCkbDDARx6XXFRsHX53owAREissbaMym4&#10;UYDFvPcww1z7Kx/oUkQjUgiHHBXYGJtcylBachiGviFO3Mm3DmOCrZG6xWsKd7V8yrJn6bDi1GCx&#10;oTdL5bn4cQo+Xjb1t+FjsXs/hZV/3R7k3lilHvvdcgoiUhf/xXf3Rqf52Rj+nkkX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nWPDDAAAA3AAAAA8AAAAAAAAAAAAA&#10;AAAAoQIAAGRycy9kb3ducmV2LnhtbFBLBQYAAAAABAAEAPkAAACRAwAAAAA=&#10;">
                  <v:stroke dashstyle="1 1"/>
                </v:line>
                <v:shape id="Text Box 14" o:spid="_x0000_s1070" type="#_x0000_t202" style="position:absolute;left:745;top:5523;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3+mcMA&#10;AADcAAAADwAAAGRycy9kb3ducmV2LnhtbERPTWvCQBC9F/wPywje6q5CSkndBCsVbeklGorHITsm&#10;odnZkN1q/PfdQsHbPN7nrPLRduJCg28da1jMFQjiypmWaw3lcfv4DMIHZIOdY9JwIw95NnlYYWrc&#10;lQu6HEItYgj7FDU0IfSplL5qyKKfu544cmc3WAwRDrU0A15juO3kUqknabHl2NBgT5uGqu/Dj9Xw&#10;br7ka1KqojqdzO5t+5mUy49E69l0XL+ACDSGu/jfvTdxvkrg75l4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3+mcMAAADcAAAADwAAAAAAAAAAAAAAAACYAgAAZHJzL2Rv&#10;d25yZXYueG1sUEsFBgAAAAAEAAQA9QAAAIgDAAAAAA==&#10;" filled="f" stroked="f">
                  <v:stroke dashstyle="1 1"/>
                  <v:textbox inset="0,0,0,0">
                    <w:txbxContent>
                      <w:p w:rsidR="00895792" w:rsidRDefault="00895792" w:rsidP="00912880">
                        <w:pPr>
                          <w:kinsoku w:val="0"/>
                          <w:wordWrap w:val="0"/>
                          <w:overflowPunct w:val="0"/>
                          <w:rPr>
                            <w:sz w:val="20"/>
                          </w:rPr>
                        </w:pPr>
                        <w:r>
                          <w:rPr>
                            <w:rFonts w:hint="eastAsia"/>
                            <w:sz w:val="20"/>
                          </w:rPr>
                          <w:t>裝</w:t>
                        </w:r>
                      </w:p>
                    </w:txbxContent>
                  </v:textbox>
                </v:shape>
                <v:shape id="Text Box 15" o:spid="_x0000_s1071" type="#_x0000_t202" style="position:absolute;left:745;top:8312;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9g7sMA&#10;AADcAAAADwAAAGRycy9kb3ducmV2LnhtbERPTWvCQBC9F/wPywi91d0KkZK6CVYUa+lFG8TjkB2T&#10;YHY2ZFeN/75bKHibx/uceT7YVlyp941jDa8TBYK4dKbhSkPxs355A+EDssHWMWm4k4c8Gz3NMTXu&#10;xju67kMlYgj7FDXUIXSplL6syaKfuI44cifXWwwR9pU0Pd5iuG3lVKmZtNhwbKixo2VN5Xl/sRq2&#10;5iA/kkLtyuPRbFbr76SYfiVaP4+HxTuIQEN4iP/dnybOVzP4eyZe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9g7sMAAADcAAAADwAAAAAAAAAAAAAAAACYAgAAZHJzL2Rv&#10;d25yZXYueG1sUEsFBgAAAAAEAAQA9QAAAIgDAAAAAA==&#10;" filled="f" stroked="f">
                  <v:stroke dashstyle="1 1"/>
                  <v:textbox inset="0,0,0,0">
                    <w:txbxContent>
                      <w:p w:rsidR="00895792" w:rsidRDefault="00895792" w:rsidP="00912880">
                        <w:pPr>
                          <w:kinsoku w:val="0"/>
                          <w:wordWrap w:val="0"/>
                          <w:overflowPunct w:val="0"/>
                          <w:rPr>
                            <w:sz w:val="20"/>
                          </w:rPr>
                        </w:pPr>
                        <w:r>
                          <w:rPr>
                            <w:rFonts w:hint="eastAsia"/>
                            <w:sz w:val="20"/>
                          </w:rPr>
                          <w:t>訂</w:t>
                        </w:r>
                      </w:p>
                    </w:txbxContent>
                  </v:textbox>
                </v:shape>
                <v:shape id="Text Box 16" o:spid="_x0000_s1072" type="#_x0000_t202" style="position:absolute;left:745;top:11127;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FdcIA&#10;AADcAAAADwAAAGRycy9kb3ducmV2LnhtbERPTWvCQBC9C/0PyxR6090KqSW6SpVKq3jRBvE4ZMck&#10;mJ0N2a3Gf+8Kgrd5vM+ZzDpbizO1vnKs4X2gQBDnzlRcaMj+lv1PED4gG6wdk4YreZhNX3oTTI27&#10;8JbOu1CIGMI+RQ1lCE0qpc9LsugHriGO3NG1FkOEbSFNi5cYbms5VOpDWqw4NpTY0KKk/LT7txpW&#10;Zi/nSaa2+eFgfr6XmyQbrhOt3167rzGIQF14ih/uXxPnqxHcn4kXy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M8V1wgAAANwAAAAPAAAAAAAAAAAAAAAAAJgCAABkcnMvZG93&#10;bnJldi54bWxQSwUGAAAAAAQABAD1AAAAhwMAAAAA&#10;" filled="f" stroked="f">
                  <v:stroke dashstyle="1 1"/>
                  <v:textbox inset="0,0,0,0">
                    <w:txbxContent>
                      <w:p w:rsidR="00895792" w:rsidRDefault="00895792" w:rsidP="00912880">
                        <w:pPr>
                          <w:kinsoku w:val="0"/>
                          <w:wordWrap w:val="0"/>
                          <w:overflowPunct w:val="0"/>
                          <w:rPr>
                            <w:sz w:val="20"/>
                          </w:rPr>
                        </w:pPr>
                        <w:r>
                          <w:rPr>
                            <w:rFonts w:hint="eastAsia"/>
                            <w:sz w:val="20"/>
                          </w:rPr>
                          <w:t>線</w:t>
                        </w:r>
                      </w:p>
                    </w:txbxContent>
                  </v:textbox>
                </v:shape>
                <w10:anchorlock/>
              </v:group>
            </w:pict>
          </mc:Fallback>
        </mc:AlternateContent>
      </w:r>
      <w:r w:rsidRPr="00AC77DF">
        <w:rPr>
          <w:noProof/>
          <w:lang w:val="en-US" w:eastAsia="zh-TW"/>
        </w:rPr>
        <mc:AlternateContent>
          <mc:Choice Requires="wps">
            <w:drawing>
              <wp:anchor distT="0" distB="0" distL="114300" distR="114300" simplePos="0" relativeHeight="251924480" behindDoc="0" locked="1" layoutInCell="0" allowOverlap="1" wp14:anchorId="6606DB29" wp14:editId="3012A7E3">
                <wp:simplePos x="0" y="0"/>
                <wp:positionH relativeFrom="column">
                  <wp:posOffset>-609600</wp:posOffset>
                </wp:positionH>
                <wp:positionV relativeFrom="page">
                  <wp:posOffset>443230</wp:posOffset>
                </wp:positionV>
                <wp:extent cx="636905" cy="396240"/>
                <wp:effectExtent l="0" t="0" r="0" b="0"/>
                <wp:wrapNone/>
                <wp:docPr id="108" name="文字方塊 10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832" w:rsidRDefault="00970832" w:rsidP="00912880">
                            <w:pPr>
                              <w:jc w:val="center"/>
                              <w:rPr>
                                <w:color w:val="000000"/>
                                <w:sz w:val="36"/>
                              </w:rPr>
                            </w:pPr>
                            <w:r>
                              <w:rPr>
                                <w:rFonts w:hint="eastAsia"/>
                                <w:color w:val="000000"/>
                                <w:sz w:val="36"/>
                              </w:rPr>
                              <w:t>正本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8" o:spid="_x0000_s1073" type="#_x0000_t202" style="position:absolute;left:0;text-align:left;margin-left:-48pt;margin-top:34.9pt;width:50.15pt;height:31.2pt;z-index:251924480;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" o:allowincell="f" filled="f">
                <v:textbox inset=".5mm,,.5mm">
                  <w:txbxContent>
                    <w:p w:rsidR="00895792" w:rsidRDefault="00895792" w:rsidP="00912880">
                      <w:pPr>
                        <w:jc w:val="center"/>
                        <w:rPr>
                          <w:color w:val="000000"/>
                          <w:sz w:val="36"/>
                        </w:rPr>
                      </w:pPr>
                      <w:r>
                        <w:rPr>
                          <w:rFonts w:hint="eastAsia"/>
                          <w:color w:val="000000"/>
                          <w:sz w:val="36"/>
                        </w:rPr>
                        <w:t>正本</w:t>
                      </w:r>
                    </w:p>
                  </w:txbxContent>
                </v:textbox>
                <w10:wrap anchory="page"/>
                <w10:anchorlock/>
              </v:shape>
            </w:pict>
          </mc:Fallback>
        </mc:AlternateContent>
      </w:r>
      <w:r w:rsidRPr="00AC77DF">
        <w:rPr>
          <w:noProof/>
          <w:lang w:val="en-US" w:eastAsia="zh-TW"/>
        </w:rPr>
        <mc:AlternateContent>
          <mc:Choice Requires="wps">
            <w:drawing>
              <wp:anchor distT="0" distB="0" distL="114300" distR="114300" simplePos="0" relativeHeight="251923456" behindDoc="0" locked="1" layoutInCell="0" allowOverlap="1" wp14:anchorId="56BF69D5" wp14:editId="084BFD54">
                <wp:simplePos x="0" y="0"/>
                <wp:positionH relativeFrom="column">
                  <wp:posOffset>-609600</wp:posOffset>
                </wp:positionH>
                <wp:positionV relativeFrom="page">
                  <wp:posOffset>442595</wp:posOffset>
                </wp:positionV>
                <wp:extent cx="636905" cy="396240"/>
                <wp:effectExtent l="0" t="0" r="0" b="0"/>
                <wp:wrapNone/>
                <wp:docPr id="109" name="文字方塊 10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832" w:rsidRDefault="00970832" w:rsidP="00912880">
                            <w:pPr>
                              <w:jc w:val="center"/>
                              <w:rPr>
                                <w:color w:val="000000"/>
                                <w:sz w:val="36"/>
                              </w:rPr>
                            </w:pPr>
                            <w:r>
                              <w:rPr>
                                <w:rFonts w:hint="eastAsia"/>
                                <w:color w:val="000000"/>
                                <w:sz w:val="36"/>
                              </w:rPr>
                              <w:t>副本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9" o:spid="_x0000_s1074" type="#_x0000_t202" style="position:absolute;left:0;text-align:left;margin-left:-48pt;margin-top:34.85pt;width:50.15pt;height:31.2pt;z-index:251923456;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" o:allowincell="f" filled="f">
                <v:textbox inset=".5mm,,.5mm">
                  <w:txbxContent>
                    <w:p w:rsidR="00895792" w:rsidRDefault="00895792" w:rsidP="00912880">
                      <w:pPr>
                        <w:jc w:val="center"/>
                        <w:rPr>
                          <w:color w:val="000000"/>
                          <w:sz w:val="36"/>
                        </w:rPr>
                      </w:pPr>
                      <w:r>
                        <w:rPr>
                          <w:rFonts w:hint="eastAsia"/>
                          <w:color w:val="000000"/>
                          <w:sz w:val="36"/>
                        </w:rPr>
                        <w:t>副本</w:t>
                      </w:r>
                    </w:p>
                  </w:txbxContent>
                </v:textbox>
                <w10:wrap anchory="page"/>
                <w10:anchorlock/>
              </v:shape>
            </w:pict>
          </mc:Fallback>
        </mc:AlternateContent>
      </w:r>
      <w:r w:rsidRPr="00AC77DF">
        <w:rPr>
          <w:noProof/>
          <w:lang w:val="en-US" w:eastAsia="zh-TW"/>
        </w:rPr>
        <mc:AlternateContent>
          <mc:Choice Requires="wps">
            <w:drawing>
              <wp:anchor distT="0" distB="0" distL="114300" distR="114300" simplePos="0" relativeHeight="251922432" behindDoc="0" locked="1" layoutInCell="0" allowOverlap="1" wp14:anchorId="66423709" wp14:editId="154644F7">
                <wp:simplePos x="0" y="0"/>
                <wp:positionH relativeFrom="column">
                  <wp:posOffset>2819400</wp:posOffset>
                </wp:positionH>
                <wp:positionV relativeFrom="page">
                  <wp:posOffset>443230</wp:posOffset>
                </wp:positionV>
                <wp:extent cx="1440180" cy="360045"/>
                <wp:effectExtent l="0" t="0" r="0" b="0"/>
                <wp:wrapNone/>
                <wp:docPr id="110" name="文字方塊 11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970832" w:rsidRDefault="00970832" w:rsidP="00912880">
                            <w:r>
                              <w:rPr>
                                <w:rFonts w:hint="eastAsia"/>
                              </w:rPr>
                              <w:t>院長王○○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0" o:spid="_x0000_s1075" type="#_x0000_t202" style="position:absolute;left:0;text-align:left;margin-left:222pt;margin-top:34.9pt;width:113.4pt;height:28.35pt;z-index:251922432;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" o:allowincell="f">
                <v:textbox>
                  <w:txbxContent>
                    <w:p w:rsidR="00895792" w:rsidRDefault="00895792" w:rsidP="00912880">
                      <w:r>
                        <w:rPr>
                          <w:rFonts w:hint="eastAsia"/>
                        </w:rPr>
                        <w:t>院長王○○</w:t>
                      </w:r>
                    </w:p>
                  </w:txbxContent>
                </v:textbox>
                <w10:wrap anchory="page"/>
                <w10:anchorlock/>
              </v:shape>
            </w:pict>
          </mc:Fallback>
        </mc:AlternateContent>
      </w:r>
      <w:r w:rsidRPr="00AC77DF">
        <w:rPr>
          <w:noProof/>
          <w:lang w:val="en-US" w:eastAsia="zh-TW"/>
        </w:rPr>
        <mc:AlternateContent>
          <mc:Choice Requires="wps">
            <w:drawing>
              <wp:anchor distT="0" distB="0" distL="114300" distR="114300" simplePos="0" relativeHeight="251921408" behindDoc="0" locked="1" layoutInCell="0" allowOverlap="1" wp14:anchorId="43D07266" wp14:editId="2EC19583">
                <wp:simplePos x="0" y="0"/>
                <wp:positionH relativeFrom="column">
                  <wp:posOffset>1381125</wp:posOffset>
                </wp:positionH>
                <wp:positionV relativeFrom="page">
                  <wp:posOffset>443230</wp:posOffset>
                </wp:positionV>
                <wp:extent cx="1440180" cy="360045"/>
                <wp:effectExtent l="0" t="0" r="0" b="0"/>
                <wp:wrapNone/>
                <wp:docPr id="111" name="文字方塊 11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970832" w:rsidRDefault="00970832" w:rsidP="00912880">
                            <w:pPr>
                              <w:rPr>
                                <w:rFonts w:ascii="標楷體"/>
                              </w:rPr>
                            </w:pPr>
                            <w:r>
                              <w:rPr>
                                <w:rFonts w:ascii="標楷體" w:hint="eastAsia"/>
                              </w:rPr>
                              <w:t>函;函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1" o:spid="_x0000_s1076" type="#_x0000_t202" style="position:absolute;left:0;text-align:left;margin-left:108.75pt;margin-top:34.9pt;width:113.4pt;height:28.35pt;z-index:251921408;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" o:allowincell="f">
                <v:textbox>
                  <w:txbxContent>
                    <w:p w:rsidR="00895792" w:rsidRDefault="00895792" w:rsidP="00912880">
                      <w:pPr>
                        <w:rPr>
                          <w:rFonts w:ascii="標楷體"/>
                        </w:rPr>
                      </w:pPr>
                      <w:r>
                        <w:rPr>
                          <w:rFonts w:ascii="標楷體" w:hint="eastAsia"/>
                        </w:rPr>
                        <w:t>函;函</w:t>
                      </w:r>
                    </w:p>
                  </w:txbxContent>
                </v:textbox>
                <w10:wrap anchory="page"/>
                <w10:anchorlock/>
              </v:shape>
            </w:pict>
          </mc:Fallback>
        </mc:AlternateContent>
      </w:r>
    </w:p>
    <w:tbl>
      <w:tblPr>
        <w:tblStyle w:val="aff5"/>
        <w:tblW w:w="0" w:type="auto"/>
        <w:tblInd w:w="113" w:type="dxa"/>
        <w:tblLook w:val="04A0" w:firstRow="1" w:lastRow="0" w:firstColumn="1" w:lastColumn="0" w:noHBand="0" w:noVBand="1"/>
      </w:tblPr>
      <w:tblGrid>
        <w:gridCol w:w="6544"/>
      </w:tblGrid>
      <w:tr w:rsidR="005109C4" w:rsidTr="0039290C">
        <w:trPr>
          <w:trHeight w:val="428"/>
        </w:trPr>
        <w:tc>
          <w:tcPr>
            <w:tcW w:w="6544" w:type="dxa"/>
          </w:tcPr>
          <w:p w:rsidR="005109C4" w:rsidRPr="005109C4" w:rsidRDefault="005109C4" w:rsidP="003372F5">
            <w:pPr>
              <w:spacing w:line="360" w:lineRule="exact"/>
              <w:rPr>
                <w:lang w:val="x-none"/>
              </w:rPr>
            </w:pPr>
            <w:bookmarkStart w:id="168" w:name="_Toc527731041"/>
            <w:r w:rsidRPr="00AC77DF">
              <w:rPr>
                <w:b/>
                <w:lang w:val="x-none"/>
              </w:rPr>
              <w:t>相關國際人權公約：</w:t>
            </w:r>
            <w:r w:rsidRPr="00AC77DF">
              <w:t>公民與政治權利國際公約第</w:t>
            </w:r>
            <w:r w:rsidRPr="00AC77DF">
              <w:t>14</w:t>
            </w:r>
            <w:r w:rsidRPr="00AC77DF">
              <w:t>條</w:t>
            </w:r>
          </w:p>
        </w:tc>
      </w:tr>
    </w:tbl>
    <w:p w:rsidR="003807A5" w:rsidRPr="00AC77DF" w:rsidRDefault="002D5C1C" w:rsidP="00E5718D">
      <w:pPr>
        <w:pStyle w:val="afff1"/>
        <w:spacing w:before="360" w:after="360"/>
      </w:pPr>
      <w:r>
        <w:rPr>
          <w:rFonts w:hint="eastAsia"/>
        </w:rPr>
        <w:t>(一)</w:t>
      </w:r>
      <w:r w:rsidR="003807A5" w:rsidRPr="00AC77DF">
        <w:t>案情簡述</w:t>
      </w:r>
      <w:bookmarkEnd w:id="168"/>
    </w:p>
    <w:p w:rsidR="003807A5" w:rsidRPr="00AC77DF" w:rsidRDefault="003807A5" w:rsidP="00B7222B">
      <w:pPr>
        <w:pStyle w:val="1---"/>
        <w:ind w:firstLine="480"/>
        <w:rPr>
          <w:b/>
          <w:noProof/>
        </w:rPr>
      </w:pPr>
      <w:r w:rsidRPr="00AC77DF">
        <w:rPr>
          <w:noProof/>
        </w:rPr>
        <w:t>據社團法人台灣冤獄平反協會陳訴，屏東縣政府警察局內埔分局辦理劉</w:t>
      </w:r>
      <w:r w:rsidRPr="00937E63">
        <w:rPr>
          <w:rFonts w:asciiTheme="majorEastAsia" w:eastAsiaTheme="majorEastAsia" w:hAnsiTheme="majorEastAsia"/>
        </w:rPr>
        <w:t>○○</w:t>
      </w:r>
      <w:r w:rsidRPr="00AC77DF">
        <w:rPr>
          <w:noProof/>
        </w:rPr>
        <w:t>被訴傷害致死案件，偵辦過程涉有諸多違失；臺灣高等法院高雄分院僅憑單方證人證言，率以判決劉</w:t>
      </w:r>
      <w:r w:rsidRPr="00937E63">
        <w:rPr>
          <w:rFonts w:asciiTheme="majorEastAsia" w:eastAsiaTheme="majorEastAsia" w:hAnsiTheme="majorEastAsia"/>
        </w:rPr>
        <w:t>○○</w:t>
      </w:r>
      <w:r w:rsidRPr="00AC77DF">
        <w:rPr>
          <w:noProof/>
        </w:rPr>
        <w:lastRenderedPageBreak/>
        <w:t>有罪，經提起上訴，復遭最高法院判決駁回，涉有影響權益情事，爰經監察委員立案調查。</w:t>
      </w:r>
    </w:p>
    <w:p w:rsidR="003807A5" w:rsidRPr="00AC77DF" w:rsidRDefault="002D5C1C" w:rsidP="00E5718D">
      <w:pPr>
        <w:pStyle w:val="afff1"/>
        <w:spacing w:before="360" w:after="360"/>
      </w:pPr>
      <w:bookmarkStart w:id="169" w:name="_Toc527731042"/>
      <w:r>
        <w:rPr>
          <w:rFonts w:hint="eastAsia"/>
        </w:rPr>
        <w:t>(二)</w:t>
      </w:r>
      <w:r w:rsidR="003807A5" w:rsidRPr="00AC77DF">
        <w:t>監察院調查發現與建議</w:t>
      </w:r>
      <w:bookmarkEnd w:id="169"/>
    </w:p>
    <w:p w:rsidR="003807A5" w:rsidRPr="00AC77DF" w:rsidRDefault="00383BEE" w:rsidP="00D92DAE">
      <w:pPr>
        <w:pStyle w:val="1--13"/>
        <w:spacing w:before="180" w:after="180"/>
      </w:pPr>
      <w:r w:rsidRPr="008E1832">
        <w:rPr>
          <w:rFonts w:hint="eastAsia"/>
        </w:rPr>
        <w:t>˙</w:t>
      </w:r>
      <w:r w:rsidR="003807A5" w:rsidRPr="00AC77DF">
        <w:t>指認及保管物證等違失</w:t>
      </w:r>
    </w:p>
    <w:p w:rsidR="003807A5" w:rsidRPr="00AC77DF" w:rsidRDefault="003807A5" w:rsidP="00B7222B">
      <w:pPr>
        <w:pStyle w:val="1---"/>
        <w:ind w:firstLine="480"/>
        <w:rPr>
          <w:lang w:eastAsia="zh-TW"/>
        </w:rPr>
      </w:pPr>
      <w:r w:rsidRPr="00AC77DF">
        <w:t>屏東縣政府警察局內埔分局承辦員警違反警政署頒布之不得以單一相片提供指認等多項指認程序規定，且該分局員警未妥善保管相關物證等卷證資料，以致遺失。</w:t>
      </w:r>
    </w:p>
    <w:p w:rsidR="003807A5" w:rsidRPr="00AC77DF" w:rsidRDefault="00383BEE" w:rsidP="00D92DAE">
      <w:pPr>
        <w:pStyle w:val="1--13"/>
        <w:spacing w:before="180" w:after="180"/>
      </w:pPr>
      <w:r w:rsidRPr="008E1832">
        <w:rPr>
          <w:rFonts w:hint="eastAsia"/>
        </w:rPr>
        <w:t>˙</w:t>
      </w:r>
      <w:r w:rsidR="003807A5" w:rsidRPr="00AC77DF">
        <w:t>宜整合研訂指認程序</w:t>
      </w:r>
    </w:p>
    <w:p w:rsidR="003807A5" w:rsidRPr="00AC77DF" w:rsidRDefault="003807A5" w:rsidP="00B7222B">
      <w:pPr>
        <w:pStyle w:val="1---"/>
        <w:ind w:firstLine="480"/>
      </w:pPr>
      <w:r w:rsidRPr="00AC77DF">
        <w:t>行政院宜整</w:t>
      </w:r>
      <w:r w:rsidRPr="00B7222B">
        <w:t>合目前各機關指認作業程序規範，研議訂定一致性且完備之指</w:t>
      </w:r>
      <w:r w:rsidRPr="00AC77DF">
        <w:t>認程序，以資依循，並提高指認之正確性，預防發生指認錯誤之情事，以利兼顧刑事訴訟程序「保障人權」及「發現真實」之目的。</w:t>
      </w:r>
      <w:r w:rsidRPr="00AC77DF">
        <w:t xml:space="preserve"> </w:t>
      </w:r>
    </w:p>
    <w:p w:rsidR="003807A5" w:rsidRPr="00AC77DF" w:rsidRDefault="003807A5" w:rsidP="00B7222B">
      <w:pPr>
        <w:pStyle w:val="1---"/>
        <w:ind w:firstLine="480"/>
      </w:pPr>
      <w:r w:rsidRPr="00AC77DF">
        <w:t>司法院宜審慎研議參照刑事訴訟法第</w:t>
      </w:r>
      <w:r w:rsidRPr="00AC77DF">
        <w:t>156</w:t>
      </w:r>
      <w:r w:rsidRPr="00AC77DF">
        <w:t>條第</w:t>
      </w:r>
      <w:r w:rsidRPr="00AC77DF">
        <w:t>1</w:t>
      </w:r>
      <w:r w:rsidRPr="00AC77DF">
        <w:t>項所定違法自白不具證據能力之規範意旨，於刑事訴訟法增訂規範指認程序違法之效力。</w:t>
      </w:r>
      <w:r w:rsidRPr="00AC77DF">
        <w:t xml:space="preserve"> </w:t>
      </w:r>
    </w:p>
    <w:p w:rsidR="003807A5" w:rsidRPr="00AC77DF" w:rsidRDefault="003807A5" w:rsidP="00B7222B">
      <w:pPr>
        <w:pStyle w:val="1---"/>
        <w:ind w:firstLine="480"/>
      </w:pPr>
      <w:r w:rsidRPr="00AC77DF">
        <w:t>本案臺灣高等法院高雄分院確定判決理由擷取林</w:t>
      </w:r>
      <w:r w:rsidRPr="00937E63">
        <w:rPr>
          <w:rFonts w:asciiTheme="majorEastAsia" w:eastAsiaTheme="majorEastAsia" w:hAnsiTheme="majorEastAsia"/>
        </w:rPr>
        <w:t>○○</w:t>
      </w:r>
      <w:r w:rsidRPr="00AC77DF">
        <w:t>等人之證詞中「劉</w:t>
      </w:r>
      <w:r w:rsidRPr="00937E63">
        <w:rPr>
          <w:rFonts w:asciiTheme="majorEastAsia" w:eastAsiaTheme="majorEastAsia" w:hAnsiTheme="majorEastAsia"/>
        </w:rPr>
        <w:t>○○</w:t>
      </w:r>
      <w:r w:rsidRPr="00AC77DF">
        <w:t>毆打包</w:t>
      </w:r>
      <w:r w:rsidRPr="00937E63">
        <w:rPr>
          <w:rFonts w:asciiTheme="majorEastAsia" w:eastAsiaTheme="majorEastAsia" w:hAnsiTheme="majorEastAsia"/>
        </w:rPr>
        <w:t>○○」</w:t>
      </w:r>
      <w:r w:rsidRPr="00AC77DF">
        <w:t>之證詞並認定互證相符，其採證法則顯與刑事訴訟法第</w:t>
      </w:r>
      <w:r w:rsidRPr="00AC77DF">
        <w:t>154</w:t>
      </w:r>
      <w:r w:rsidRPr="00AC77DF">
        <w:t>條第</w:t>
      </w:r>
      <w:r w:rsidRPr="00AC77DF">
        <w:t>2</w:t>
      </w:r>
      <w:r w:rsidRPr="00AC77DF">
        <w:t>項規定證據裁判法則及被害人證述補強法則未合，並有刑事訴訟法第</w:t>
      </w:r>
      <w:r w:rsidRPr="00AC77DF">
        <w:t>378</w:t>
      </w:r>
      <w:r w:rsidRPr="00AC77DF">
        <w:t>條判決違背法令、</w:t>
      </w:r>
      <w:r w:rsidRPr="00E3301E">
        <w:rPr>
          <w:spacing w:val="-4"/>
        </w:rPr>
        <w:t>第</w:t>
      </w:r>
      <w:r w:rsidRPr="00AC77DF">
        <w:t>37</w:t>
      </w:r>
      <w:r w:rsidRPr="00E3301E">
        <w:rPr>
          <w:spacing w:val="-4"/>
        </w:rPr>
        <w:t>9</w:t>
      </w:r>
      <w:r w:rsidRPr="00AC77DF">
        <w:t>條</w:t>
      </w:r>
      <w:r w:rsidRPr="00E3301E">
        <w:rPr>
          <w:spacing w:val="-4"/>
        </w:rPr>
        <w:t>第</w:t>
      </w:r>
      <w:r w:rsidRPr="00AC77DF">
        <w:t>1</w:t>
      </w:r>
      <w:r w:rsidRPr="00E3301E">
        <w:rPr>
          <w:spacing w:val="-4"/>
        </w:rPr>
        <w:t>0</w:t>
      </w:r>
      <w:r w:rsidRPr="00AC77DF">
        <w:t>款應於審判期日調查之證據未予調查及</w:t>
      </w:r>
      <w:r w:rsidRPr="00E3301E">
        <w:rPr>
          <w:spacing w:val="-4"/>
        </w:rPr>
        <w:t>第</w:t>
      </w:r>
      <w:r w:rsidRPr="00AC77DF">
        <w:t>14</w:t>
      </w:r>
      <w:r w:rsidRPr="00AC77DF">
        <w:t>款判決理由不備及矛盾之違法。</w:t>
      </w:r>
      <w:r w:rsidRPr="00AC77DF">
        <w:t xml:space="preserve"> </w:t>
      </w:r>
    </w:p>
    <w:p w:rsidR="003807A5" w:rsidRPr="00AC77DF" w:rsidRDefault="003807A5" w:rsidP="00B7222B">
      <w:pPr>
        <w:pStyle w:val="1---"/>
        <w:ind w:firstLine="480"/>
      </w:pPr>
      <w:r w:rsidRPr="00AC77DF">
        <w:lastRenderedPageBreak/>
        <w:t>本案臺灣高等法院高雄分院確定判決採認檢察官未命林</w:t>
      </w:r>
      <w:r w:rsidRPr="00937E63">
        <w:rPr>
          <w:rFonts w:asciiTheme="majorEastAsia" w:eastAsiaTheme="majorEastAsia" w:hAnsiTheme="majorEastAsia"/>
        </w:rPr>
        <w:t>○○</w:t>
      </w:r>
      <w:r w:rsidRPr="00AC77DF">
        <w:t>等證人具結之證詞，採證法則與刑事訴訟法</w:t>
      </w:r>
      <w:r w:rsidRPr="00E3301E">
        <w:rPr>
          <w:spacing w:val="-4"/>
        </w:rPr>
        <w:t>第</w:t>
      </w:r>
      <w:r w:rsidRPr="00AC77DF">
        <w:t>15</w:t>
      </w:r>
      <w:r w:rsidRPr="00E3301E">
        <w:rPr>
          <w:spacing w:val="-4"/>
        </w:rPr>
        <w:t>4</w:t>
      </w:r>
      <w:r w:rsidRPr="00AC77DF">
        <w:t>條第</w:t>
      </w:r>
      <w:r w:rsidRPr="00AC77DF">
        <w:t>2</w:t>
      </w:r>
      <w:r w:rsidRPr="00AC77DF">
        <w:t>項規定證據裁判法則未合，而有刑事訴訟法</w:t>
      </w:r>
      <w:r w:rsidRPr="00E3301E">
        <w:rPr>
          <w:spacing w:val="-4"/>
        </w:rPr>
        <w:t>第</w:t>
      </w:r>
      <w:r w:rsidRPr="00AC77DF">
        <w:t>37</w:t>
      </w:r>
      <w:r w:rsidRPr="00E3301E">
        <w:rPr>
          <w:spacing w:val="-4"/>
        </w:rPr>
        <w:t>8</w:t>
      </w:r>
      <w:r w:rsidRPr="00AC77DF">
        <w:t>條判決適用法則不當之違法。</w:t>
      </w:r>
    </w:p>
    <w:p w:rsidR="003807A5" w:rsidRPr="00AC77DF" w:rsidRDefault="003807A5" w:rsidP="00B7222B">
      <w:pPr>
        <w:pStyle w:val="1---"/>
        <w:ind w:firstLine="480"/>
        <w:rPr>
          <w:b/>
        </w:rPr>
      </w:pPr>
      <w:bookmarkStart w:id="170" w:name="_Toc424819034"/>
      <w:bookmarkStart w:id="171" w:name="_Toc474256320"/>
      <w:bookmarkStart w:id="172" w:name="_Toc474429055"/>
      <w:bookmarkStart w:id="173" w:name="_Toc474490186"/>
      <w:r w:rsidRPr="00AC77DF">
        <w:t>依據本案調查意見</w:t>
      </w:r>
      <w:r w:rsidRPr="00AC77DF">
        <w:rPr>
          <w:vertAlign w:val="superscript"/>
        </w:rPr>
        <w:footnoteReference w:id="65"/>
      </w:r>
      <w:r w:rsidRPr="00AC77DF">
        <w:t>，監察院函請行政院、司法院、屏東縣政府警察局等機關檢討改進見復，並函送法務部轉請檢察總長研酌提起非常上訴。</w:t>
      </w:r>
      <w:r w:rsidRPr="00AC77DF">
        <w:t xml:space="preserve">   </w:t>
      </w:r>
      <w:bookmarkStart w:id="174" w:name="_Toc474256321"/>
      <w:bookmarkStart w:id="175" w:name="_Toc474429056"/>
      <w:bookmarkStart w:id="176" w:name="_Toc474490187"/>
      <w:bookmarkStart w:id="177" w:name="_Toc424819035"/>
      <w:bookmarkEnd w:id="170"/>
      <w:bookmarkEnd w:id="171"/>
      <w:bookmarkEnd w:id="172"/>
      <w:bookmarkEnd w:id="173"/>
    </w:p>
    <w:p w:rsidR="003807A5" w:rsidRPr="00AC77DF" w:rsidRDefault="002D5C1C" w:rsidP="00E5718D">
      <w:pPr>
        <w:pStyle w:val="afff1"/>
        <w:spacing w:before="360" w:after="360"/>
      </w:pPr>
      <w:bookmarkStart w:id="178" w:name="_Toc527731043"/>
      <w:bookmarkEnd w:id="174"/>
      <w:bookmarkEnd w:id="175"/>
      <w:bookmarkEnd w:id="176"/>
      <w:bookmarkEnd w:id="177"/>
      <w:r>
        <w:rPr>
          <w:rFonts w:hint="eastAsia"/>
        </w:rPr>
        <w:t>(三)</w:t>
      </w:r>
      <w:r w:rsidRPr="00AC77DF">
        <w:t>政府機關改善情形</w:t>
      </w:r>
      <w:bookmarkEnd w:id="178"/>
    </w:p>
    <w:p w:rsidR="003807A5" w:rsidRPr="00AC77DF" w:rsidRDefault="003807A5" w:rsidP="00E3301E">
      <w:pPr>
        <w:pStyle w:val="1---"/>
        <w:ind w:leftChars="100" w:left="600" w:hangingChars="150" w:hanging="360"/>
        <w:jc w:val="distribute"/>
      </w:pPr>
      <w:r w:rsidRPr="00AC77DF">
        <w:t>1</w:t>
      </w:r>
      <w:r w:rsidRPr="00AC77DF">
        <w:t>、</w:t>
      </w:r>
      <w:r w:rsidRPr="00E3301E">
        <w:rPr>
          <w:spacing w:val="-4"/>
        </w:rPr>
        <w:t>屏東縣政府警察局函復，本案承辦員警已記申誡</w:t>
      </w:r>
      <w:r w:rsidRPr="00E3301E">
        <w:rPr>
          <w:spacing w:val="-4"/>
        </w:rPr>
        <w:t>2</w:t>
      </w:r>
      <w:r w:rsidRPr="00E3301E">
        <w:rPr>
          <w:spacing w:val="-4"/>
        </w:rPr>
        <w:t>次處分。</w:t>
      </w:r>
    </w:p>
    <w:p w:rsidR="003807A5" w:rsidRPr="00AC77DF" w:rsidRDefault="003807A5" w:rsidP="007373B4">
      <w:pPr>
        <w:pStyle w:val="1---"/>
        <w:ind w:leftChars="100" w:left="600" w:hangingChars="150" w:hanging="360"/>
      </w:pPr>
      <w:r w:rsidRPr="00AC77DF">
        <w:t>2</w:t>
      </w:r>
      <w:r w:rsidRPr="00AC77DF">
        <w:t>、法務部邀集行政院海岸巡防署、國防部憲兵指揮部及調查局召開研商「指認程序規範之一致性原則及作法」會議，規範於各機關作業程序、作業規範程序要領或作業要點等行政規則。</w:t>
      </w:r>
      <w:r w:rsidRPr="00AC77DF">
        <w:t xml:space="preserve"> </w:t>
      </w:r>
    </w:p>
    <w:p w:rsidR="003807A5" w:rsidRPr="00AC77DF" w:rsidRDefault="003807A5" w:rsidP="007373B4">
      <w:pPr>
        <w:pStyle w:val="1---"/>
        <w:ind w:leftChars="100" w:left="600" w:hangingChars="150" w:hanging="360"/>
      </w:pPr>
      <w:r w:rsidRPr="00AC77DF">
        <w:t>3</w:t>
      </w:r>
      <w:r w:rsidRPr="00AC77DF">
        <w:t>、司法院表示，如權責機關已建構合乎法律正當程序原則之法定指證程序，則指認如係以違背法定程序之方式為之時，法院本應依前開規定辦理，無另行於刑事訴訟法增訂規範指認程序違法效力之必要。</w:t>
      </w:r>
      <w:r w:rsidRPr="00AC77DF">
        <w:t xml:space="preserve"> </w:t>
      </w:r>
    </w:p>
    <w:p w:rsidR="003807A5" w:rsidRPr="00AC77DF" w:rsidRDefault="003807A5" w:rsidP="007373B4">
      <w:pPr>
        <w:pStyle w:val="1---"/>
        <w:ind w:leftChars="100" w:left="600" w:hangingChars="150" w:hanging="360"/>
        <w:rPr>
          <w:kern w:val="0"/>
        </w:rPr>
      </w:pPr>
      <w:r w:rsidRPr="00AC77DF">
        <w:t>4</w:t>
      </w:r>
      <w:r w:rsidRPr="00AC77DF">
        <w:t>、法務部函復</w:t>
      </w:r>
      <w:r w:rsidR="00511936" w:rsidRPr="00E62FE3">
        <w:rPr>
          <w:rFonts w:hint="eastAsia"/>
        </w:rPr>
        <w:t>最高檢察署</w:t>
      </w:r>
      <w:r w:rsidR="00511936" w:rsidRPr="0025002C">
        <w:rPr>
          <w:rFonts w:hint="eastAsia"/>
        </w:rPr>
        <w:t>（簡稱</w:t>
      </w:r>
      <w:r w:rsidR="00511936" w:rsidRPr="00E62FE3">
        <w:rPr>
          <w:rFonts w:hint="eastAsia"/>
        </w:rPr>
        <w:t>最高檢</w:t>
      </w:r>
      <w:r w:rsidR="00511936" w:rsidRPr="0025002C">
        <w:rPr>
          <w:rFonts w:hint="eastAsia"/>
        </w:rPr>
        <w:t>）</w:t>
      </w:r>
      <w:r w:rsidRPr="00AC77DF">
        <w:t>檢察總長提起非常上訴。惟最高法院</w:t>
      </w:r>
      <w:r w:rsidRPr="00AC77DF">
        <w:t>106</w:t>
      </w:r>
      <w:r w:rsidRPr="00AC77DF">
        <w:t>年</w:t>
      </w:r>
      <w:r w:rsidRPr="00AC77DF">
        <w:t>6</w:t>
      </w:r>
      <w:r w:rsidRPr="00AC77DF">
        <w:t>月</w:t>
      </w:r>
      <w:r w:rsidRPr="00AC77DF">
        <w:t>15</w:t>
      </w:r>
      <w:r w:rsidRPr="00AC77DF">
        <w:t>日</w:t>
      </w:r>
      <w:r w:rsidRPr="00AC77DF">
        <w:t>106</w:t>
      </w:r>
      <w:r w:rsidRPr="00AC77DF">
        <w:rPr>
          <w:kern w:val="0"/>
        </w:rPr>
        <w:t>年度台非字第</w:t>
      </w:r>
      <w:r w:rsidRPr="00AC77DF">
        <w:rPr>
          <w:kern w:val="0"/>
        </w:rPr>
        <w:t>108</w:t>
      </w:r>
      <w:r w:rsidRPr="00AC77DF">
        <w:rPr>
          <w:kern w:val="0"/>
        </w:rPr>
        <w:t>號判決上訴駁回。</w:t>
      </w:r>
    </w:p>
    <w:p w:rsidR="003807A5" w:rsidRPr="00AC77DF" w:rsidRDefault="002D5C1C" w:rsidP="00776994">
      <w:pPr>
        <w:pStyle w:val="afff1"/>
        <w:spacing w:before="360" w:afterLines="50" w:after="180"/>
      </w:pPr>
      <w:bookmarkStart w:id="179" w:name="_Toc527731044"/>
      <w:r>
        <w:rPr>
          <w:rFonts w:hint="eastAsia"/>
        </w:rPr>
        <w:lastRenderedPageBreak/>
        <w:t>(四)</w:t>
      </w:r>
      <w:r w:rsidR="003807A5" w:rsidRPr="00AC77DF">
        <w:t>案件進展</w:t>
      </w:r>
      <w:bookmarkEnd w:id="179"/>
    </w:p>
    <w:p w:rsidR="003807A5" w:rsidRDefault="003807A5" w:rsidP="00B7222B">
      <w:pPr>
        <w:pStyle w:val="1---"/>
        <w:ind w:firstLine="480"/>
        <w:rPr>
          <w:lang w:eastAsia="zh-TW"/>
        </w:rPr>
      </w:pPr>
      <w:r w:rsidRPr="00AC77DF">
        <w:t>本案監察院仍持續追蹤相關機關改進情形。</w:t>
      </w:r>
    </w:p>
    <w:p w:rsidR="00776994" w:rsidRPr="00AC77DF" w:rsidRDefault="00776994" w:rsidP="00B7222B">
      <w:pPr>
        <w:pStyle w:val="1---"/>
        <w:ind w:firstLine="480"/>
        <w:rPr>
          <w:lang w:eastAsia="zh-TW"/>
        </w:rPr>
      </w:pPr>
    </w:p>
    <w:p w:rsidR="003807A5" w:rsidRPr="00BF4102" w:rsidRDefault="003807A5" w:rsidP="00BF4102">
      <w:pPr>
        <w:pStyle w:val="11-"/>
        <w:spacing w:before="72" w:afterLines="70" w:after="252"/>
        <w:rPr>
          <w:sz w:val="32"/>
          <w:szCs w:val="32"/>
        </w:rPr>
      </w:pPr>
      <w:bookmarkStart w:id="180" w:name="_Toc535228348"/>
      <w:bookmarkStart w:id="181" w:name="_Toc4058759"/>
      <w:bookmarkStart w:id="182" w:name="_Toc527731045"/>
      <w:r w:rsidRPr="00BF4102">
        <w:rPr>
          <w:sz w:val="32"/>
          <w:szCs w:val="32"/>
        </w:rPr>
        <w:t>三、司法審判案件</w:t>
      </w:r>
      <w:bookmarkEnd w:id="180"/>
      <w:bookmarkEnd w:id="181"/>
    </w:p>
    <w:p w:rsidR="003807A5" w:rsidRPr="00AC77DF" w:rsidRDefault="003807A5" w:rsidP="00B7222B">
      <w:pPr>
        <w:pStyle w:val="1---"/>
        <w:ind w:firstLine="480"/>
      </w:pPr>
      <w:r w:rsidRPr="00AC77DF">
        <w:t>依照聯合國公布公民與政治權利國際公約第</w:t>
      </w:r>
      <w:r w:rsidRPr="00AC77DF">
        <w:t>32</w:t>
      </w:r>
      <w:r w:rsidRPr="00AC77DF">
        <w:t>號一般性意見第</w:t>
      </w:r>
      <w:r w:rsidRPr="00AC77DF">
        <w:t>2</w:t>
      </w:r>
      <w:r w:rsidRPr="00AC77DF">
        <w:t>點指出：在法院和法</w:t>
      </w:r>
      <w:r w:rsidRPr="00AC77DF">
        <w:rPr>
          <w:spacing w:val="4"/>
        </w:rPr>
        <w:t>庭前一律平等和獲得公正審判的權利是人權保護的一項關鍵內容</w:t>
      </w:r>
      <w:r w:rsidRPr="00AC77DF">
        <w:t>，是保障法治的一項程序手段。公民與政治權利國際公約第</w:t>
      </w:r>
      <w:r w:rsidRPr="00AC77DF">
        <w:t>14</w:t>
      </w:r>
      <w:r w:rsidRPr="00AC77DF">
        <w:t>條旨在確保司法制度的適當運作，並為此保障一系列具體權利。</w:t>
      </w:r>
    </w:p>
    <w:p w:rsidR="003807A5" w:rsidRPr="00AC77DF" w:rsidRDefault="003807A5" w:rsidP="00B7222B">
      <w:pPr>
        <w:pStyle w:val="1---"/>
        <w:ind w:firstLine="480"/>
      </w:pPr>
      <w:r w:rsidRPr="00AC77DF">
        <w:t>上開一般性意見第</w:t>
      </w:r>
      <w:r w:rsidRPr="00AC77DF">
        <w:t>5</w:t>
      </w:r>
      <w:r w:rsidRPr="00AC77DF">
        <w:t>點認為：雖然對於公民與政治權利國際公約第</w:t>
      </w:r>
      <w:r w:rsidRPr="00AC77DF">
        <w:t>14</w:t>
      </w:r>
      <w:r w:rsidRPr="00AC77DF">
        <w:t>條的某些條文作出保留是可被接受的，但是，對公正審判權的一般保留是不符合「公約」的目標和宗旨。該一般性意見接著於第</w:t>
      </w:r>
      <w:r w:rsidRPr="00AC77DF">
        <w:t>6</w:t>
      </w:r>
      <w:r w:rsidRPr="00AC77DF">
        <w:t>點指出：公正審判權不應適用使不可減免權的保護受到限制的減免措施；因此，在任何時候，均應禁止偏離包括無罪推定的公正審判原則。</w:t>
      </w:r>
    </w:p>
    <w:p w:rsidR="003807A5" w:rsidRPr="00AC77DF" w:rsidRDefault="003807A5" w:rsidP="00B7222B">
      <w:pPr>
        <w:pStyle w:val="1---"/>
        <w:ind w:firstLine="496"/>
        <w:rPr>
          <w:lang w:eastAsia="zh-TW"/>
        </w:rPr>
      </w:pPr>
      <w:r w:rsidRPr="00AC77DF">
        <w:rPr>
          <w:spacing w:val="4"/>
        </w:rPr>
        <w:t>關於無罪推定原則，上開一般性意見第</w:t>
      </w:r>
      <w:r w:rsidRPr="00AC77DF">
        <w:rPr>
          <w:spacing w:val="4"/>
        </w:rPr>
        <w:t>30</w:t>
      </w:r>
      <w:r w:rsidRPr="00AC77DF">
        <w:rPr>
          <w:spacing w:val="4"/>
        </w:rPr>
        <w:t>點有詳細的闡釋</w:t>
      </w:r>
      <w:r w:rsidRPr="00AC77DF">
        <w:t>，其主要內容略以：無罪推定是保護人權的基本要素，檢方應根據此原則對待受刑事罪行指控者；所有政府機關均有責任不對審判結果做出預斷，如不得發表公開聲明指稱被告有罪；媒體應避免做出會損及無罪推定原則的報導；審前羈押時間的長短並不能說明罪行情況和嚴重程度指標；拒絕保釋或在民事訴訟中的賠償責任判決並不會損及無罪推定。</w:t>
      </w:r>
    </w:p>
    <w:p w:rsidR="003807A5" w:rsidRDefault="003807A5" w:rsidP="00B7222B">
      <w:pPr>
        <w:pStyle w:val="1---"/>
        <w:ind w:firstLine="480"/>
        <w:rPr>
          <w:lang w:eastAsia="zh-TW"/>
        </w:rPr>
      </w:pPr>
      <w:r w:rsidRPr="00AC77DF">
        <w:t>憲法第</w:t>
      </w:r>
      <w:r w:rsidRPr="00AC77DF">
        <w:t>16</w:t>
      </w:r>
      <w:r w:rsidRPr="00AC77DF">
        <w:t>條規定人民之訴訟權，其核心內容在保障人民之</w:t>
      </w:r>
      <w:r w:rsidRPr="00AC77DF">
        <w:lastRenderedPageBreak/>
        <w:t>權益於遭受侵害時，得請求法院依正當法律程序公平審判，以獲得及時有效之救濟</w:t>
      </w:r>
      <w:r w:rsidRPr="00AC77DF">
        <w:rPr>
          <w:kern w:val="0"/>
        </w:rPr>
        <w:t>。依司法院釋字第</w:t>
      </w:r>
      <w:r w:rsidRPr="00AC77DF">
        <w:rPr>
          <w:kern w:val="0"/>
        </w:rPr>
        <w:t>396</w:t>
      </w:r>
      <w:r w:rsidRPr="00AC77DF">
        <w:rPr>
          <w:kern w:val="0"/>
        </w:rPr>
        <w:t>號解釋：</w:t>
      </w:r>
      <w:r w:rsidRPr="00AC77DF">
        <w:t>憲法第</w:t>
      </w:r>
      <w:r w:rsidRPr="00AC77DF">
        <w:t>16</w:t>
      </w:r>
      <w:r w:rsidRPr="00AC77DF">
        <w:t>條所定人民之訴訟權，乃人民於其權利遭受侵害時，得訴請救濟之制度性保障，其具體內容應由立法機關制定法院組織與訴訟程序有</w:t>
      </w:r>
      <w:r w:rsidRPr="00AC77DF">
        <w:rPr>
          <w:spacing w:val="4"/>
        </w:rPr>
        <w:t>關之法律，始得實現；人民之訴訟權有其受憲法保障之核心領域</w:t>
      </w:r>
      <w:r w:rsidRPr="00AC77DF">
        <w:t>，為訴訟權必備之基本內容，其若有欠缺，即與憲法第</w:t>
      </w:r>
      <w:r w:rsidRPr="00AC77DF">
        <w:t>16</w:t>
      </w:r>
      <w:r w:rsidRPr="00AC77DF">
        <w:t>條保障人民訴訟權之意旨不符。又司法院釋字第</w:t>
      </w:r>
      <w:r w:rsidRPr="00AC77DF">
        <w:t>243</w:t>
      </w:r>
      <w:r w:rsidRPr="00AC77DF">
        <w:t>號解釋所謂有權利即有救濟之法理，即在指明人民訴請法院救濟之權利為訴訟權保障之核心內容，不容剝奪。</w:t>
      </w:r>
    </w:p>
    <w:p w:rsidR="00C03371" w:rsidRDefault="00C03371" w:rsidP="00B7222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3000"/>
      </w:tblGrid>
      <w:tr w:rsidR="00C03371" w:rsidTr="00520153">
        <w:tc>
          <w:tcPr>
            <w:tcW w:w="3000" w:type="dxa"/>
            <w:shd w:val="clear" w:color="auto" w:fill="D9D9D9" w:themeFill="background1" w:themeFillShade="D9"/>
          </w:tcPr>
          <w:p w:rsidR="00C03371" w:rsidRDefault="00C03371" w:rsidP="00C03371">
            <w:pPr>
              <w:pStyle w:val="11-"/>
              <w:spacing w:before="72" w:after="108"/>
              <w:rPr>
                <w:lang w:eastAsia="zh-TW"/>
              </w:rPr>
            </w:pPr>
            <w:bookmarkStart w:id="183" w:name="_Toc535228349"/>
            <w:bookmarkStart w:id="184" w:name="_Toc4058760"/>
            <w:r w:rsidRPr="00AC77DF">
              <w:t>無罪判決之上訴制度</w:t>
            </w:r>
            <w:bookmarkEnd w:id="183"/>
            <w:bookmarkEnd w:id="184"/>
          </w:p>
        </w:tc>
      </w:tr>
    </w:tbl>
    <w:p w:rsidR="00C03371" w:rsidRPr="00AC77DF" w:rsidRDefault="00C03371" w:rsidP="00B7222B">
      <w:pPr>
        <w:pStyle w:val="1---"/>
        <w:ind w:firstLine="480"/>
        <w:rPr>
          <w:kern w:val="0"/>
          <w:lang w:eastAsia="zh-TW"/>
        </w:rPr>
      </w:pPr>
    </w:p>
    <w:tbl>
      <w:tblPr>
        <w:tblStyle w:val="aff5"/>
        <w:tblW w:w="0" w:type="auto"/>
        <w:tblInd w:w="113" w:type="dxa"/>
        <w:tblLook w:val="04A0" w:firstRow="1" w:lastRow="0" w:firstColumn="1" w:lastColumn="0" w:noHBand="0" w:noVBand="1"/>
      </w:tblPr>
      <w:tblGrid>
        <w:gridCol w:w="6544"/>
      </w:tblGrid>
      <w:tr w:rsidR="005109C4" w:rsidTr="00776994">
        <w:trPr>
          <w:trHeight w:val="469"/>
        </w:trPr>
        <w:tc>
          <w:tcPr>
            <w:tcW w:w="6544" w:type="dxa"/>
          </w:tcPr>
          <w:p w:rsidR="005109C4" w:rsidRPr="005109C4" w:rsidRDefault="005109C4" w:rsidP="00520153">
            <w:pPr>
              <w:spacing w:line="360" w:lineRule="exact"/>
              <w:rPr>
                <w:lang w:val="x-none"/>
              </w:rPr>
            </w:pPr>
            <w:bookmarkStart w:id="185" w:name="_Toc527731046"/>
            <w:bookmarkEnd w:id="182"/>
            <w:r w:rsidRPr="00AC77DF">
              <w:rPr>
                <w:b/>
                <w:lang w:val="x-none"/>
              </w:rPr>
              <w:t>相關國際人權公約：</w:t>
            </w:r>
            <w:r w:rsidRPr="00AC77DF">
              <w:t>公民與政治權利國際公約第</w:t>
            </w:r>
            <w:r w:rsidRPr="00AC77DF">
              <w:t>14</w:t>
            </w:r>
            <w:r w:rsidRPr="00AC77DF">
              <w:t>條</w:t>
            </w:r>
          </w:p>
        </w:tc>
      </w:tr>
    </w:tbl>
    <w:p w:rsidR="003807A5" w:rsidRPr="00AC77DF" w:rsidRDefault="00C03371" w:rsidP="00E5718D">
      <w:pPr>
        <w:pStyle w:val="afff1"/>
        <w:spacing w:before="360" w:after="360"/>
      </w:pPr>
      <w:r>
        <w:rPr>
          <w:rFonts w:hint="eastAsia"/>
        </w:rPr>
        <w:t>(一)</w:t>
      </w:r>
      <w:r w:rsidR="003807A5" w:rsidRPr="00AC77DF">
        <w:t>案情簡述</w:t>
      </w:r>
      <w:bookmarkEnd w:id="185"/>
    </w:p>
    <w:p w:rsidR="003807A5" w:rsidRPr="00AC77DF" w:rsidRDefault="003807A5" w:rsidP="00B7222B">
      <w:pPr>
        <w:pStyle w:val="1---"/>
        <w:ind w:firstLine="480"/>
      </w:pPr>
      <w:r w:rsidRPr="00AC77DF">
        <w:t>公民與政治權利國際公約</w:t>
      </w:r>
      <w:r w:rsidRPr="00AC77DF">
        <w:rPr>
          <w:lang w:val="en-GB"/>
        </w:rPr>
        <w:t>第</w:t>
      </w:r>
      <w:r w:rsidRPr="00AC77DF">
        <w:rPr>
          <w:lang w:val="en-GB"/>
        </w:rPr>
        <w:t>14</w:t>
      </w:r>
      <w:r w:rsidRPr="00AC77DF">
        <w:rPr>
          <w:lang w:val="en-GB"/>
        </w:rPr>
        <w:t>條第</w:t>
      </w:r>
      <w:r w:rsidRPr="00AC77DF">
        <w:rPr>
          <w:lang w:val="en-GB"/>
        </w:rPr>
        <w:t>5</w:t>
      </w:r>
      <w:r w:rsidRPr="00AC77DF">
        <w:rPr>
          <w:lang w:val="en-GB"/>
        </w:rPr>
        <w:t>項規定被判決有罪者應有聲請上級法院依法覆判的權利。</w:t>
      </w:r>
      <w:r w:rsidRPr="00AC77DF">
        <w:t>司法院宜依據該院釋字第</w:t>
      </w:r>
      <w:r w:rsidRPr="00AC77DF">
        <w:t>752</w:t>
      </w:r>
      <w:r w:rsidRPr="00AC77DF">
        <w:t>號解釋意旨，審慎研議檢討相關訴訟制度，以符憲法第</w:t>
      </w:r>
      <w:r w:rsidRPr="00AC77DF">
        <w:t>16</w:t>
      </w:r>
      <w:r w:rsidRPr="00AC77DF">
        <w:t>條保障人民訴訟權之規定。</w:t>
      </w:r>
    </w:p>
    <w:p w:rsidR="00776994" w:rsidRDefault="00776994">
      <w:pPr>
        <w:widowControl/>
        <w:snapToGrid/>
        <w:rPr>
          <w:rFonts w:ascii="華康魏碑體" w:eastAsia="華康魏碑體" w:hAnsi="細明體" w:cs="細明體"/>
          <w:kern w:val="0"/>
          <w:sz w:val="34"/>
          <w:szCs w:val="32"/>
        </w:rPr>
      </w:pPr>
      <w:bookmarkStart w:id="186" w:name="_Toc527731047"/>
      <w:r>
        <w:br w:type="page"/>
      </w:r>
    </w:p>
    <w:p w:rsidR="003807A5" w:rsidRPr="00AC77DF" w:rsidRDefault="00C03371" w:rsidP="00E5718D">
      <w:pPr>
        <w:pStyle w:val="afff1"/>
        <w:spacing w:before="360" w:after="360"/>
      </w:pPr>
      <w:r>
        <w:rPr>
          <w:rFonts w:hint="eastAsia"/>
        </w:rPr>
        <w:lastRenderedPageBreak/>
        <w:t>(二)</w:t>
      </w:r>
      <w:r w:rsidR="003807A5" w:rsidRPr="00AC77DF">
        <w:t>監察院調查發現與建議</w:t>
      </w:r>
      <w:bookmarkEnd w:id="186"/>
    </w:p>
    <w:p w:rsidR="003807A5" w:rsidRPr="00AC77DF" w:rsidRDefault="00383BEE" w:rsidP="00D92DAE">
      <w:pPr>
        <w:pStyle w:val="1--13"/>
        <w:spacing w:before="180" w:after="180"/>
      </w:pPr>
      <w:r w:rsidRPr="008E1832">
        <w:rPr>
          <w:rFonts w:hint="eastAsia"/>
        </w:rPr>
        <w:t>˙</w:t>
      </w:r>
      <w:r w:rsidR="003807A5" w:rsidRPr="00AC77DF">
        <w:t>剝奪被告上訴機會有違訴訟權意旨</w:t>
      </w:r>
    </w:p>
    <w:p w:rsidR="003807A5" w:rsidRPr="00AC77DF" w:rsidRDefault="003807A5" w:rsidP="00B7222B">
      <w:pPr>
        <w:pStyle w:val="1---"/>
        <w:ind w:firstLine="480"/>
      </w:pPr>
      <w:r w:rsidRPr="00AC77DF">
        <w:t>公民與政治權利國際公約</w:t>
      </w:r>
      <w:r w:rsidRPr="00AC77DF">
        <w:rPr>
          <w:szCs w:val="32"/>
          <w:lang w:val="en-GB"/>
        </w:rPr>
        <w:t>第</w:t>
      </w:r>
      <w:r w:rsidRPr="00AC77DF">
        <w:rPr>
          <w:szCs w:val="32"/>
          <w:lang w:val="en-GB"/>
        </w:rPr>
        <w:t>14</w:t>
      </w:r>
      <w:r w:rsidRPr="00AC77DF">
        <w:rPr>
          <w:szCs w:val="32"/>
          <w:lang w:val="en-GB"/>
        </w:rPr>
        <w:t>條第</w:t>
      </w:r>
      <w:r w:rsidRPr="00AC77DF">
        <w:rPr>
          <w:szCs w:val="32"/>
          <w:lang w:val="en-GB"/>
        </w:rPr>
        <w:t>5</w:t>
      </w:r>
      <w:r w:rsidRPr="00AC77DF">
        <w:rPr>
          <w:szCs w:val="32"/>
          <w:lang w:val="en-GB"/>
        </w:rPr>
        <w:t>項規定被判決有罪者應有聲請上級法院依法覆判的權利。</w:t>
      </w:r>
      <w:r w:rsidRPr="00AC77DF">
        <w:t>司法院釋字第</w:t>
      </w:r>
      <w:r w:rsidRPr="00AC77DF">
        <w:t>752</w:t>
      </w:r>
      <w:r w:rsidRPr="00AC77DF">
        <w:t>號解釋揭明「對被判有罪之被告，至少提供一次上訴救濟機會，為訴訟權核心。」法官、檢察官及公務員懲戒判決影響司法官及公務員之身分、財產權益甚鉅，目前所採一審一級審判制度，並未提供至少一次的上訴救濟機會；及選舉訴訟等採二審終結制度，亦有</w:t>
      </w:r>
      <w:r w:rsidRPr="00AC77DF">
        <w:rPr>
          <w:szCs w:val="32"/>
        </w:rPr>
        <w:t>第二審撤銷原審對被告有利判決並自為對被告不利判決，所應賦予被告適當上訴機會之訴訟權保障問題。司法院宜依據</w:t>
      </w:r>
      <w:r w:rsidRPr="00AC77DF">
        <w:t>釋字第</w:t>
      </w:r>
      <w:r w:rsidRPr="00AC77DF">
        <w:t>752</w:t>
      </w:r>
      <w:r w:rsidRPr="00AC77DF">
        <w:t>號解釋意旨，</w:t>
      </w:r>
      <w:r w:rsidRPr="00AC77DF">
        <w:rPr>
          <w:szCs w:val="32"/>
        </w:rPr>
        <w:t>審慎研議</w:t>
      </w:r>
      <w:r w:rsidRPr="00AC77DF">
        <w:t>檢討相關訴訟制度，以符憲法第</w:t>
      </w:r>
      <w:r w:rsidRPr="00AC77DF">
        <w:t>16</w:t>
      </w:r>
      <w:r w:rsidRPr="00AC77DF">
        <w:t>條</w:t>
      </w:r>
      <w:r w:rsidRPr="00AC77DF">
        <w:rPr>
          <w:szCs w:val="32"/>
        </w:rPr>
        <w:t>保障人民訴訟權之規定</w:t>
      </w:r>
      <w:r w:rsidRPr="00AC77DF">
        <w:t>。</w:t>
      </w:r>
      <w:r w:rsidRPr="00AC77DF">
        <w:t xml:space="preserve"> </w:t>
      </w:r>
    </w:p>
    <w:p w:rsidR="003807A5" w:rsidRPr="00AC77DF" w:rsidRDefault="00383BEE" w:rsidP="00D92DAE">
      <w:pPr>
        <w:pStyle w:val="1--13"/>
        <w:spacing w:before="180" w:after="180"/>
      </w:pPr>
      <w:bookmarkStart w:id="187" w:name="_Toc497921512"/>
      <w:r w:rsidRPr="008E1832">
        <w:rPr>
          <w:rFonts w:hint="eastAsia"/>
        </w:rPr>
        <w:t>˙</w:t>
      </w:r>
      <w:r w:rsidR="003807A5" w:rsidRPr="00AC77DF">
        <w:t>檢討無罪判決之上訴制度</w:t>
      </w:r>
    </w:p>
    <w:p w:rsidR="003807A5" w:rsidRPr="00AC77DF" w:rsidRDefault="003807A5" w:rsidP="00B7222B">
      <w:pPr>
        <w:pStyle w:val="1---"/>
        <w:ind w:firstLine="480"/>
      </w:pPr>
      <w:r w:rsidRPr="00AC77DF">
        <w:t>我國刑事訴訟法制經司法院於</w:t>
      </w:r>
      <w:r w:rsidRPr="00AC77DF">
        <w:t>88</w:t>
      </w:r>
      <w:r w:rsidRPr="00AC77DF">
        <w:t>年</w:t>
      </w:r>
      <w:r w:rsidRPr="00AC77DF">
        <w:t>7</w:t>
      </w:r>
      <w:r w:rsidRPr="00AC77DF">
        <w:t>月</w:t>
      </w:r>
      <w:r w:rsidRPr="00AC77DF">
        <w:t>6</w:t>
      </w:r>
      <w:r w:rsidRPr="00AC77DF">
        <w:t>日至</w:t>
      </w:r>
      <w:r w:rsidRPr="00AC77DF">
        <w:t>8</w:t>
      </w:r>
      <w:r w:rsidRPr="00AC77DF">
        <w:t>日召開全國司法改革會議達成「落實第一審為堅強之事實審」共識後，自</w:t>
      </w:r>
      <w:r w:rsidRPr="00AC77DF">
        <w:t>91</w:t>
      </w:r>
      <w:r w:rsidRPr="00AC77DF">
        <w:t>年</w:t>
      </w:r>
      <w:r w:rsidRPr="00AC77DF">
        <w:t>2</w:t>
      </w:r>
      <w:r w:rsidRPr="00AC77DF">
        <w:t>月</w:t>
      </w:r>
      <w:r w:rsidRPr="00AC77DF">
        <w:t>8</w:t>
      </w:r>
      <w:r w:rsidRPr="00AC77DF">
        <w:t>日修正公布刑事訴訟法，逐漸從職權主義轉型成改良式當事人進行主義，刑事訴訟之目的，除發現真實，行使國家刑罰權之外，亦有保障人民免於被反覆追訴至獲判有罪，陷於長期間時而無罪時而有罪判決之焦慮及不安的風險及折磨之目的，此乃現代法治國刑事訴訟之目的，亦為我國憲法第</w:t>
      </w:r>
      <w:r w:rsidRPr="00AC77DF">
        <w:t>16</w:t>
      </w:r>
      <w:r w:rsidRPr="00AC77DF">
        <w:t>條規定保障人民訴訟權之真義。司法院</w:t>
      </w:r>
      <w:r w:rsidRPr="00AC77DF">
        <w:t>106</w:t>
      </w:r>
      <w:r w:rsidRPr="00AC77DF">
        <w:t>年</w:t>
      </w:r>
      <w:r w:rsidRPr="00AC77DF">
        <w:t>7</w:t>
      </w:r>
      <w:r w:rsidRPr="00AC77DF">
        <w:t>月</w:t>
      </w:r>
      <w:r w:rsidRPr="00AC77DF">
        <w:t>28</w:t>
      </w:r>
      <w:r w:rsidRPr="00AC77DF">
        <w:t>日釋字第</w:t>
      </w:r>
      <w:r w:rsidRPr="00AC77DF">
        <w:t>752</w:t>
      </w:r>
      <w:r w:rsidRPr="00AC77DF">
        <w:t>號有關刑事訴訟法第</w:t>
      </w:r>
      <w:r w:rsidRPr="00AC77DF">
        <w:t>376</w:t>
      </w:r>
      <w:r w:rsidRPr="00AC77DF">
        <w:t>條第</w:t>
      </w:r>
      <w:r w:rsidRPr="00AC77DF">
        <w:t>1</w:t>
      </w:r>
      <w:r w:rsidRPr="00AC77DF">
        <w:t>款及第</w:t>
      </w:r>
      <w:r w:rsidRPr="00AC77DF">
        <w:t>2</w:t>
      </w:r>
      <w:r w:rsidRPr="00AC77DF">
        <w:t>款所列罪名案件</w:t>
      </w:r>
      <w:r w:rsidRPr="00AC77DF">
        <w:lastRenderedPageBreak/>
        <w:t>，第二審判決撤銷第一審無罪判決，改判有罪時，得上訴第三審，請求救濟之解釋。該等第</w:t>
      </w:r>
      <w:r w:rsidRPr="00AC77DF">
        <w:t>376</w:t>
      </w:r>
      <w:r w:rsidRPr="00AC77DF">
        <w:t>條輕罪案件之爭議多屬事實認定問題，恐難獲法律審之第三審救濟。對於遭改判有罪之被告而言，實益有限；且現行輕罪案件第一審無罪判決得上訴第二審覆審之規定，亦有違反刑事訴訟法第</w:t>
      </w:r>
      <w:r w:rsidRPr="00AC77DF">
        <w:t>154</w:t>
      </w:r>
      <w:r w:rsidRPr="00AC77DF">
        <w:t>條第</w:t>
      </w:r>
      <w:r w:rsidRPr="00AC77DF">
        <w:t>1</w:t>
      </w:r>
      <w:r w:rsidRPr="00AC77DF">
        <w:t>項、</w:t>
      </w:r>
      <w:r w:rsidR="00DB79AD">
        <w:t>公民與政治權利國際公約</w:t>
      </w:r>
      <w:r w:rsidRPr="00AC77DF">
        <w:t>第</w:t>
      </w:r>
      <w:r w:rsidRPr="00AC77DF">
        <w:t>14</w:t>
      </w:r>
      <w:r w:rsidRPr="00AC77DF">
        <w:t>條第</w:t>
      </w:r>
      <w:r w:rsidRPr="00AC77DF">
        <w:t>2</w:t>
      </w:r>
      <w:r w:rsidRPr="00AC77DF">
        <w:t>項規定無罪推定原則及同法第</w:t>
      </w:r>
      <w:r w:rsidRPr="00AC77DF">
        <w:t>161</w:t>
      </w:r>
      <w:r w:rsidRPr="00AC77DF">
        <w:t>條檢察官或自訴人應負實質舉證責任等刑事訴訟基本原則之疑義。實行追訴的檢察官代表國家行使刑罰權，擁有強大的偵查處分權，絕大多數被告相對弱勢許多，現代法治國相關訴訟制度尚不得允許不計代價之追訴程序。司法院</w:t>
      </w:r>
      <w:r w:rsidR="005D1E8F">
        <w:t>宜</w:t>
      </w:r>
      <w:r w:rsidRPr="00AC77DF">
        <w:t>參照刑事妥速審判法第</w:t>
      </w:r>
      <w:r w:rsidRPr="00AC77DF">
        <w:t>8</w:t>
      </w:r>
      <w:r w:rsidRPr="00AC77DF">
        <w:t>條及第</w:t>
      </w:r>
      <w:r w:rsidRPr="00AC77DF">
        <w:t>9</w:t>
      </w:r>
      <w:r w:rsidRPr="00AC77DF">
        <w:t>條限制對無罪判決上訴</w:t>
      </w:r>
      <w:r w:rsidRPr="00AC77DF">
        <w:rPr>
          <w:bCs/>
        </w:rPr>
        <w:t>之立法意旨，</w:t>
      </w:r>
      <w:r w:rsidRPr="00AC77DF">
        <w:t>審慎研議並考量提案修法限制對無罪判決之上訴制度，以保障被告依據憲法第</w:t>
      </w:r>
      <w:r w:rsidRPr="00AC77DF">
        <w:t>16</w:t>
      </w:r>
      <w:r w:rsidRPr="00AC77DF">
        <w:t>條規定受公正、合法、迅速審判之權利</w:t>
      </w:r>
      <w:bookmarkEnd w:id="187"/>
      <w:r w:rsidRPr="00AC77DF">
        <w:t>。</w:t>
      </w:r>
    </w:p>
    <w:p w:rsidR="003807A5" w:rsidRPr="00AC77DF" w:rsidRDefault="003807A5" w:rsidP="00B7222B">
      <w:pPr>
        <w:pStyle w:val="1---"/>
        <w:ind w:firstLine="480"/>
      </w:pPr>
      <w:r w:rsidRPr="00AC77DF">
        <w:t>依據本案調查意見</w:t>
      </w:r>
      <w:r w:rsidRPr="00F85A65">
        <w:rPr>
          <w:rStyle w:val="aff2"/>
        </w:rPr>
        <w:footnoteReference w:id="66"/>
      </w:r>
      <w:r w:rsidRPr="00AC77DF">
        <w:t>，監察院函請司法院審慎評估刑事訴訟法有關上訴制度之規定。</w:t>
      </w:r>
    </w:p>
    <w:p w:rsidR="003807A5" w:rsidRPr="00AC77DF" w:rsidRDefault="00C03371" w:rsidP="00E5718D">
      <w:pPr>
        <w:pStyle w:val="afff1"/>
        <w:spacing w:before="360" w:after="360"/>
      </w:pPr>
      <w:bookmarkStart w:id="188" w:name="_Toc527731048"/>
      <w:r>
        <w:rPr>
          <w:rFonts w:hint="eastAsia"/>
        </w:rPr>
        <w:t>(三)</w:t>
      </w:r>
      <w:r w:rsidR="003807A5" w:rsidRPr="00AC77DF">
        <w:t>政府機關改善情形</w:t>
      </w:r>
      <w:bookmarkEnd w:id="188"/>
    </w:p>
    <w:p w:rsidR="003807A5" w:rsidRPr="00AC77DF" w:rsidRDefault="003807A5" w:rsidP="007373B4">
      <w:pPr>
        <w:pStyle w:val="1---"/>
        <w:ind w:leftChars="100" w:left="600" w:hangingChars="150" w:hanging="360"/>
      </w:pPr>
      <w:r w:rsidRPr="00AC77DF">
        <w:t>1</w:t>
      </w:r>
      <w:r w:rsidRPr="00AC77DF">
        <w:t>、司法院已委託學者以「公務員懲戒處分審級救濟制度」為題，進行專題研究，以瞭解他國訴訟實務運作及學說見解，作為未來法制研修參考。</w:t>
      </w:r>
    </w:p>
    <w:p w:rsidR="003807A5" w:rsidRPr="00AC77DF" w:rsidRDefault="003807A5" w:rsidP="007373B4">
      <w:pPr>
        <w:pStyle w:val="1----"/>
        <w:ind w:left="600" w:hanging="360"/>
      </w:pPr>
      <w:r w:rsidRPr="00AC77DF">
        <w:t>2</w:t>
      </w:r>
      <w:r w:rsidRPr="00AC77DF">
        <w:t>、對於選舉訴訟採二審終結制度，並不得提起再審部分（公職人員選舉罷免法第</w:t>
      </w:r>
      <w:r w:rsidRPr="00AC77DF">
        <w:t>127</w:t>
      </w:r>
      <w:r w:rsidRPr="00AC77DF">
        <w:t>條第</w:t>
      </w:r>
      <w:r w:rsidRPr="00AC77DF">
        <w:t>1</w:t>
      </w:r>
      <w:r w:rsidRPr="00AC77DF">
        <w:t>項及總統副總統選舉罷免</w:t>
      </w:r>
      <w:r w:rsidRPr="00AC77DF">
        <w:lastRenderedPageBreak/>
        <w:t>法</w:t>
      </w:r>
      <w:r w:rsidRPr="00FC7C9E">
        <w:rPr>
          <w:spacing w:val="-10"/>
        </w:rPr>
        <w:t>第</w:t>
      </w:r>
      <w:r w:rsidRPr="00AC77DF">
        <w:t>11</w:t>
      </w:r>
      <w:r w:rsidRPr="00FC7C9E">
        <w:rPr>
          <w:spacing w:val="-10"/>
        </w:rPr>
        <w:t>1</w:t>
      </w:r>
      <w:r w:rsidRPr="00AC77DF">
        <w:t>條</w:t>
      </w:r>
      <w:r w:rsidRPr="00FC7C9E">
        <w:rPr>
          <w:spacing w:val="-30"/>
        </w:rPr>
        <w:t>）</w:t>
      </w:r>
      <w:r w:rsidRPr="00AC77DF">
        <w:t>，係立法機關自由形成之範圍，符合選舉訴訟事件之特性，於憲法保障之人民訴訟權尚無侵害，且為增進公共利益所必要，與憲法第</w:t>
      </w:r>
      <w:r w:rsidRPr="00AC77DF">
        <w:t>23</w:t>
      </w:r>
      <w:r w:rsidRPr="00AC77DF">
        <w:t>條亦無牴觸（</w:t>
      </w:r>
      <w:r w:rsidR="00DA23C0">
        <w:rPr>
          <w:rFonts w:hint="eastAsia"/>
          <w:lang w:eastAsia="zh-TW"/>
        </w:rPr>
        <w:t>司法院</w:t>
      </w:r>
      <w:r w:rsidRPr="00AC77DF">
        <w:t>第</w:t>
      </w:r>
      <w:r w:rsidRPr="00AC77DF">
        <w:t>442</w:t>
      </w:r>
      <w:r w:rsidRPr="00AC77DF">
        <w:t>號解釋意旨參照</w:t>
      </w:r>
      <w:r w:rsidRPr="00AD0252">
        <w:rPr>
          <w:spacing w:val="-30"/>
        </w:rPr>
        <w:t>）</w:t>
      </w:r>
      <w:r w:rsidRPr="00AC77DF">
        <w:t>。另</w:t>
      </w:r>
      <w:r>
        <w:t>監察院</w:t>
      </w:r>
      <w:r w:rsidRPr="00AC77DF">
        <w:t>就選舉訴訟是否應賦予因二審改判而受不利益判決之當事人一方上訴機會之意見，司法院尊重法規主管機關權責及立法機關立法形成自由。</w:t>
      </w:r>
    </w:p>
    <w:p w:rsidR="003807A5" w:rsidRPr="00AC77DF" w:rsidRDefault="003807A5" w:rsidP="007373B4">
      <w:pPr>
        <w:pStyle w:val="1----"/>
        <w:ind w:left="600" w:hanging="360"/>
      </w:pPr>
      <w:r w:rsidRPr="00AC77DF">
        <w:t>3</w:t>
      </w:r>
      <w:r w:rsidRPr="00AC77DF">
        <w:t>、上訴制度除具有個案救濟的功能外，尚有統一法令解釋、發現實體真實的機能。尤以檢察官之上訴權是源自於國家具體實現刑罰權的追訴權，基於公益代表人的角色，檢察官實質上負有客觀義務，其上訴著重在糾正原裁判之錯誤及統一法令解釋，於非當事人之自訴案件，並得獨立上訴（刑事訴訟法第</w:t>
      </w:r>
      <w:r w:rsidRPr="00AC77DF">
        <w:t>347</w:t>
      </w:r>
      <w:r w:rsidRPr="00AC77DF">
        <w:t>條</w:t>
      </w:r>
      <w:r w:rsidRPr="00F42AC0">
        <w:rPr>
          <w:spacing w:val="-30"/>
        </w:rPr>
        <w:t>）</w:t>
      </w:r>
      <w:r w:rsidRPr="00AC77DF">
        <w:t>，此與被告上訴權係著重在權利救濟，性質上有所不同。</w:t>
      </w:r>
    </w:p>
    <w:p w:rsidR="003807A5" w:rsidRPr="00AC77DF" w:rsidRDefault="003807A5" w:rsidP="007373B4">
      <w:pPr>
        <w:pStyle w:val="1----"/>
        <w:ind w:left="600" w:hanging="360"/>
      </w:pPr>
      <w:r w:rsidRPr="00AC77DF">
        <w:t>4</w:t>
      </w:r>
      <w:r w:rsidRPr="00AC77DF">
        <w:t>、禁止檢察官對於無罪判決之上訴是否必要、合理，屬於相對的價值或理念上的爭議，並非絕對的價值，於上訴制度的設計上，立法者某種程度仍保有形成的空間。至於是否全面限制檢察官就無罪判決不得上訴，涉及整體訴訟制度之架構設計，於利益衡量上，除被告權益之維護外，亦應兼顧國家刑罰權之實現及被害人利益之保障，司法院當盱衡國家整體法制進展及需求，適時審慎研議。</w:t>
      </w:r>
    </w:p>
    <w:p w:rsidR="003807A5" w:rsidRPr="00AC77DF" w:rsidRDefault="00C03371" w:rsidP="00776994">
      <w:pPr>
        <w:pStyle w:val="afff1"/>
        <w:spacing w:before="360" w:afterLines="50" w:after="180"/>
      </w:pPr>
      <w:bookmarkStart w:id="189" w:name="_Toc527731049"/>
      <w:r>
        <w:rPr>
          <w:rFonts w:hint="eastAsia"/>
        </w:rPr>
        <w:t>(四)</w:t>
      </w:r>
      <w:r w:rsidR="003807A5" w:rsidRPr="00AC77DF">
        <w:t>案件進展</w:t>
      </w:r>
      <w:bookmarkEnd w:id="189"/>
    </w:p>
    <w:p w:rsidR="00C03371" w:rsidRDefault="003807A5" w:rsidP="00B7222B">
      <w:pPr>
        <w:pStyle w:val="1---"/>
        <w:ind w:firstLine="480"/>
        <w:rPr>
          <w:lang w:eastAsia="zh-TW"/>
        </w:rPr>
      </w:pPr>
      <w:r w:rsidRPr="00AC77DF">
        <w:t>本案已結案。</w:t>
      </w:r>
    </w:p>
    <w:tbl>
      <w:tblPr>
        <w:tblStyle w:val="aff5"/>
        <w:tblW w:w="0" w:type="auto"/>
        <w:tblInd w:w="113" w:type="dxa"/>
        <w:shd w:val="clear" w:color="auto" w:fill="D9D9D9" w:themeFill="background1" w:themeFillShade="D9"/>
        <w:tblLook w:val="04A0" w:firstRow="1" w:lastRow="0" w:firstColumn="1" w:lastColumn="0" w:noHBand="0" w:noVBand="1"/>
      </w:tblPr>
      <w:tblGrid>
        <w:gridCol w:w="3681"/>
      </w:tblGrid>
      <w:tr w:rsidR="00C03371" w:rsidTr="00F42AC0">
        <w:tc>
          <w:tcPr>
            <w:tcW w:w="3681" w:type="dxa"/>
            <w:shd w:val="clear" w:color="auto" w:fill="D9D9D9" w:themeFill="background1" w:themeFillShade="D9"/>
          </w:tcPr>
          <w:p w:rsidR="00C03371" w:rsidRDefault="00C03371" w:rsidP="00C03371">
            <w:pPr>
              <w:pStyle w:val="11-"/>
              <w:spacing w:before="72" w:after="108"/>
              <w:rPr>
                <w:lang w:eastAsia="zh-TW"/>
              </w:rPr>
            </w:pPr>
            <w:bookmarkStart w:id="190" w:name="_Toc527731055"/>
            <w:bookmarkStart w:id="191" w:name="_Toc535228350"/>
            <w:bookmarkStart w:id="192" w:name="_Toc4058761"/>
            <w:r w:rsidRPr="00AC77DF">
              <w:rPr>
                <w:lang w:eastAsia="zh-HK"/>
              </w:rPr>
              <w:lastRenderedPageBreak/>
              <w:t>測</w:t>
            </w:r>
            <w:r w:rsidRPr="00AC77DF">
              <w:t>謊程序有瑕疵之證據</w:t>
            </w:r>
            <w:r w:rsidRPr="00AC77DF">
              <w:rPr>
                <w:lang w:eastAsia="zh-HK"/>
              </w:rPr>
              <w:t>力</w:t>
            </w:r>
            <w:bookmarkEnd w:id="190"/>
            <w:bookmarkEnd w:id="191"/>
            <w:bookmarkEnd w:id="192"/>
          </w:p>
        </w:tc>
      </w:tr>
    </w:tbl>
    <w:p w:rsidR="00C03371" w:rsidRPr="00AC77DF" w:rsidRDefault="00C03371" w:rsidP="00B7222B">
      <w:pPr>
        <w:pStyle w:val="1---"/>
        <w:ind w:firstLine="480"/>
        <w:rPr>
          <w:lang w:eastAsia="zh-TW"/>
        </w:rPr>
      </w:pPr>
    </w:p>
    <w:tbl>
      <w:tblPr>
        <w:tblStyle w:val="aff5"/>
        <w:tblW w:w="0" w:type="auto"/>
        <w:tblInd w:w="113" w:type="dxa"/>
        <w:tblLook w:val="04A0" w:firstRow="1" w:lastRow="0" w:firstColumn="1" w:lastColumn="0" w:noHBand="0" w:noVBand="1"/>
      </w:tblPr>
      <w:tblGrid>
        <w:gridCol w:w="6516"/>
      </w:tblGrid>
      <w:tr w:rsidR="005109C4" w:rsidTr="00776994">
        <w:trPr>
          <w:trHeight w:val="428"/>
        </w:trPr>
        <w:tc>
          <w:tcPr>
            <w:tcW w:w="6516" w:type="dxa"/>
          </w:tcPr>
          <w:p w:rsidR="005109C4" w:rsidRPr="005109C4" w:rsidRDefault="005109C4" w:rsidP="00ED446D">
            <w:pPr>
              <w:spacing w:line="360" w:lineRule="exact"/>
              <w:rPr>
                <w:lang w:val="x-none"/>
              </w:rPr>
            </w:pPr>
            <w:bookmarkStart w:id="193" w:name="_Toc527731056"/>
            <w:r w:rsidRPr="00AC77DF">
              <w:rPr>
                <w:b/>
                <w:lang w:val="x-none"/>
              </w:rPr>
              <w:t>相關國際人權公約：</w:t>
            </w:r>
            <w:r w:rsidRPr="00AC77DF">
              <w:t>公民與政治權利國際公約第</w:t>
            </w:r>
            <w:r w:rsidRPr="00AC77DF">
              <w:t>14</w:t>
            </w:r>
            <w:r w:rsidRPr="00AC77DF">
              <w:t>條</w:t>
            </w:r>
          </w:p>
        </w:tc>
      </w:tr>
    </w:tbl>
    <w:p w:rsidR="003807A5" w:rsidRPr="00AC77DF" w:rsidRDefault="00C03371" w:rsidP="00E5718D">
      <w:pPr>
        <w:pStyle w:val="afff1"/>
        <w:spacing w:before="360" w:after="360"/>
      </w:pPr>
      <w:r>
        <w:rPr>
          <w:rFonts w:hint="eastAsia"/>
        </w:rPr>
        <w:t>(一)</w:t>
      </w:r>
      <w:r w:rsidR="003807A5" w:rsidRPr="00AC77DF">
        <w:t>案情簡述</w:t>
      </w:r>
      <w:bookmarkEnd w:id="193"/>
    </w:p>
    <w:p w:rsidR="003807A5" w:rsidRPr="00AC77DF" w:rsidRDefault="003807A5" w:rsidP="00B7222B">
      <w:pPr>
        <w:pStyle w:val="1---"/>
        <w:ind w:firstLine="480"/>
      </w:pPr>
      <w:r w:rsidRPr="00AC77DF">
        <w:t>高雄縣橋頭鄉前鄉長</w:t>
      </w:r>
      <w:r w:rsidR="00E245D8">
        <w:t>李</w:t>
      </w:r>
      <w:r w:rsidR="00443013">
        <w:rPr>
          <w:rFonts w:ascii="新細明體" w:hAnsi="新細明體" w:hint="eastAsia"/>
        </w:rPr>
        <w:t>○○</w:t>
      </w:r>
      <w:r w:rsidRPr="00AC77DF">
        <w:t>收取工程回扣款案，調查局測謊程序有重大瑕疵，確定判決未調查證據，判決理由矛盾疑點，有提起再審或非常上訴之事由。為免冤抑，爰經監察委員立案調查。</w:t>
      </w:r>
    </w:p>
    <w:p w:rsidR="003807A5" w:rsidRPr="00AC77DF" w:rsidRDefault="00C03371" w:rsidP="00E5718D">
      <w:pPr>
        <w:pStyle w:val="afff1"/>
        <w:spacing w:before="360" w:after="360"/>
      </w:pPr>
      <w:bookmarkStart w:id="194" w:name="_Toc527731057"/>
      <w:r>
        <w:rPr>
          <w:rFonts w:hint="eastAsia"/>
        </w:rPr>
        <w:t>(二)</w:t>
      </w:r>
      <w:r w:rsidR="003807A5" w:rsidRPr="00AC77DF">
        <w:t>監察院調查發現與建議</w:t>
      </w:r>
      <w:bookmarkEnd w:id="194"/>
    </w:p>
    <w:p w:rsidR="003807A5" w:rsidRPr="00AC77DF" w:rsidRDefault="00383BEE" w:rsidP="00D92DAE">
      <w:pPr>
        <w:pStyle w:val="1--13"/>
        <w:spacing w:before="180" w:after="180"/>
      </w:pPr>
      <w:r w:rsidRPr="008E1832">
        <w:rPr>
          <w:rFonts w:hint="eastAsia"/>
        </w:rPr>
        <w:t>˙</w:t>
      </w:r>
      <w:r w:rsidR="003807A5" w:rsidRPr="00AC77DF">
        <w:t>採證違背證據法則</w:t>
      </w:r>
    </w:p>
    <w:p w:rsidR="003807A5" w:rsidRPr="00AC77DF" w:rsidRDefault="003807A5" w:rsidP="00B7222B">
      <w:pPr>
        <w:pStyle w:val="1---"/>
        <w:ind w:firstLine="480"/>
        <w:rPr>
          <w:lang w:eastAsia="zh-TW"/>
        </w:rPr>
      </w:pPr>
      <w:r w:rsidRPr="00AC77DF">
        <w:t>法務部調查局對李</w:t>
      </w:r>
      <w:r w:rsidR="00443013">
        <w:rPr>
          <w:rFonts w:ascii="新細明體" w:hAnsi="新細明體" w:hint="eastAsia"/>
        </w:rPr>
        <w:t>○○</w:t>
      </w:r>
      <w:r w:rsidRPr="00AC77DF">
        <w:t>等被告之測謊鑑定並非由檢察官或法官依據刑事訴訟法第</w:t>
      </w:r>
      <w:r w:rsidRPr="00AC77DF">
        <w:t>208</w:t>
      </w:r>
      <w:r w:rsidRPr="00AC77DF">
        <w:t>條第</w:t>
      </w:r>
      <w:r w:rsidRPr="00AC77DF">
        <w:t>1</w:t>
      </w:r>
      <w:r w:rsidRPr="00AC77DF">
        <w:t>項規定囑託為之，應不得採為認定犯罪事實之依據。且第一審法院審理時，傳訊施測人員</w:t>
      </w:r>
      <w:r w:rsidR="00E245D8" w:rsidRPr="00A374C1">
        <w:rPr>
          <w:rFonts w:hint="eastAsia"/>
        </w:rPr>
        <w:t>李復國</w:t>
      </w:r>
      <w:r w:rsidRPr="00AC77DF">
        <w:t>，又混淆「證人」與「鑑定」係屬不同法定證據方法，不同具結程序，將</w:t>
      </w:r>
      <w:r w:rsidR="00E245D8" w:rsidRPr="00A374C1">
        <w:rPr>
          <w:rFonts w:hint="eastAsia"/>
        </w:rPr>
        <w:t>李復國</w:t>
      </w:r>
      <w:r w:rsidRPr="00AC77DF">
        <w:t>當成證人訊問。是以，本案確定判決採證違背證據法則，並有訴訟程序違背法令之</w:t>
      </w:r>
      <w:r w:rsidRPr="00AC77DF">
        <w:rPr>
          <w:bCs/>
        </w:rPr>
        <w:t>重大瑕疵</w:t>
      </w:r>
      <w:r w:rsidRPr="00AC77DF">
        <w:t>。</w:t>
      </w:r>
    </w:p>
    <w:p w:rsidR="003807A5" w:rsidRPr="00AC77DF" w:rsidRDefault="00383BEE" w:rsidP="00D92DAE">
      <w:pPr>
        <w:pStyle w:val="1--13"/>
        <w:spacing w:before="180" w:after="180"/>
      </w:pPr>
      <w:r w:rsidRPr="008E1832">
        <w:rPr>
          <w:rFonts w:hint="eastAsia"/>
        </w:rPr>
        <w:t>˙</w:t>
      </w:r>
      <w:r w:rsidR="003807A5" w:rsidRPr="00AC77DF">
        <w:t>測謊過程存有瑕疵</w:t>
      </w:r>
    </w:p>
    <w:p w:rsidR="003807A5" w:rsidRPr="00AC77DF" w:rsidRDefault="003807A5" w:rsidP="00B7222B">
      <w:pPr>
        <w:pStyle w:val="1---"/>
        <w:ind w:firstLine="480"/>
        <w:rPr>
          <w:lang w:eastAsia="zh-TW"/>
        </w:rPr>
      </w:pPr>
      <w:r w:rsidRPr="00AC77DF">
        <w:t>監察院勘驗該次測謊鑑定過程之錄影帶發現下列</w:t>
      </w:r>
      <w:r w:rsidRPr="00AC77DF">
        <w:rPr>
          <w:bCs/>
        </w:rPr>
        <w:t>重大瑕疵</w:t>
      </w:r>
      <w:r w:rsidRPr="00AC77DF">
        <w:rPr>
          <w:bCs/>
        </w:rPr>
        <w:lastRenderedPageBreak/>
        <w:t>：</w:t>
      </w:r>
      <w:r w:rsidRPr="00AC77DF">
        <w:t>被告</w:t>
      </w:r>
      <w:r w:rsidR="00E245D8">
        <w:t>李</w:t>
      </w:r>
      <w:r w:rsidR="00443013">
        <w:rPr>
          <w:rFonts w:ascii="新細明體" w:hAnsi="新細明體" w:hint="eastAsia"/>
        </w:rPr>
        <w:t>○○</w:t>
      </w:r>
      <w:r w:rsidRPr="00AC77DF">
        <w:t>係突遭羈押禁見而數日未睡覺，且無食慾又腹瀉，處於身心極端疲憊，不適受測狀態；施測的辦公室在馬路邊，且室內冷氣機運轉聲音大，又有廣播聲干擾，環境吵雜，致受測者無法清楚並完整聽取質問之題目。正式測試時，施測人時有轉動測謊儀器上旋鈕，致測謊圖譜上所記錄之呼吸、血壓脈搏及膚電等反應曲線幅度高低之相對強弱比較失準，無法判斷</w:t>
      </w:r>
      <w:r w:rsidR="00E245D8">
        <w:t>李</w:t>
      </w:r>
      <w:r w:rsidR="00443013">
        <w:rPr>
          <w:rFonts w:ascii="新細明體" w:hAnsi="新細明體" w:hint="eastAsia"/>
        </w:rPr>
        <w:t>○○</w:t>
      </w:r>
      <w:r w:rsidRPr="00AC77DF">
        <w:t>回答問題時究有無說謊反應，該測謊鑑定應屬無效。</w:t>
      </w:r>
    </w:p>
    <w:p w:rsidR="003807A5" w:rsidRPr="00AC77DF" w:rsidRDefault="00383BEE" w:rsidP="00D92DAE">
      <w:pPr>
        <w:pStyle w:val="1--13"/>
        <w:spacing w:before="180" w:after="180"/>
      </w:pPr>
      <w:r w:rsidRPr="008E1832">
        <w:rPr>
          <w:rFonts w:hint="eastAsia"/>
        </w:rPr>
        <w:t>˙</w:t>
      </w:r>
      <w:r w:rsidR="003807A5" w:rsidRPr="00AC77DF">
        <w:t>證據與理由未完全相符</w:t>
      </w:r>
    </w:p>
    <w:p w:rsidR="003807A5" w:rsidRPr="00AC77DF" w:rsidRDefault="003807A5" w:rsidP="00B7222B">
      <w:pPr>
        <w:pStyle w:val="1---"/>
        <w:ind w:firstLine="480"/>
      </w:pPr>
      <w:r w:rsidRPr="00AC77DF">
        <w:t>本案確定判決就同一證人之證述其聽聞之事，為全然相左之判斷取捨，理由相互矛盾，判決違法。且未調查確認有無相關工程，也未釐清以得標</w:t>
      </w:r>
      <w:r w:rsidRPr="00ED446D">
        <w:rPr>
          <w:spacing w:val="-20"/>
        </w:rPr>
        <w:t>價</w:t>
      </w:r>
      <w:r w:rsidRPr="00AC77DF">
        <w:t>15</w:t>
      </w:r>
      <w:r w:rsidR="00F9266D">
        <w:t>%</w:t>
      </w:r>
      <w:r w:rsidRPr="00AC77DF">
        <w:t>工程回扣計算之金額是否相符，以致於確定判決認定被告</w:t>
      </w:r>
      <w:r w:rsidR="00E245D8">
        <w:t>李</w:t>
      </w:r>
      <w:r w:rsidR="00443013">
        <w:rPr>
          <w:rFonts w:ascii="新細明體" w:hAnsi="新細明體" w:hint="eastAsia"/>
        </w:rPr>
        <w:t>○○</w:t>
      </w:r>
      <w:r w:rsidRPr="00AC77DF">
        <w:t>有罪</w:t>
      </w:r>
      <w:r w:rsidRPr="00ED446D">
        <w:rPr>
          <w:spacing w:val="-20"/>
        </w:rPr>
        <w:t>之</w:t>
      </w:r>
      <w:r w:rsidRPr="00AC77DF">
        <w:t>30</w:t>
      </w:r>
      <w:r w:rsidRPr="00ED446D">
        <w:rPr>
          <w:spacing w:val="-20"/>
        </w:rPr>
        <w:t>5</w:t>
      </w:r>
      <w:r w:rsidRPr="00AC77DF">
        <w:t>項舞弊工程中，根本查無被告收取回扣之相關工程，</w:t>
      </w:r>
      <w:r w:rsidRPr="00AC77DF">
        <w:rPr>
          <w:kern w:val="0"/>
        </w:rPr>
        <w:t>所引證據與理由並未相符，</w:t>
      </w:r>
      <w:r w:rsidR="003C37A5" w:rsidRPr="00AC77DF">
        <w:t>有</w:t>
      </w:r>
      <w:r w:rsidRPr="00AC77DF">
        <w:t>判決理由不備且矛盾之違法。</w:t>
      </w:r>
    </w:p>
    <w:p w:rsidR="003807A5" w:rsidRPr="00AC77DF" w:rsidRDefault="003807A5" w:rsidP="00B7222B">
      <w:pPr>
        <w:pStyle w:val="1---"/>
        <w:ind w:firstLine="480"/>
      </w:pPr>
      <w:r w:rsidRPr="00AC77DF">
        <w:t>依據本案調查意見</w:t>
      </w:r>
      <w:r w:rsidRPr="00F85A65">
        <w:rPr>
          <w:rStyle w:val="aff2"/>
        </w:rPr>
        <w:footnoteReference w:id="67"/>
      </w:r>
      <w:r w:rsidRPr="00AC77DF">
        <w:t>，監察院函請法務部檢討改進；另函請法務部轉飭所屬研提再審或轉請</w:t>
      </w:r>
      <w:r w:rsidR="00511936" w:rsidRPr="00E62FE3">
        <w:rPr>
          <w:rFonts w:hint="eastAsia"/>
        </w:rPr>
        <w:t>最高檢</w:t>
      </w:r>
      <w:r w:rsidRPr="00AC77DF">
        <w:t>檢察總長研提非常上訴。</w:t>
      </w:r>
    </w:p>
    <w:p w:rsidR="003807A5" w:rsidRPr="00AC77DF" w:rsidRDefault="00C03371" w:rsidP="00E5718D">
      <w:pPr>
        <w:pStyle w:val="afff1"/>
        <w:spacing w:before="360" w:after="360"/>
      </w:pPr>
      <w:bookmarkStart w:id="195" w:name="_Toc527731058"/>
      <w:r>
        <w:rPr>
          <w:rFonts w:hint="eastAsia"/>
        </w:rPr>
        <w:t>(三)</w:t>
      </w:r>
      <w:r w:rsidR="003807A5" w:rsidRPr="00AC77DF">
        <w:t>政府機關改善情形</w:t>
      </w:r>
      <w:bookmarkEnd w:id="195"/>
    </w:p>
    <w:p w:rsidR="003807A5" w:rsidRPr="00AC77DF" w:rsidRDefault="003807A5" w:rsidP="007373B4">
      <w:pPr>
        <w:pStyle w:val="1----"/>
        <w:ind w:left="600" w:hanging="360"/>
      </w:pPr>
      <w:r w:rsidRPr="00AC77DF">
        <w:t>1</w:t>
      </w:r>
      <w:r w:rsidRPr="00AC77DF">
        <w:t>、本件法務部調查局為督促同仁恪遵刑事訴訟法規定並確保程序正義，已通函告知所屬外勤單位，以期防杜類似事件</w:t>
      </w:r>
      <w:r w:rsidRPr="00AC77DF">
        <w:lastRenderedPageBreak/>
        <w:t>再次發生。</w:t>
      </w:r>
    </w:p>
    <w:p w:rsidR="003807A5" w:rsidRPr="00AC77DF" w:rsidRDefault="003807A5" w:rsidP="007373B4">
      <w:pPr>
        <w:pStyle w:val="1----"/>
        <w:ind w:left="600" w:hanging="360"/>
      </w:pPr>
      <w:r w:rsidRPr="00AC77DF">
        <w:t>2</w:t>
      </w:r>
      <w:r w:rsidRPr="00AC77DF">
        <w:t>、本件經交據</w:t>
      </w:r>
      <w:r w:rsidR="00511936" w:rsidRPr="00E62FE3">
        <w:rPr>
          <w:rFonts w:hint="eastAsia"/>
        </w:rPr>
        <w:t>最高檢</w:t>
      </w:r>
      <w:r w:rsidRPr="00AC77DF">
        <w:t>表示，因本案縱除去測謊鑑定此項證據，綜合案內其他所有之證據，本件仍應為同一事實之認定，並不影響於原判決之本旨。又因事實認定係屬事實審法院之職權，非常上訴審無從審酌，與非常上訴審以統一法令適用之本旨不合，自不得提起非常上訴。</w:t>
      </w:r>
    </w:p>
    <w:p w:rsidR="003807A5" w:rsidRPr="00AC77DF" w:rsidRDefault="003807A5" w:rsidP="007373B4">
      <w:pPr>
        <w:pStyle w:val="1----"/>
        <w:ind w:left="600" w:hanging="360"/>
        <w:rPr>
          <w:b/>
        </w:rPr>
      </w:pPr>
      <w:r w:rsidRPr="00AC77DF">
        <w:t>3</w:t>
      </w:r>
      <w:r w:rsidRPr="00AC77DF">
        <w:t>、本件經交據</w:t>
      </w:r>
      <w:r w:rsidRPr="0025002C">
        <w:rPr>
          <w:rFonts w:hint="eastAsia"/>
        </w:rPr>
        <w:t>高檢署</w:t>
      </w:r>
      <w:r w:rsidRPr="00AC77DF">
        <w:t>表示，因本件與法定再審事由有間，尚難依刑事訴訟法第</w:t>
      </w:r>
      <w:r w:rsidRPr="00AC77DF">
        <w:t>420</w:t>
      </w:r>
      <w:r w:rsidRPr="00AC77DF">
        <w:t>條第</w:t>
      </w:r>
      <w:r w:rsidRPr="00AC77DF">
        <w:t>1</w:t>
      </w:r>
      <w:r w:rsidRPr="00AC77DF">
        <w:t>項第</w:t>
      </w:r>
      <w:r w:rsidRPr="00AC77DF">
        <w:t>6</w:t>
      </w:r>
      <w:r w:rsidRPr="00AC77DF">
        <w:t>款、第</w:t>
      </w:r>
      <w:r w:rsidRPr="00AC77DF">
        <w:t>3</w:t>
      </w:r>
      <w:r w:rsidRPr="00AC77DF">
        <w:t>項規定，提起再審。</w:t>
      </w:r>
    </w:p>
    <w:p w:rsidR="003807A5" w:rsidRPr="00AC77DF" w:rsidRDefault="00C03371" w:rsidP="00E5718D">
      <w:pPr>
        <w:pStyle w:val="afff1"/>
        <w:spacing w:before="360" w:after="360"/>
      </w:pPr>
      <w:bookmarkStart w:id="196" w:name="_Toc527731059"/>
      <w:r>
        <w:rPr>
          <w:rFonts w:hint="eastAsia"/>
        </w:rPr>
        <w:t>(四)</w:t>
      </w:r>
      <w:r w:rsidR="003807A5" w:rsidRPr="00AC77DF">
        <w:rPr>
          <w:lang w:eastAsia="zh-HK"/>
        </w:rPr>
        <w:t>案件</w:t>
      </w:r>
      <w:r w:rsidR="003807A5" w:rsidRPr="00AC77DF">
        <w:t>進展</w:t>
      </w:r>
      <w:bookmarkEnd w:id="196"/>
    </w:p>
    <w:p w:rsidR="003807A5" w:rsidRDefault="003807A5" w:rsidP="00B7222B">
      <w:pPr>
        <w:pStyle w:val="1---"/>
        <w:ind w:firstLine="480"/>
        <w:rPr>
          <w:lang w:eastAsia="zh-TW"/>
        </w:rPr>
      </w:pPr>
      <w:r>
        <w:t>監察院</w:t>
      </w:r>
      <w:r w:rsidRPr="00AC77DF">
        <w:t>將持續追蹤法務部檢討改進情形。</w:t>
      </w:r>
    </w:p>
    <w:p w:rsidR="006A68AE" w:rsidRDefault="006A68AE" w:rsidP="00B7222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4560"/>
      </w:tblGrid>
      <w:tr w:rsidR="006A68AE" w:rsidTr="00ED446D">
        <w:tc>
          <w:tcPr>
            <w:tcW w:w="4560" w:type="dxa"/>
            <w:shd w:val="clear" w:color="auto" w:fill="D9D9D9" w:themeFill="background1" w:themeFillShade="D9"/>
          </w:tcPr>
          <w:p w:rsidR="006A68AE" w:rsidRDefault="006A68AE" w:rsidP="00873ADC">
            <w:pPr>
              <w:pStyle w:val="11-"/>
              <w:spacing w:before="72" w:after="108"/>
              <w:rPr>
                <w:lang w:eastAsia="zh-TW"/>
              </w:rPr>
            </w:pPr>
            <w:bookmarkStart w:id="197" w:name="_Toc527731050"/>
            <w:bookmarkStart w:id="198" w:name="_Toc535228351"/>
            <w:bookmarkStart w:id="199" w:name="_Toc4058762"/>
            <w:r w:rsidRPr="00AC77DF">
              <w:t>有罪確定判決採證違背證據法則</w:t>
            </w:r>
            <w:bookmarkEnd w:id="197"/>
            <w:bookmarkEnd w:id="198"/>
            <w:bookmarkEnd w:id="199"/>
          </w:p>
        </w:tc>
      </w:tr>
    </w:tbl>
    <w:p w:rsidR="006A68AE" w:rsidRPr="00AC77DF" w:rsidRDefault="006A68AE" w:rsidP="00B7222B">
      <w:pPr>
        <w:pStyle w:val="1---"/>
        <w:ind w:firstLine="480"/>
        <w:rPr>
          <w:lang w:eastAsia="zh-TW"/>
        </w:rPr>
      </w:pPr>
    </w:p>
    <w:tbl>
      <w:tblPr>
        <w:tblStyle w:val="aff5"/>
        <w:tblW w:w="0" w:type="auto"/>
        <w:tblInd w:w="113" w:type="dxa"/>
        <w:tblLook w:val="04A0" w:firstRow="1" w:lastRow="0" w:firstColumn="1" w:lastColumn="0" w:noHBand="0" w:noVBand="1"/>
      </w:tblPr>
      <w:tblGrid>
        <w:gridCol w:w="6544"/>
      </w:tblGrid>
      <w:tr w:rsidR="0079656F" w:rsidTr="001C3F38">
        <w:trPr>
          <w:trHeight w:val="455"/>
        </w:trPr>
        <w:tc>
          <w:tcPr>
            <w:tcW w:w="6544" w:type="dxa"/>
          </w:tcPr>
          <w:p w:rsidR="0079656F" w:rsidRPr="0079656F" w:rsidRDefault="0079656F" w:rsidP="00ED446D">
            <w:pPr>
              <w:spacing w:line="360" w:lineRule="exact"/>
              <w:rPr>
                <w:lang w:val="x-none"/>
              </w:rPr>
            </w:pPr>
            <w:bookmarkStart w:id="200" w:name="_Toc527731051"/>
            <w:r w:rsidRPr="00AC77DF">
              <w:rPr>
                <w:b/>
                <w:lang w:val="x-none"/>
              </w:rPr>
              <w:t>相關國際人權公約：</w:t>
            </w:r>
            <w:r w:rsidRPr="00AC77DF">
              <w:t>公民與政治權利國際公約第</w:t>
            </w:r>
            <w:r w:rsidRPr="00AC77DF">
              <w:t>14</w:t>
            </w:r>
            <w:r w:rsidRPr="00AC77DF">
              <w:t>條</w:t>
            </w:r>
          </w:p>
        </w:tc>
      </w:tr>
    </w:tbl>
    <w:p w:rsidR="003807A5" w:rsidRPr="00AC77DF" w:rsidRDefault="00873ADC" w:rsidP="00E5718D">
      <w:pPr>
        <w:pStyle w:val="afff1"/>
        <w:spacing w:before="360" w:after="360"/>
      </w:pPr>
      <w:r>
        <w:rPr>
          <w:rFonts w:hint="eastAsia"/>
        </w:rPr>
        <w:t>(一)</w:t>
      </w:r>
      <w:r w:rsidR="003807A5" w:rsidRPr="00AC77DF">
        <w:t>案情簡述</w:t>
      </w:r>
      <w:bookmarkEnd w:id="200"/>
    </w:p>
    <w:p w:rsidR="003807A5" w:rsidRPr="00AC77DF" w:rsidRDefault="003807A5" w:rsidP="00B7222B">
      <w:pPr>
        <w:pStyle w:val="1---"/>
        <w:ind w:firstLine="480"/>
      </w:pPr>
      <w:r w:rsidRPr="00AC77DF">
        <w:t>據黃</w:t>
      </w:r>
      <w:r w:rsidRPr="00937E63">
        <w:rPr>
          <w:rFonts w:asciiTheme="majorEastAsia" w:eastAsiaTheme="majorEastAsia" w:hAnsiTheme="majorEastAsia"/>
        </w:rPr>
        <w:t>○○</w:t>
      </w:r>
      <w:r w:rsidRPr="00AC77DF">
        <w:t>陳訴，臺灣高等法院高雄分院審理其被訴竊盜案件，涉有未詳查事證，率以</w:t>
      </w:r>
      <w:r w:rsidRPr="00AC77DF">
        <w:t>100</w:t>
      </w:r>
      <w:r w:rsidRPr="00AC77DF">
        <w:t>年度上易字第</w:t>
      </w:r>
      <w:r w:rsidRPr="00AC77DF">
        <w:t>498</w:t>
      </w:r>
      <w:r w:rsidRPr="00AC77DF">
        <w:t>號判處</w:t>
      </w:r>
      <w:r w:rsidRPr="00AC77DF">
        <w:t>8</w:t>
      </w:r>
      <w:r w:rsidRPr="00AC77DF">
        <w:t>月有期徒刑確定，損及權益，案經監察院司法及獄政委員會決議調查。</w:t>
      </w:r>
    </w:p>
    <w:p w:rsidR="003807A5" w:rsidRPr="00AC77DF" w:rsidRDefault="00873ADC" w:rsidP="00E5718D">
      <w:pPr>
        <w:pStyle w:val="afff1"/>
        <w:spacing w:before="360" w:after="360"/>
      </w:pPr>
      <w:bookmarkStart w:id="201" w:name="_Toc527731052"/>
      <w:r>
        <w:rPr>
          <w:rFonts w:hint="eastAsia"/>
        </w:rPr>
        <w:lastRenderedPageBreak/>
        <w:t>(二)</w:t>
      </w:r>
      <w:r w:rsidR="003807A5" w:rsidRPr="00AC77DF">
        <w:t>監察院調查發現與建議</w:t>
      </w:r>
      <w:bookmarkEnd w:id="201"/>
    </w:p>
    <w:p w:rsidR="003807A5" w:rsidRPr="00AC77DF" w:rsidRDefault="00383BEE" w:rsidP="00D92DAE">
      <w:pPr>
        <w:pStyle w:val="1--13"/>
        <w:spacing w:before="180" w:after="180"/>
      </w:pPr>
      <w:r w:rsidRPr="008E1832">
        <w:rPr>
          <w:rFonts w:hint="eastAsia"/>
        </w:rPr>
        <w:t>˙</w:t>
      </w:r>
      <w:r w:rsidR="003807A5" w:rsidRPr="00AC77DF">
        <w:t>應調查之證據未予調查</w:t>
      </w:r>
    </w:p>
    <w:p w:rsidR="003807A5" w:rsidRPr="00AC77DF" w:rsidRDefault="003807A5" w:rsidP="00B7222B">
      <w:pPr>
        <w:pStyle w:val="1---"/>
        <w:ind w:firstLine="480"/>
      </w:pPr>
      <w:r w:rsidRPr="00AC77DF">
        <w:t>本案臺灣高等法院高雄分院確定判決撤銷第一審無罪判決，改判陳訴人有罪，並未調查告訴人謝</w:t>
      </w:r>
      <w:r w:rsidRPr="00937E63">
        <w:rPr>
          <w:rFonts w:asciiTheme="majorEastAsia" w:eastAsiaTheme="majorEastAsia" w:hAnsiTheme="majorEastAsia"/>
        </w:rPr>
        <w:t>○○</w:t>
      </w:r>
      <w:r w:rsidRPr="00AC77DF">
        <w:t>及其陳報之合夥人李</w:t>
      </w:r>
      <w:r w:rsidRPr="00937E63">
        <w:rPr>
          <w:rFonts w:asciiTheme="majorEastAsia" w:eastAsiaTheme="majorEastAsia" w:hAnsiTheme="majorEastAsia"/>
        </w:rPr>
        <w:t>○○</w:t>
      </w:r>
      <w:r w:rsidRPr="00AC77DF">
        <w:t>等證述陳訴人並非其等</w:t>
      </w:r>
      <w:r w:rsidRPr="00AC77DF">
        <w:t>7</w:t>
      </w:r>
      <w:r w:rsidRPr="00AC77DF">
        <w:t>人之合夥人等內容是否屬實，即採為被告黃</w:t>
      </w:r>
      <w:r w:rsidRPr="00937E63">
        <w:rPr>
          <w:rFonts w:asciiTheme="majorEastAsia" w:eastAsiaTheme="majorEastAsia" w:hAnsiTheme="majorEastAsia"/>
        </w:rPr>
        <w:t>○○</w:t>
      </w:r>
      <w:r w:rsidRPr="00AC77DF">
        <w:t>竊盜罪有罪判決之依據，顯有刑事訴訟法第</w:t>
      </w:r>
      <w:r w:rsidRPr="00AC77DF">
        <w:t>379</w:t>
      </w:r>
      <w:r w:rsidRPr="00AC77DF">
        <w:t>條第</w:t>
      </w:r>
      <w:r w:rsidRPr="00AC77DF">
        <w:t>10</w:t>
      </w:r>
      <w:r w:rsidRPr="00AC77DF">
        <w:t>款規定應調查之證據未予調查及第</w:t>
      </w:r>
      <w:r w:rsidRPr="00AC77DF">
        <w:t>14</w:t>
      </w:r>
      <w:r w:rsidRPr="00AC77DF">
        <w:t>款規定判決理由不備及矛盾之違法情事。</w:t>
      </w:r>
      <w:r w:rsidRPr="00AC77DF">
        <w:t xml:space="preserve"> </w:t>
      </w:r>
    </w:p>
    <w:p w:rsidR="003807A5" w:rsidRPr="00AC77DF" w:rsidRDefault="003807A5" w:rsidP="00B7222B">
      <w:pPr>
        <w:pStyle w:val="1---"/>
        <w:ind w:firstLine="480"/>
        <w:rPr>
          <w:lang w:eastAsia="zh-TW"/>
        </w:rPr>
      </w:pPr>
      <w:r w:rsidRPr="00AC77DF">
        <w:t>本案告訴人謝</w:t>
      </w:r>
      <w:r w:rsidRPr="008429DA">
        <w:rPr>
          <w:rFonts w:asciiTheme="majorEastAsia" w:eastAsiaTheme="majorEastAsia" w:hAnsiTheme="majorEastAsia"/>
        </w:rPr>
        <w:t>○○</w:t>
      </w:r>
      <w:r w:rsidRPr="00AC77DF">
        <w:t>對該等被竊紅檜等木材之數量、價格及來源之證述，亦與其前開證述合夥撿拾漂流木之情節，同樣有前後不一，出入甚大，顯然可疑的情形。惟臺灣高等法院高雄分院確定判決仍據認定陳訴人對該等被竊紅檜等木材並無所有權，是其竊盜犯行堪以認定等情，理由顯然不備；且有調查未盡之率斷，顯有刑事訴訟法第</w:t>
      </w:r>
      <w:r w:rsidRPr="00AC77DF">
        <w:t>379</w:t>
      </w:r>
      <w:r w:rsidRPr="00AC77DF">
        <w:t>條第</w:t>
      </w:r>
      <w:r w:rsidRPr="00AC77DF">
        <w:t>10</w:t>
      </w:r>
      <w:r w:rsidRPr="00AC77DF">
        <w:t>款應調查之證據未予調查及第</w:t>
      </w:r>
      <w:r w:rsidRPr="00AC77DF">
        <w:t>14</w:t>
      </w:r>
      <w:r w:rsidRPr="00AC77DF">
        <w:t>款判決理由不備之違法。</w:t>
      </w:r>
      <w:r w:rsidRPr="00AC77DF">
        <w:t xml:space="preserve"> </w:t>
      </w:r>
    </w:p>
    <w:p w:rsidR="003807A5" w:rsidRPr="00AC77DF" w:rsidRDefault="00383BEE" w:rsidP="00D92DAE">
      <w:pPr>
        <w:pStyle w:val="1--13"/>
        <w:spacing w:before="180" w:after="180"/>
      </w:pPr>
      <w:r w:rsidRPr="008E1832">
        <w:rPr>
          <w:rFonts w:hint="eastAsia"/>
        </w:rPr>
        <w:t>˙</w:t>
      </w:r>
      <w:r w:rsidR="003807A5" w:rsidRPr="00AC77DF">
        <w:t>未行交互詰問程序</w:t>
      </w:r>
    </w:p>
    <w:p w:rsidR="003807A5" w:rsidRPr="00AC77DF" w:rsidRDefault="003807A5" w:rsidP="00B7222B">
      <w:pPr>
        <w:pStyle w:val="1---"/>
        <w:ind w:firstLine="480"/>
      </w:pPr>
      <w:r w:rsidRPr="00AC77DF">
        <w:t>本案臺灣高雄地方法院判決被告黃</w:t>
      </w:r>
      <w:r w:rsidRPr="008429DA">
        <w:rPr>
          <w:rFonts w:asciiTheme="majorEastAsia" w:eastAsiaTheme="majorEastAsia" w:hAnsiTheme="majorEastAsia"/>
        </w:rPr>
        <w:t>○○</w:t>
      </w:r>
      <w:r w:rsidRPr="00AC77DF">
        <w:t>竊盜罪無罪之審理，遵循刑事訴訟法</w:t>
      </w:r>
      <w:r w:rsidRPr="00F0494B">
        <w:rPr>
          <w:spacing w:val="-10"/>
        </w:rPr>
        <w:t>第</w:t>
      </w:r>
      <w:r w:rsidRPr="00AC77DF">
        <w:t>16</w:t>
      </w:r>
      <w:r w:rsidRPr="00F0494B">
        <w:rPr>
          <w:spacing w:val="-10"/>
        </w:rPr>
        <w:t>6</w:t>
      </w:r>
      <w:r w:rsidRPr="00AC77DF">
        <w:t>條詰問規定，對證人進行交互詰問程序。惟臺灣高等法院高雄分院確定判決改判被告黃</w:t>
      </w:r>
      <w:r w:rsidRPr="008429DA">
        <w:rPr>
          <w:rFonts w:asciiTheme="majorEastAsia" w:eastAsiaTheme="majorEastAsia" w:hAnsiTheme="majorEastAsia"/>
        </w:rPr>
        <w:t>○○</w:t>
      </w:r>
      <w:r w:rsidRPr="00AC77DF">
        <w:t>有罪確定案件，未行交互詰問程序，未於職權訊問個別證人後，即請檢察官逐一詰問證人，未予被告黃</w:t>
      </w:r>
      <w:r w:rsidRPr="008429DA">
        <w:rPr>
          <w:rFonts w:asciiTheme="majorEastAsia" w:eastAsiaTheme="majorEastAsia" w:hAnsiTheme="majorEastAsia"/>
        </w:rPr>
        <w:t>○○詰</w:t>
      </w:r>
      <w:r w:rsidRPr="00AC77DF">
        <w:t>問證人之機會，審判筆錄亦未記載被告黃</w:t>
      </w:r>
      <w:r w:rsidRPr="008429DA">
        <w:rPr>
          <w:rFonts w:asciiTheme="majorEastAsia" w:eastAsiaTheme="majorEastAsia" w:hAnsiTheme="majorEastAsia"/>
        </w:rPr>
        <w:t>○○</w:t>
      </w:r>
      <w:r w:rsidRPr="00AC77DF">
        <w:t>已明示放棄詰問證人之機會，顯然混</w:t>
      </w:r>
      <w:r w:rsidRPr="00AC77DF">
        <w:lastRenderedPageBreak/>
        <w:t>淆刑事訴訟法第</w:t>
      </w:r>
      <w:r w:rsidRPr="00AC77DF">
        <w:t>288</w:t>
      </w:r>
      <w:r w:rsidRPr="00AC77DF">
        <w:t>條之</w:t>
      </w:r>
      <w:r w:rsidRPr="00AC77DF">
        <w:t>1</w:t>
      </w:r>
      <w:r w:rsidRPr="00AC77DF">
        <w:t>第</w:t>
      </w:r>
      <w:r w:rsidRPr="00AC77DF">
        <w:t>1</w:t>
      </w:r>
      <w:r w:rsidRPr="00AC77DF">
        <w:t>項規定「審判長每調查一證據畢，應詢問當事人有無意見」及當事人依同法</w:t>
      </w:r>
      <w:r w:rsidRPr="00F0494B">
        <w:rPr>
          <w:spacing w:val="-10"/>
        </w:rPr>
        <w:t>第</w:t>
      </w:r>
      <w:r w:rsidRPr="00AC77DF">
        <w:t>16</w:t>
      </w:r>
      <w:r w:rsidRPr="00F0494B">
        <w:rPr>
          <w:spacing w:val="-10"/>
        </w:rPr>
        <w:t>6</w:t>
      </w:r>
      <w:r w:rsidRPr="00AC77DF">
        <w:t>條以降在審判中對證人之「詰問權」之規定，不當剝奪被告黃</w:t>
      </w:r>
      <w:r w:rsidRPr="008429DA">
        <w:rPr>
          <w:rFonts w:asciiTheme="majorEastAsia" w:eastAsiaTheme="majorEastAsia" w:hAnsiTheme="majorEastAsia"/>
        </w:rPr>
        <w:t>○○依</w:t>
      </w:r>
      <w:r w:rsidRPr="00AC77DF">
        <w:t>據刑事訴訟法第</w:t>
      </w:r>
      <w:r w:rsidRPr="00AC77DF">
        <w:t>166</w:t>
      </w:r>
      <w:r w:rsidRPr="00AC77DF">
        <w:t>條之</w:t>
      </w:r>
      <w:r w:rsidRPr="00AC77DF">
        <w:t>6</w:t>
      </w:r>
      <w:r w:rsidRPr="00AC77DF">
        <w:t>等規定應有之詰問權，其確定判決復採為判斷之依據，採證違背證據法則，並侵害被告黃</w:t>
      </w:r>
      <w:r w:rsidRPr="008429DA">
        <w:rPr>
          <w:rFonts w:asciiTheme="majorEastAsia" w:eastAsiaTheme="majorEastAsia" w:hAnsiTheme="majorEastAsia"/>
        </w:rPr>
        <w:t>○○</w:t>
      </w:r>
      <w:r w:rsidRPr="00AC77DF">
        <w:t>依據憲法第</w:t>
      </w:r>
      <w:r w:rsidRPr="00AC77DF">
        <w:t>16</w:t>
      </w:r>
      <w:r w:rsidRPr="00AC77DF">
        <w:t>條應受保障之訴訟權，自屬訴訟程序違背法令而影響於判決，得為非常上訴之理由。</w:t>
      </w:r>
    </w:p>
    <w:p w:rsidR="003807A5" w:rsidRPr="00AC77DF" w:rsidRDefault="003807A5" w:rsidP="00B7222B">
      <w:pPr>
        <w:pStyle w:val="1---"/>
        <w:ind w:firstLine="480"/>
      </w:pPr>
      <w:r w:rsidRPr="00AC77DF">
        <w:t>依據本案調查意見</w:t>
      </w:r>
      <w:r w:rsidRPr="00F85A65">
        <w:rPr>
          <w:rStyle w:val="aff2"/>
        </w:rPr>
        <w:footnoteReference w:id="68"/>
      </w:r>
      <w:r w:rsidRPr="00AC77DF">
        <w:t>，監察院函請法務部轉請所屬研處。</w:t>
      </w:r>
    </w:p>
    <w:p w:rsidR="003807A5" w:rsidRPr="00AC77DF" w:rsidRDefault="00873ADC" w:rsidP="00E5718D">
      <w:pPr>
        <w:pStyle w:val="afff1"/>
        <w:spacing w:before="360" w:after="360"/>
      </w:pPr>
      <w:bookmarkStart w:id="202" w:name="_Toc527731053"/>
      <w:r>
        <w:rPr>
          <w:rFonts w:hint="eastAsia"/>
        </w:rPr>
        <w:t>(三)</w:t>
      </w:r>
      <w:r w:rsidR="003807A5" w:rsidRPr="00AC77DF">
        <w:t>政府機關改善情形</w:t>
      </w:r>
      <w:bookmarkEnd w:id="202"/>
    </w:p>
    <w:p w:rsidR="003807A5" w:rsidRPr="00AC77DF" w:rsidRDefault="003807A5" w:rsidP="007373B4">
      <w:pPr>
        <w:pStyle w:val="1----"/>
        <w:ind w:left="600" w:hanging="360"/>
      </w:pPr>
      <w:r w:rsidRPr="00AC77DF">
        <w:t>1</w:t>
      </w:r>
      <w:r w:rsidRPr="00AC77DF">
        <w:t>、本案業經</w:t>
      </w:r>
      <w:r w:rsidR="005012B9">
        <w:rPr>
          <w:rFonts w:hint="eastAsia"/>
        </w:rPr>
        <w:t>高檢署</w:t>
      </w:r>
      <w:r w:rsidRPr="00AC77DF">
        <w:t>高雄檢察分署檢察官聲請再審（</w:t>
      </w:r>
      <w:r w:rsidRPr="00AC77DF">
        <w:t>107</w:t>
      </w:r>
      <w:r w:rsidRPr="00AC77DF">
        <w:t>年度再字第</w:t>
      </w:r>
      <w:r w:rsidRPr="00AC77DF">
        <w:t>1</w:t>
      </w:r>
      <w:r w:rsidRPr="00AC77DF">
        <w:t>號）。</w:t>
      </w:r>
    </w:p>
    <w:p w:rsidR="003807A5" w:rsidRPr="00AC77DF" w:rsidRDefault="003807A5" w:rsidP="007373B4">
      <w:pPr>
        <w:pStyle w:val="1----"/>
        <w:ind w:left="600" w:hanging="360"/>
      </w:pPr>
      <w:r w:rsidRPr="00AC77DF">
        <w:t>2</w:t>
      </w:r>
      <w:r w:rsidRPr="00AC77DF">
        <w:t>、本案業經</w:t>
      </w:r>
      <w:r w:rsidR="00511936" w:rsidRPr="00E62FE3">
        <w:rPr>
          <w:rFonts w:hint="eastAsia"/>
        </w:rPr>
        <w:t>最高檢</w:t>
      </w:r>
      <w:r w:rsidRPr="00AC77DF">
        <w:t>檢察總長提起非常上訴中（</w:t>
      </w:r>
      <w:r w:rsidRPr="00AC77DF">
        <w:t>107</w:t>
      </w:r>
      <w:r w:rsidRPr="00AC77DF">
        <w:t>年度非上字第</w:t>
      </w:r>
      <w:r w:rsidRPr="00AC77DF">
        <w:t>46</w:t>
      </w:r>
      <w:r w:rsidRPr="00AC77DF">
        <w:t>號）。</w:t>
      </w:r>
    </w:p>
    <w:p w:rsidR="003807A5" w:rsidRPr="00AC77DF" w:rsidRDefault="00873ADC" w:rsidP="00E5718D">
      <w:pPr>
        <w:pStyle w:val="afff1"/>
        <w:spacing w:before="360" w:after="360"/>
      </w:pPr>
      <w:bookmarkStart w:id="203" w:name="_Toc527731054"/>
      <w:r>
        <w:rPr>
          <w:rFonts w:hint="eastAsia"/>
        </w:rPr>
        <w:t>(四)</w:t>
      </w:r>
      <w:r w:rsidR="003807A5" w:rsidRPr="00AC77DF">
        <w:t>案件進展</w:t>
      </w:r>
      <w:bookmarkEnd w:id="203"/>
    </w:p>
    <w:p w:rsidR="003807A5" w:rsidRDefault="003807A5" w:rsidP="00B7222B">
      <w:pPr>
        <w:pStyle w:val="1---"/>
        <w:ind w:firstLine="480"/>
        <w:rPr>
          <w:lang w:eastAsia="zh-TW"/>
        </w:rPr>
      </w:pPr>
      <w:r w:rsidRPr="00AC77DF">
        <w:rPr>
          <w:lang w:val="en-US"/>
        </w:rPr>
        <w:t>監察</w:t>
      </w:r>
      <w:r w:rsidRPr="00AC77DF">
        <w:t>院將持續瞭解再審及非常上訴結果。</w:t>
      </w:r>
    </w:p>
    <w:p w:rsidR="00873ADC" w:rsidRDefault="00873ADC" w:rsidP="00B7222B">
      <w:pPr>
        <w:pStyle w:val="1---"/>
        <w:ind w:firstLine="480"/>
        <w:rPr>
          <w:lang w:eastAsia="zh-TW"/>
        </w:rPr>
      </w:pPr>
    </w:p>
    <w:p w:rsidR="001C3F38" w:rsidRDefault="001C3F38" w:rsidP="00B7222B">
      <w:pPr>
        <w:pStyle w:val="1---"/>
        <w:ind w:firstLine="480"/>
        <w:rPr>
          <w:lang w:eastAsia="zh-TW"/>
        </w:rPr>
      </w:pPr>
    </w:p>
    <w:p w:rsidR="001C3F38" w:rsidRDefault="001C3F38" w:rsidP="00B7222B">
      <w:pPr>
        <w:pStyle w:val="1---"/>
        <w:ind w:firstLine="480"/>
        <w:rPr>
          <w:lang w:eastAsia="zh-TW"/>
        </w:rPr>
      </w:pPr>
    </w:p>
    <w:p w:rsidR="001C3F38" w:rsidRDefault="001C3F38" w:rsidP="00B7222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4276"/>
      </w:tblGrid>
      <w:tr w:rsidR="00816ED5" w:rsidTr="00F0494B">
        <w:tc>
          <w:tcPr>
            <w:tcW w:w="4276" w:type="dxa"/>
            <w:shd w:val="clear" w:color="auto" w:fill="D9D9D9" w:themeFill="background1" w:themeFillShade="D9"/>
          </w:tcPr>
          <w:p w:rsidR="00816ED5" w:rsidRDefault="00816ED5" w:rsidP="00F0494B">
            <w:pPr>
              <w:pStyle w:val="11-"/>
              <w:spacing w:before="72" w:after="108"/>
              <w:rPr>
                <w:lang w:eastAsia="zh-TW"/>
              </w:rPr>
            </w:pPr>
            <w:bookmarkStart w:id="204" w:name="_Toc527731134"/>
            <w:bookmarkStart w:id="205" w:name="_Toc535228352"/>
            <w:bookmarkStart w:id="206" w:name="_Toc4058763"/>
            <w:r w:rsidRPr="00AC77DF">
              <w:lastRenderedPageBreak/>
              <w:t>判決不備理由或適用不當違誤</w:t>
            </w:r>
            <w:bookmarkEnd w:id="204"/>
            <w:bookmarkEnd w:id="205"/>
            <w:bookmarkEnd w:id="206"/>
          </w:p>
        </w:tc>
      </w:tr>
    </w:tbl>
    <w:p w:rsidR="003807A5" w:rsidRPr="00AC77DF" w:rsidRDefault="003807A5" w:rsidP="00F0494B">
      <w:pPr>
        <w:pStyle w:val="1---"/>
        <w:ind w:firstLine="480"/>
      </w:pPr>
    </w:p>
    <w:tbl>
      <w:tblPr>
        <w:tblStyle w:val="aff5"/>
        <w:tblW w:w="0" w:type="auto"/>
        <w:tblInd w:w="113" w:type="dxa"/>
        <w:tblLook w:val="04A0" w:firstRow="1" w:lastRow="0" w:firstColumn="1" w:lastColumn="0" w:noHBand="0" w:noVBand="1"/>
      </w:tblPr>
      <w:tblGrid>
        <w:gridCol w:w="6544"/>
      </w:tblGrid>
      <w:tr w:rsidR="0079656F" w:rsidTr="001C3F38">
        <w:trPr>
          <w:trHeight w:val="442"/>
        </w:trPr>
        <w:tc>
          <w:tcPr>
            <w:tcW w:w="6544" w:type="dxa"/>
          </w:tcPr>
          <w:p w:rsidR="0079656F" w:rsidRPr="0079656F" w:rsidRDefault="0079656F" w:rsidP="00F0494B">
            <w:pPr>
              <w:spacing w:line="360" w:lineRule="exact"/>
              <w:rPr>
                <w:lang w:val="x-none"/>
              </w:rPr>
            </w:pPr>
            <w:bookmarkStart w:id="207" w:name="_Toc527731135"/>
            <w:r w:rsidRPr="00AC77DF">
              <w:rPr>
                <w:b/>
                <w:lang w:val="x-none"/>
              </w:rPr>
              <w:t>相關國際人權公約：</w:t>
            </w:r>
            <w:r w:rsidRPr="00AC77DF">
              <w:t>公民與政治權利國際公約第</w:t>
            </w:r>
            <w:r w:rsidRPr="00AC77DF">
              <w:t>14</w:t>
            </w:r>
            <w:r w:rsidRPr="00AC77DF">
              <w:t>條</w:t>
            </w:r>
          </w:p>
        </w:tc>
      </w:tr>
    </w:tbl>
    <w:p w:rsidR="003807A5" w:rsidRPr="00AC77DF" w:rsidRDefault="00816ED5" w:rsidP="00E5718D">
      <w:pPr>
        <w:pStyle w:val="afff1"/>
        <w:spacing w:before="360" w:after="360"/>
      </w:pPr>
      <w:r>
        <w:rPr>
          <w:rFonts w:hint="eastAsia"/>
        </w:rPr>
        <w:t>(一)</w:t>
      </w:r>
      <w:r w:rsidR="003807A5" w:rsidRPr="00AC77DF">
        <w:t>案情簡述</w:t>
      </w:r>
      <w:bookmarkEnd w:id="207"/>
    </w:p>
    <w:p w:rsidR="003807A5" w:rsidRPr="00AC77DF" w:rsidRDefault="003807A5" w:rsidP="00B7222B">
      <w:pPr>
        <w:pStyle w:val="1---"/>
        <w:ind w:firstLine="480"/>
      </w:pPr>
      <w:r w:rsidRPr="00AC77DF">
        <w:t>交通部前</w:t>
      </w:r>
      <w:r w:rsidR="00E245D8" w:rsidRPr="00666024">
        <w:rPr>
          <w:rFonts w:hint="eastAsia"/>
          <w:color w:val="000000" w:themeColor="text1"/>
        </w:rPr>
        <w:t>郭瑤琪</w:t>
      </w:r>
      <w:r w:rsidRPr="00AC77DF">
        <w:t>部長被控在臺灣鐵路管理局臺北車站招標案中涉收賄判刑</w:t>
      </w:r>
      <w:r w:rsidRPr="00AC77DF">
        <w:t>8</w:t>
      </w:r>
      <w:r w:rsidRPr="00AC77DF">
        <w:t>年確定，因罹患癌症刻保外醫治，所涉招標案為促參案件，有關被論罪科刑之行賄、收賄合意的時間、地點及合意方式等相關證據，是否符合證據法則、經驗法則、無罪推定等原則，因迭有爭論，監察委員爰立案調查。</w:t>
      </w:r>
    </w:p>
    <w:p w:rsidR="003807A5" w:rsidRPr="00AC77DF" w:rsidRDefault="00816ED5" w:rsidP="00E5718D">
      <w:pPr>
        <w:pStyle w:val="afff1"/>
        <w:spacing w:before="360" w:after="360"/>
      </w:pPr>
      <w:bookmarkStart w:id="208" w:name="_Toc527731136"/>
      <w:r>
        <w:rPr>
          <w:rFonts w:hint="eastAsia"/>
        </w:rPr>
        <w:t>(二)</w:t>
      </w:r>
      <w:r w:rsidR="003807A5" w:rsidRPr="00AC77DF">
        <w:t>監察院調查發現與建議</w:t>
      </w:r>
      <w:bookmarkEnd w:id="208"/>
    </w:p>
    <w:p w:rsidR="003807A5" w:rsidRPr="00AC77DF" w:rsidRDefault="00383BEE" w:rsidP="00D92DAE">
      <w:pPr>
        <w:pStyle w:val="1--13"/>
        <w:spacing w:before="180" w:after="180"/>
      </w:pPr>
      <w:r w:rsidRPr="008E1832">
        <w:rPr>
          <w:rFonts w:hint="eastAsia"/>
        </w:rPr>
        <w:t>˙</w:t>
      </w:r>
      <w:r w:rsidR="003807A5" w:rsidRPr="00AC77DF">
        <w:t>所憑證據尚有疑義</w:t>
      </w:r>
    </w:p>
    <w:p w:rsidR="00F0494B" w:rsidRPr="00AC77DF" w:rsidRDefault="003807A5" w:rsidP="00B7222B">
      <w:pPr>
        <w:pStyle w:val="1---"/>
        <w:ind w:firstLine="480"/>
        <w:rPr>
          <w:lang w:eastAsia="zh-TW"/>
        </w:rPr>
      </w:pPr>
      <w:r w:rsidRPr="00AC77DF">
        <w:t>本案確定終局判決之臺灣高等法院</w:t>
      </w:r>
      <w:r w:rsidRPr="00AC77DF">
        <w:t>101</w:t>
      </w:r>
      <w:r w:rsidRPr="00AC77DF">
        <w:t>年度重上更（二）字第</w:t>
      </w:r>
      <w:r w:rsidRPr="00AC77DF">
        <w:t>104</w:t>
      </w:r>
      <w:r w:rsidRPr="00AC77DF">
        <w:t>號刑事判決於判決事實欄有：於</w:t>
      </w:r>
      <w:r w:rsidRPr="00AC77DF">
        <w:t>95</w:t>
      </w:r>
      <w:r w:rsidRPr="00AC77DF">
        <w:t>年</w:t>
      </w:r>
      <w:r w:rsidRPr="00AC77DF">
        <w:t>7</w:t>
      </w:r>
      <w:r w:rsidRPr="00AC77DF">
        <w:t>月</w:t>
      </w:r>
      <w:r w:rsidRPr="00AC77DF">
        <w:t>4</w:t>
      </w:r>
      <w:r w:rsidRPr="00AC77DF">
        <w:t>日</w:t>
      </w:r>
      <w:r w:rsidR="00E245D8" w:rsidRPr="00666024">
        <w:rPr>
          <w:rFonts w:hint="eastAsia"/>
          <w:color w:val="000000" w:themeColor="text1"/>
        </w:rPr>
        <w:t>郭瑤琪</w:t>
      </w:r>
      <w:r w:rsidRPr="008429DA">
        <w:rPr>
          <w:rFonts w:asciiTheme="majorEastAsia" w:eastAsiaTheme="majorEastAsia" w:hAnsiTheme="majorEastAsia"/>
        </w:rPr>
        <w:t>對</w:t>
      </w:r>
      <w:r w:rsidR="00E245D8">
        <w:rPr>
          <w:rFonts w:hint="eastAsia"/>
          <w:color w:val="000000" w:themeColor="text1"/>
        </w:rPr>
        <w:t>李○波</w:t>
      </w:r>
      <w:r w:rsidR="00E245D8" w:rsidRPr="000E76FA">
        <w:rPr>
          <w:rFonts w:hint="eastAsia"/>
          <w:color w:val="000000" w:themeColor="text1"/>
        </w:rPr>
        <w:t>委由</w:t>
      </w:r>
      <w:r w:rsidR="00E245D8">
        <w:rPr>
          <w:rFonts w:hint="eastAsia"/>
          <w:color w:val="000000" w:themeColor="text1"/>
        </w:rPr>
        <w:t>李○賢</w:t>
      </w:r>
      <w:r w:rsidRPr="00AC77DF">
        <w:t>致贈之美金</w:t>
      </w:r>
      <w:r w:rsidRPr="00AC77DF">
        <w:t>2</w:t>
      </w:r>
      <w:r w:rsidRPr="00AC77DF">
        <w:t>萬元應係「賄款」「有所認識」，且基於縱需利用其職務行為或職權影響力以協助南仁湖公司參與臺北車站商場標租案亦不違背其本意之收受賄賂「不確定犯意</w:t>
      </w:r>
      <w:r w:rsidRPr="00F0494B">
        <w:rPr>
          <w:spacing w:val="-30"/>
        </w:rPr>
        <w:t>」</w:t>
      </w:r>
      <w:r w:rsidRPr="00AC77DF">
        <w:t>，而予以收受等記載；然查，該判決理由欄內，並未對</w:t>
      </w:r>
      <w:r w:rsidR="00E245D8" w:rsidRPr="00666024">
        <w:rPr>
          <w:rFonts w:hint="eastAsia"/>
          <w:color w:val="000000" w:themeColor="text1"/>
        </w:rPr>
        <w:t>郭瑤琪</w:t>
      </w:r>
      <w:r w:rsidRPr="00AC77DF">
        <w:t>於</w:t>
      </w:r>
      <w:r w:rsidRPr="00AC77DF">
        <w:t>95</w:t>
      </w:r>
      <w:r w:rsidRPr="00AC77DF">
        <w:t>年</w:t>
      </w:r>
      <w:r w:rsidRPr="00AC77DF">
        <w:t>7</w:t>
      </w:r>
      <w:r w:rsidRPr="00AC77DF">
        <w:t>月</w:t>
      </w:r>
      <w:r w:rsidRPr="00AC77DF">
        <w:t>4</w:t>
      </w:r>
      <w:r w:rsidRPr="00AC77DF">
        <w:t>日收受美金</w:t>
      </w:r>
      <w:r w:rsidRPr="00AC77DF">
        <w:t>2</w:t>
      </w:r>
      <w:r w:rsidRPr="00AC77DF">
        <w:t>萬元當時即已對屬賄賂「有所認識</w:t>
      </w:r>
      <w:r w:rsidRPr="00F0494B">
        <w:rPr>
          <w:spacing w:val="-30"/>
        </w:rPr>
        <w:t>」</w:t>
      </w:r>
      <w:r w:rsidRPr="00AC77DF">
        <w:t>，且有協助南仁湖公司之「不確定犯意」之相關</w:t>
      </w:r>
      <w:r w:rsidRPr="00AC77DF">
        <w:lastRenderedPageBreak/>
        <w:t>證據有所說明，亦乏由相關證據而認定前開事實之理由。又有關</w:t>
      </w:r>
      <w:r w:rsidR="00E245D8" w:rsidRPr="00666024">
        <w:rPr>
          <w:rFonts w:hint="eastAsia"/>
          <w:color w:val="000000" w:themeColor="text1"/>
        </w:rPr>
        <w:t>郭瑤琪</w:t>
      </w:r>
      <w:r w:rsidRPr="00AC77DF">
        <w:t>及</w:t>
      </w:r>
      <w:r w:rsidR="00E245D8">
        <w:rPr>
          <w:rFonts w:hint="eastAsia"/>
          <w:color w:val="000000" w:themeColor="text1"/>
        </w:rPr>
        <w:t>李○波</w:t>
      </w:r>
      <w:r w:rsidRPr="00AC77DF">
        <w:t>雙方是否有賄賂合意之點，已經最高法院</w:t>
      </w:r>
      <w:r w:rsidRPr="00AC77DF">
        <w:t>101</w:t>
      </w:r>
      <w:r w:rsidRPr="00AC77DF">
        <w:t>年度台上字第</w:t>
      </w:r>
      <w:r w:rsidRPr="00AC77DF">
        <w:t>4315</w:t>
      </w:r>
      <w:r w:rsidRPr="00AC77DF">
        <w:t>號刑事判決予以指駁並發回更審。然該判決卻仍未予調查釐清，亦未於理由欄內說明有何無法或無需調查之情事；復查該確定判決理由欄推論</w:t>
      </w:r>
      <w:r w:rsidR="00E245D8" w:rsidRPr="00666024">
        <w:rPr>
          <w:rFonts w:hint="eastAsia"/>
          <w:color w:val="000000" w:themeColor="text1"/>
        </w:rPr>
        <w:t>郭瑤琪</w:t>
      </w:r>
      <w:r w:rsidRPr="00AC77DF">
        <w:t>收受美金當</w:t>
      </w:r>
      <w:r w:rsidR="00F0494B">
        <w:rPr>
          <w:rFonts w:hint="eastAsia"/>
          <w:lang w:eastAsia="zh-TW"/>
        </w:rPr>
        <w:t xml:space="preserve">  </w:t>
      </w:r>
      <w:r w:rsidRPr="00AC77DF">
        <w:t>時即有「不確定犯意」及「賄賂合意</w:t>
      </w:r>
      <w:r w:rsidRPr="00F0494B">
        <w:rPr>
          <w:spacing w:val="-30"/>
        </w:rPr>
        <w:t>」</w:t>
      </w:r>
      <w:r w:rsidRPr="00AC77DF">
        <w:t>，其認定事實不依證據徒憑臆測，據以推論之方式更違反論理法則，核有刑事訴訟法第</w:t>
      </w:r>
      <w:r w:rsidRPr="00AC77DF">
        <w:t>379</w:t>
      </w:r>
      <w:r w:rsidRPr="00AC77DF">
        <w:t>條第</w:t>
      </w:r>
      <w:r w:rsidRPr="00AC77DF">
        <w:t>10</w:t>
      </w:r>
      <w:r w:rsidRPr="00AC77DF">
        <w:t>款應於審判期日調查之證據未予調查、同條第</w:t>
      </w:r>
      <w:r w:rsidRPr="00AC77DF">
        <w:t>14</w:t>
      </w:r>
      <w:r w:rsidRPr="00AC77DF">
        <w:t>款判決不備理由及第</w:t>
      </w:r>
      <w:r w:rsidRPr="00AC77DF">
        <w:t>378</w:t>
      </w:r>
      <w:r w:rsidRPr="00AC77DF">
        <w:t>條判決不適用法則或適用不當之違誤。</w:t>
      </w:r>
    </w:p>
    <w:p w:rsidR="003807A5" w:rsidRPr="00AC77DF" w:rsidRDefault="00383BEE" w:rsidP="00D92DAE">
      <w:pPr>
        <w:pStyle w:val="1--13"/>
        <w:spacing w:before="180" w:after="180"/>
      </w:pPr>
      <w:r w:rsidRPr="008E1832">
        <w:rPr>
          <w:rFonts w:hint="eastAsia"/>
        </w:rPr>
        <w:t>˙</w:t>
      </w:r>
      <w:r w:rsidR="003807A5" w:rsidRPr="00AC77DF">
        <w:t>證詞真偽尚待確認</w:t>
      </w:r>
    </w:p>
    <w:p w:rsidR="003807A5" w:rsidRPr="00AC77DF" w:rsidRDefault="003807A5" w:rsidP="00B7222B">
      <w:pPr>
        <w:pStyle w:val="1---"/>
        <w:ind w:firstLine="480"/>
      </w:pPr>
      <w:r w:rsidRPr="00AC77DF">
        <w:t>本案之確定終局判決認定被告</w:t>
      </w:r>
      <w:r w:rsidR="00E245D8" w:rsidRPr="00666024">
        <w:rPr>
          <w:rFonts w:hint="eastAsia"/>
          <w:color w:val="000000" w:themeColor="text1"/>
        </w:rPr>
        <w:t>郭瑤琪</w:t>
      </w:r>
      <w:r w:rsidRPr="00AC77DF">
        <w:t>有收受茶葉罐內美金</w:t>
      </w:r>
      <w:r w:rsidRPr="00AC77DF">
        <w:t>2</w:t>
      </w:r>
      <w:r w:rsidRPr="00AC77DF">
        <w:t>萬元，係以該茶葉罐實際致送人</w:t>
      </w:r>
      <w:r w:rsidR="00E245D8">
        <w:rPr>
          <w:rFonts w:hint="eastAsia"/>
          <w:color w:val="000000" w:themeColor="text1"/>
        </w:rPr>
        <w:t>李○賢</w:t>
      </w:r>
      <w:r w:rsidRPr="008429DA">
        <w:rPr>
          <w:rFonts w:asciiTheme="majorEastAsia" w:eastAsiaTheme="majorEastAsia" w:hAnsiTheme="majorEastAsia"/>
        </w:rPr>
        <w:t>證詞，及</w:t>
      </w:r>
      <w:r w:rsidR="00E245D8">
        <w:rPr>
          <w:rFonts w:hint="eastAsia"/>
          <w:color w:val="000000" w:themeColor="text1"/>
        </w:rPr>
        <w:t>李○波</w:t>
      </w:r>
      <w:r w:rsidRPr="00AC77DF">
        <w:t>之通訊監察譯文、相關證人證詞及相關往來銀行換匯水單、取款憑條等為認定，惟足以直接證明茶葉罐內有美金者，僅證人</w:t>
      </w:r>
      <w:r w:rsidR="00E245D8">
        <w:rPr>
          <w:rFonts w:hint="eastAsia"/>
          <w:color w:val="000000" w:themeColor="text1"/>
        </w:rPr>
        <w:t>李○賢</w:t>
      </w:r>
      <w:r w:rsidRPr="008429DA">
        <w:rPr>
          <w:rFonts w:asciiTheme="majorEastAsia" w:eastAsiaTheme="majorEastAsia" w:hAnsiTheme="majorEastAsia"/>
        </w:rPr>
        <w:t>之證詞，雖李○賢</w:t>
      </w:r>
      <w:r w:rsidRPr="00AC77DF">
        <w:t>之行為係因貪污治罪條例當時尚無處罰規定而為檢察官不起訴，惟該證人實際上係屬行賄者，且其於檢察官偵訊之初始，即受告知將適用證人保護法，並於證述後具結，是其證詞本質上存有較大之虛偽危險性情況，與一般行賄者或適用證人保護法者並無二致，而在查無收賄物證之情形下，相關證據對於貪污治罪條例第</w:t>
      </w:r>
      <w:r w:rsidRPr="00AC77DF">
        <w:t>5</w:t>
      </w:r>
      <w:r w:rsidRPr="00AC77DF">
        <w:t>條第</w:t>
      </w:r>
      <w:r w:rsidRPr="00AC77DF">
        <w:t>1</w:t>
      </w:r>
      <w:r w:rsidRPr="00AC77DF">
        <w:t>項第</w:t>
      </w:r>
      <w:r w:rsidRPr="00AC77DF">
        <w:t>3</w:t>
      </w:r>
      <w:r w:rsidRPr="00AC77DF">
        <w:t>款所規定收受之客觀構成要件，其補強程度尚難謂已達無合理懷疑之程度。本案確定判決仍憑以認定被告有收受美金之事實，核有刑事訴訟法第</w:t>
      </w:r>
      <w:r w:rsidRPr="00AC77DF">
        <w:t>379</w:t>
      </w:r>
      <w:r w:rsidRPr="00AC77DF">
        <w:t>條第</w:t>
      </w:r>
      <w:r w:rsidRPr="00AC77DF">
        <w:t>10</w:t>
      </w:r>
      <w:r w:rsidRPr="00AC77DF">
        <w:t>款應於審判期日調查之證據未予調查及第</w:t>
      </w:r>
      <w:r w:rsidRPr="00AC77DF">
        <w:lastRenderedPageBreak/>
        <w:t>378</w:t>
      </w:r>
      <w:r w:rsidRPr="00AC77DF">
        <w:t>條判決不適用法則或適用不當之違誤。</w:t>
      </w:r>
    </w:p>
    <w:p w:rsidR="003807A5" w:rsidRPr="00AC77DF" w:rsidRDefault="003807A5" w:rsidP="00B7222B">
      <w:pPr>
        <w:pStyle w:val="1---"/>
        <w:ind w:firstLine="480"/>
      </w:pPr>
      <w:r w:rsidRPr="00AC77DF">
        <w:t>依據本案調查意見</w:t>
      </w:r>
      <w:r w:rsidRPr="00AC77DF">
        <w:rPr>
          <w:rStyle w:val="aff2"/>
          <w:color w:val="000000" w:themeColor="text1"/>
        </w:rPr>
        <w:footnoteReference w:id="69"/>
      </w:r>
      <w:r w:rsidRPr="00AC77DF">
        <w:t>，監察院函請法務部轉請最高檢檢察總長研酌提起非常上訴。</w:t>
      </w:r>
    </w:p>
    <w:p w:rsidR="003807A5" w:rsidRPr="00AC77DF" w:rsidRDefault="00816ED5" w:rsidP="00E5718D">
      <w:pPr>
        <w:pStyle w:val="afff1"/>
        <w:spacing w:before="360" w:after="360"/>
      </w:pPr>
      <w:bookmarkStart w:id="209" w:name="_Toc527731137"/>
      <w:r>
        <w:rPr>
          <w:rFonts w:hint="eastAsia"/>
        </w:rPr>
        <w:t>(三)</w:t>
      </w:r>
      <w:r w:rsidR="003807A5" w:rsidRPr="00AC77DF">
        <w:t>政府機關改善情形</w:t>
      </w:r>
      <w:bookmarkEnd w:id="209"/>
    </w:p>
    <w:p w:rsidR="003807A5" w:rsidRPr="00AC77DF" w:rsidRDefault="003807A5" w:rsidP="007373B4">
      <w:pPr>
        <w:pStyle w:val="1----"/>
        <w:ind w:left="600" w:hanging="360"/>
      </w:pPr>
      <w:r w:rsidRPr="00AC77DF">
        <w:t>1</w:t>
      </w:r>
      <w:r w:rsidRPr="00AC77DF">
        <w:t>、法務部</w:t>
      </w:r>
      <w:r w:rsidRPr="00AC77DF">
        <w:t>106</w:t>
      </w:r>
      <w:r w:rsidRPr="00AC77DF">
        <w:t>年</w:t>
      </w:r>
      <w:r w:rsidRPr="00AC77DF">
        <w:t>6</w:t>
      </w:r>
      <w:r w:rsidRPr="00AC77DF">
        <w:t>月</w:t>
      </w:r>
      <w:r w:rsidRPr="00AC77DF">
        <w:t>5</w:t>
      </w:r>
      <w:r w:rsidRPr="00AC77DF">
        <w:t>日法檢字第</w:t>
      </w:r>
      <w:r w:rsidRPr="00AC77DF">
        <w:t>10600582200</w:t>
      </w:r>
      <w:r w:rsidRPr="00AC77DF">
        <w:t>號（收文：</w:t>
      </w:r>
      <w:r w:rsidRPr="00AC77DF">
        <w:t>1060101506</w:t>
      </w:r>
      <w:r w:rsidRPr="00AC77DF">
        <w:t>）函轉最高檢</w:t>
      </w:r>
      <w:r w:rsidRPr="00AC77DF">
        <w:t>106</w:t>
      </w:r>
      <w:r w:rsidRPr="00AC77DF">
        <w:t>年</w:t>
      </w:r>
      <w:r w:rsidRPr="00AC77DF">
        <w:t>5</w:t>
      </w:r>
      <w:r w:rsidRPr="00AC77DF">
        <w:t>月</w:t>
      </w:r>
      <w:r w:rsidRPr="00AC77DF">
        <w:t>25</w:t>
      </w:r>
      <w:r w:rsidRPr="00AC77DF">
        <w:t>日台平</w:t>
      </w:r>
      <w:r w:rsidRPr="00AC77DF">
        <w:t>106</w:t>
      </w:r>
      <w:r w:rsidRPr="00AC77DF">
        <w:t>非</w:t>
      </w:r>
      <w:r w:rsidRPr="00AC77DF">
        <w:t>805</w:t>
      </w:r>
      <w:r w:rsidRPr="00AC77DF">
        <w:t>字第</w:t>
      </w:r>
      <w:r w:rsidRPr="00AC77DF">
        <w:t>10699046404</w:t>
      </w:r>
      <w:r w:rsidRPr="00AC77DF">
        <w:t>號函復意旨略以：經詳予審核原判決違背法令，已提起非常上訴函送最高法院在案，並檢附最高檢檢察總長非常上訴書</w:t>
      </w:r>
      <w:r w:rsidRPr="00AC77DF">
        <w:t>106</w:t>
      </w:r>
      <w:r w:rsidRPr="00AC77DF">
        <w:t>年度非上字第</w:t>
      </w:r>
      <w:r w:rsidRPr="00AC77DF">
        <w:t>95</w:t>
      </w:r>
      <w:r w:rsidRPr="00AC77DF">
        <w:t>號，其非常上訴理由意旨略以：</w:t>
      </w:r>
    </w:p>
    <w:p w:rsidR="003807A5" w:rsidRPr="00AC77DF" w:rsidRDefault="003807A5" w:rsidP="00F57619">
      <w:pPr>
        <w:pStyle w:val="1--1"/>
        <w:ind w:left="1080" w:hanging="600"/>
      </w:pPr>
      <w:r w:rsidRPr="00AC77DF">
        <w:t>（</w:t>
      </w:r>
      <w:r w:rsidRPr="00AC77DF">
        <w:t>1</w:t>
      </w:r>
      <w:r w:rsidRPr="00AC77DF">
        <w:t>）依刑法第</w:t>
      </w:r>
      <w:r w:rsidRPr="00AC77DF">
        <w:t>13</w:t>
      </w:r>
      <w:r w:rsidRPr="00AC77DF">
        <w:t>條第</w:t>
      </w:r>
      <w:r w:rsidRPr="00AC77DF">
        <w:t>1</w:t>
      </w:r>
      <w:r w:rsidRPr="00AC77DF">
        <w:t>項規定之故意定義，所謂「明知</w:t>
      </w:r>
      <w:r w:rsidRPr="00F57619">
        <w:rPr>
          <w:spacing w:val="-30"/>
        </w:rPr>
        <w:t>」</w:t>
      </w:r>
      <w:r w:rsidRPr="00AC77DF">
        <w:t>，是指明知故犯之直接故意，不及於間接故意。原確定判決關於被告</w:t>
      </w:r>
      <w:r w:rsidR="00E245D8" w:rsidRPr="00666024">
        <w:rPr>
          <w:rFonts w:hAnsi="新細明體" w:hint="eastAsia"/>
          <w:color w:val="000000" w:themeColor="text1"/>
        </w:rPr>
        <w:t>郭瑤琪</w:t>
      </w:r>
      <w:r w:rsidRPr="00AC77DF">
        <w:t>究係基於確定故意或不確定故意為之，先後所述理由互生齟齬，理由矛盾且足影響判決結果。</w:t>
      </w:r>
    </w:p>
    <w:p w:rsidR="003807A5" w:rsidRPr="00AC77DF" w:rsidRDefault="003807A5" w:rsidP="00F57619">
      <w:pPr>
        <w:pStyle w:val="1--1"/>
        <w:ind w:left="1080" w:hanging="600"/>
      </w:pPr>
      <w:r w:rsidRPr="00AC77DF">
        <w:t>（</w:t>
      </w:r>
      <w:r w:rsidRPr="00AC77DF">
        <w:t>2</w:t>
      </w:r>
      <w:r w:rsidRPr="00AC77DF">
        <w:t>）原判決論以被告</w:t>
      </w:r>
      <w:r w:rsidR="00E245D8" w:rsidRPr="00666024">
        <w:rPr>
          <w:rFonts w:hAnsi="新細明體" w:hint="eastAsia"/>
          <w:color w:val="000000" w:themeColor="text1"/>
        </w:rPr>
        <w:t>郭瑤琪</w:t>
      </w:r>
      <w:r w:rsidRPr="00AC77DF">
        <w:t>對於職務上行為收受賄賂罪，即應審究基於不確定犯意收受之金錢，與公務員職務上行為有無對價關係而得認定為賄賂？惟查，司法實務上對於對價關係應採用何種標準予以認定，有不同觀點，遇案不同，莫衷一是。</w:t>
      </w:r>
    </w:p>
    <w:p w:rsidR="003807A5" w:rsidRPr="00AC77DF" w:rsidRDefault="003807A5" w:rsidP="00F57619">
      <w:pPr>
        <w:pStyle w:val="1--1"/>
        <w:ind w:left="1080" w:hanging="600"/>
      </w:pPr>
      <w:r w:rsidRPr="00AC77DF">
        <w:t>（</w:t>
      </w:r>
      <w:r w:rsidRPr="00AC77DF">
        <w:t>3</w:t>
      </w:r>
      <w:r w:rsidRPr="00AC77DF">
        <w:t>）原確定判決於事實及理由欄內迭次用「標案</w:t>
      </w:r>
      <w:r w:rsidRPr="00F57619">
        <w:rPr>
          <w:spacing w:val="-30"/>
        </w:rPr>
        <w:t>」、</w:t>
      </w:r>
      <w:r w:rsidRPr="00AC77DF">
        <w:t>「招</w:t>
      </w:r>
      <w:r w:rsidRPr="00AC77DF">
        <w:lastRenderedPageBreak/>
        <w:t>標案</w:t>
      </w:r>
      <w:r w:rsidRPr="00F57619">
        <w:rPr>
          <w:spacing w:val="-30"/>
        </w:rPr>
        <w:t>」、</w:t>
      </w:r>
      <w:r w:rsidRPr="00AC77DF">
        <w:t>「投標」等語，足見原確定判決確實認定系爭臺北車站商場標租案為「標案</w:t>
      </w:r>
      <w:r w:rsidRPr="00F57619">
        <w:rPr>
          <w:spacing w:val="-30"/>
        </w:rPr>
        <w:t>」</w:t>
      </w:r>
      <w:r w:rsidRPr="00AC77DF">
        <w:t>，然該案係依促參法辦理，目的重在興利，與政府採購法之防弊概念不同，故所採用不利被告認定之臺鐵局公告、相關會議紀錄等，其所認定事實與所採證據不相適合，有證據上理由矛盾之違法。</w:t>
      </w:r>
    </w:p>
    <w:p w:rsidR="003807A5" w:rsidRPr="00AC77DF" w:rsidRDefault="003807A5" w:rsidP="00F57619">
      <w:pPr>
        <w:pStyle w:val="1--1"/>
        <w:ind w:left="1080" w:hanging="600"/>
      </w:pPr>
      <w:r w:rsidRPr="00AC77DF">
        <w:t>（</w:t>
      </w:r>
      <w:r w:rsidR="001C3F38">
        <w:rPr>
          <w:rFonts w:hint="eastAsia"/>
        </w:rPr>
        <w:t>4</w:t>
      </w:r>
      <w:r w:rsidRPr="00AC77DF">
        <w:t>）原確定判決以被告未依行為時之「行政院暨所屬各機關處理人民陳情要點」之規定辦理，惟</w:t>
      </w:r>
      <w:r w:rsidRPr="00AC77DF">
        <w:t>89</w:t>
      </w:r>
      <w:r w:rsidRPr="00AC77DF">
        <w:t>年</w:t>
      </w:r>
      <w:r w:rsidRPr="00AC77DF">
        <w:t>10</w:t>
      </w:r>
      <w:r w:rsidRPr="00AC77DF">
        <w:t>月</w:t>
      </w:r>
      <w:r w:rsidRPr="00AC77DF">
        <w:t>1</w:t>
      </w:r>
      <w:r w:rsidRPr="00F57619">
        <w:rPr>
          <w:spacing w:val="-12"/>
        </w:rPr>
        <w:t>6</w:t>
      </w:r>
      <w:r w:rsidRPr="00AC77DF">
        <w:t>日行政院即行頒布「行政院所屬各機關首長與民有約作業原則」應優先適用，原判決未見與此而予敘及，有刑事訴訟法第</w:t>
      </w:r>
      <w:r w:rsidRPr="00AC77DF">
        <w:t>379</w:t>
      </w:r>
      <w:r w:rsidRPr="00AC77DF">
        <w:t>條第</w:t>
      </w:r>
      <w:r w:rsidRPr="00AC77DF">
        <w:t>14</w:t>
      </w:r>
      <w:r w:rsidRPr="00AC77DF">
        <w:t>款前段理由欠備及第</w:t>
      </w:r>
      <w:r w:rsidRPr="00AC77DF">
        <w:t>378</w:t>
      </w:r>
      <w:r w:rsidRPr="00AC77DF">
        <w:t>條前段判決消極不適用法則之違背法令。</w:t>
      </w:r>
    </w:p>
    <w:p w:rsidR="003807A5" w:rsidRPr="00AC77DF" w:rsidRDefault="003807A5" w:rsidP="007373B4">
      <w:pPr>
        <w:pStyle w:val="1----"/>
        <w:ind w:left="600" w:hanging="360"/>
      </w:pPr>
      <w:r w:rsidRPr="00AC77DF">
        <w:t>2</w:t>
      </w:r>
      <w:r w:rsidRPr="00AC77DF">
        <w:t>、據上，本案法務部函轉最高檢函復說明，案經檢察總長提起非常上訴，鑑於法院判決時程難以估定，爰請法務部轉請該署於最高法院判決後將判決結果函復監察院。</w:t>
      </w:r>
    </w:p>
    <w:p w:rsidR="003807A5" w:rsidRPr="00AC77DF" w:rsidRDefault="00816ED5" w:rsidP="00E5718D">
      <w:pPr>
        <w:pStyle w:val="afff1"/>
        <w:spacing w:before="360" w:after="360"/>
      </w:pPr>
      <w:bookmarkStart w:id="210" w:name="_Toc527731138"/>
      <w:r>
        <w:rPr>
          <w:rFonts w:hint="eastAsia"/>
        </w:rPr>
        <w:t>(四)</w:t>
      </w:r>
      <w:r w:rsidR="003807A5" w:rsidRPr="00AC77DF">
        <w:t>案件進展</w:t>
      </w:r>
      <w:bookmarkEnd w:id="210"/>
    </w:p>
    <w:p w:rsidR="003807A5" w:rsidRDefault="003807A5" w:rsidP="00B7222B">
      <w:pPr>
        <w:pStyle w:val="1---"/>
        <w:ind w:firstLine="480"/>
        <w:rPr>
          <w:lang w:eastAsia="zh-TW"/>
        </w:rPr>
      </w:pPr>
      <w:r w:rsidRPr="00AC77DF">
        <w:t>本案法務部函復最高檢檢察總長提起非常上訴，案經最高法院</w:t>
      </w:r>
      <w:r w:rsidRPr="00AC77DF">
        <w:t>107</w:t>
      </w:r>
      <w:r w:rsidRPr="00AC77DF">
        <w:t>年</w:t>
      </w:r>
      <w:r w:rsidRPr="00AC77DF">
        <w:t>3</w:t>
      </w:r>
      <w:r w:rsidRPr="00AC77DF">
        <w:t>月</w:t>
      </w:r>
      <w:r w:rsidRPr="00AC77DF">
        <w:t>8</w:t>
      </w:r>
      <w:r w:rsidRPr="00AC77DF">
        <w:t>日</w:t>
      </w:r>
      <w:r w:rsidRPr="00AC77DF">
        <w:t>106</w:t>
      </w:r>
      <w:r w:rsidRPr="00AC77DF">
        <w:t>年度台非字第</w:t>
      </w:r>
      <w:r w:rsidRPr="00AC77DF">
        <w:t>119</w:t>
      </w:r>
      <w:r w:rsidRPr="00AC77DF">
        <w:t>號號判決上訴駁回。監察院尊重司法判決結果。</w:t>
      </w:r>
    </w:p>
    <w:p w:rsidR="00F57619" w:rsidRPr="00AC77DF" w:rsidRDefault="00F57619" w:rsidP="00B7222B">
      <w:pPr>
        <w:pStyle w:val="1---"/>
        <w:ind w:firstLine="480"/>
        <w:rPr>
          <w:b/>
          <w:lang w:eastAsia="zh-TW"/>
        </w:rPr>
      </w:pPr>
    </w:p>
    <w:p w:rsidR="001C3F38" w:rsidRDefault="001C3F38">
      <w:pPr>
        <w:widowControl/>
        <w:snapToGrid/>
        <w:rPr>
          <w:rFonts w:ascii="華康粗圓體" w:eastAsia="華康新特明體"/>
          <w:shadow/>
          <w:spacing w:val="2"/>
          <w:kern w:val="0"/>
          <w:sz w:val="32"/>
          <w:szCs w:val="32"/>
          <w:lang w:val="x-none" w:eastAsia="x-none"/>
        </w:rPr>
      </w:pPr>
      <w:bookmarkStart w:id="211" w:name="_Toc535228353"/>
      <w:bookmarkStart w:id="212" w:name="_Toc4058764"/>
      <w:bookmarkStart w:id="213" w:name="_Toc527731060"/>
      <w:r>
        <w:rPr>
          <w:sz w:val="32"/>
          <w:szCs w:val="32"/>
        </w:rPr>
        <w:br w:type="page"/>
      </w:r>
    </w:p>
    <w:p w:rsidR="003807A5" w:rsidRPr="00F57619" w:rsidRDefault="003807A5" w:rsidP="00F57619">
      <w:pPr>
        <w:pStyle w:val="11-"/>
        <w:spacing w:before="72" w:afterLines="70" w:after="252"/>
        <w:rPr>
          <w:sz w:val="32"/>
          <w:szCs w:val="32"/>
        </w:rPr>
      </w:pPr>
      <w:r w:rsidRPr="00F57619">
        <w:rPr>
          <w:sz w:val="32"/>
          <w:szCs w:val="32"/>
        </w:rPr>
        <w:lastRenderedPageBreak/>
        <w:t>四、司法執行案件</w:t>
      </w:r>
      <w:bookmarkEnd w:id="211"/>
      <w:bookmarkEnd w:id="212"/>
    </w:p>
    <w:p w:rsidR="003807A5" w:rsidRPr="00AC77DF" w:rsidRDefault="003807A5" w:rsidP="00B7222B">
      <w:pPr>
        <w:pStyle w:val="1---"/>
        <w:ind w:firstLine="480"/>
      </w:pPr>
      <w:r w:rsidRPr="00AC77DF">
        <w:t>針對公民與政治權利國際公約第</w:t>
      </w:r>
      <w:r w:rsidRPr="00AC77DF">
        <w:t>10</w:t>
      </w:r>
      <w:r w:rsidRPr="00AC77DF">
        <w:t>條有關自由被剝奪之人的人道處遇，聯合國人權事務委員會於</w:t>
      </w:r>
      <w:r w:rsidRPr="00AC77DF">
        <w:t>1992</w:t>
      </w:r>
      <w:r w:rsidRPr="00AC77DF">
        <w:t>年發布第</w:t>
      </w:r>
      <w:r w:rsidRPr="00AC77DF">
        <w:t>21</w:t>
      </w:r>
      <w:r w:rsidRPr="00AC77DF">
        <w:t>號一般性意見，該意見取代並進一步發展</w:t>
      </w:r>
      <w:r w:rsidRPr="00AC77DF">
        <w:t>1982</w:t>
      </w:r>
      <w:r w:rsidRPr="00AC77DF">
        <w:t>年發布之第</w:t>
      </w:r>
      <w:r w:rsidRPr="00AC77DF">
        <w:t>9</w:t>
      </w:r>
      <w:r w:rsidRPr="00AC77DF">
        <w:t>號一般性意見，認為以人道和尊重人格的方式對待喪失自由者，是一項基本和普遍適用的通則。因此，這項規則的適用絲毫不取決於締約國現有的物質資源水準</w:t>
      </w:r>
      <w:r w:rsidR="00B66FA5">
        <w:t>，</w:t>
      </w:r>
      <w:r w:rsidRPr="00AC77DF">
        <w:t>須不加任何區別地適用這項規則，不論種族、膚色、性別、語言、宗教、政見或其他主張、民族本源或社會階級、財產、出生或其他身分。</w:t>
      </w:r>
    </w:p>
    <w:p w:rsidR="003807A5" w:rsidRPr="00AC77DF" w:rsidRDefault="003807A5" w:rsidP="00B7222B">
      <w:pPr>
        <w:pStyle w:val="1---"/>
        <w:ind w:firstLine="480"/>
      </w:pPr>
      <w:r w:rsidRPr="00AC77DF">
        <w:t>公民與政治權利國際公約第</w:t>
      </w:r>
      <w:r w:rsidRPr="00AC77DF">
        <w:t>10</w:t>
      </w:r>
      <w:r w:rsidRPr="00AC77DF">
        <w:t>條第</w:t>
      </w:r>
      <w:r w:rsidRPr="00AC77DF">
        <w:t>1</w:t>
      </w:r>
      <w:r w:rsidRPr="00AC77DF">
        <w:t>項適用於根據國家法律和公權力而被剝奪自由並被關在監獄、醫院（特別是精神</w:t>
      </w:r>
      <w:r w:rsidR="00B66FA5">
        <w:t>（</w:t>
      </w:r>
      <w:r w:rsidRPr="00AC77DF">
        <w:t>專）科醫院</w:t>
      </w:r>
      <w:r w:rsidRPr="00524327">
        <w:rPr>
          <w:spacing w:val="-28"/>
        </w:rPr>
        <w:t>）</w:t>
      </w:r>
      <w:r w:rsidRPr="00AC77DF">
        <w:t>、收容所或矯正機構或其他地方的任何人。締約國應確保在屬其管轄的所有受拘禁人的機構和設施內遵循該項規定的原則。第</w:t>
      </w:r>
      <w:r w:rsidRPr="00AC77DF">
        <w:t>10</w:t>
      </w:r>
      <w:r w:rsidRPr="00AC77DF">
        <w:t>條第</w:t>
      </w:r>
      <w:r w:rsidRPr="00AC77DF">
        <w:t>1</w:t>
      </w:r>
      <w:r w:rsidRPr="00AC77DF">
        <w:t>項為締約國規定對那些因自由被剝奪而極易受害者而承擔的一項積極義務，並補充了公民與政治權利國際公約第</w:t>
      </w:r>
      <w:r w:rsidRPr="00AC77DF">
        <w:t>7</w:t>
      </w:r>
      <w:r w:rsidRPr="00AC77DF">
        <w:t>條所載的</w:t>
      </w:r>
      <w:r w:rsidR="00B66FA5" w:rsidRPr="00B66FA5">
        <w:rPr>
          <w:rFonts w:hint="eastAsia"/>
        </w:rPr>
        <w:t>禁止酷刑和</w:t>
      </w:r>
      <w:r w:rsidR="00790C30">
        <w:rPr>
          <w:rFonts w:hint="eastAsia"/>
        </w:rPr>
        <w:t>其他</w:t>
      </w:r>
      <w:r w:rsidR="00790C30" w:rsidRPr="00790C30">
        <w:rPr>
          <w:rFonts w:hint="eastAsia"/>
        </w:rPr>
        <w:t>以殘忍、不人道或侮辱之處遇或懲罰</w:t>
      </w:r>
      <w:r w:rsidRPr="00AC77DF">
        <w:t>規定。因此，不僅不得以違反第</w:t>
      </w:r>
      <w:r w:rsidRPr="00AC77DF">
        <w:t>7</w:t>
      </w:r>
      <w:r w:rsidRPr="00AC77DF">
        <w:t>條的方式對待被剝奪自由者，包括不得對其進行醫學或科學實驗，而且不得使其遭受與喪失自由無關的任何困難或限制。如同自由的人一樣，須保障這些人的尊嚴得到尊重。喪失自由者除在封閉環境中不可避免須受的限制外，享有公民與政治權利國際公約規定的所有權利。</w:t>
      </w:r>
    </w:p>
    <w:p w:rsidR="003807A5" w:rsidRDefault="001C3F38" w:rsidP="00B7222B">
      <w:pPr>
        <w:pStyle w:val="1---"/>
        <w:ind w:firstLine="480"/>
        <w:rPr>
          <w:lang w:eastAsia="zh-TW"/>
        </w:rPr>
      </w:pPr>
      <w:r>
        <w:rPr>
          <w:rFonts w:hint="eastAsia"/>
          <w:lang w:eastAsia="zh-TW"/>
        </w:rPr>
        <w:t>該公約</w:t>
      </w:r>
      <w:r w:rsidR="003807A5" w:rsidRPr="00AC77DF">
        <w:t>第</w:t>
      </w:r>
      <w:r w:rsidR="003807A5" w:rsidRPr="00AC77DF">
        <w:t>10</w:t>
      </w:r>
      <w:r w:rsidR="003807A5" w:rsidRPr="00AC77DF">
        <w:t>條第</w:t>
      </w:r>
      <w:r w:rsidR="003807A5" w:rsidRPr="00AC77DF">
        <w:t>1</w:t>
      </w:r>
      <w:r w:rsidR="003807A5" w:rsidRPr="00AC77DF">
        <w:t>項規定的準則是第</w:t>
      </w:r>
      <w:r w:rsidR="003807A5" w:rsidRPr="00AC77DF">
        <w:t>10</w:t>
      </w:r>
      <w:r w:rsidR="003807A5" w:rsidRPr="00AC77DF">
        <w:t>條第</w:t>
      </w:r>
      <w:r w:rsidR="003807A5" w:rsidRPr="00AC77DF">
        <w:t>2</w:t>
      </w:r>
      <w:r w:rsidR="003807A5" w:rsidRPr="00AC77DF">
        <w:t>項及第</w:t>
      </w:r>
      <w:r w:rsidR="003807A5" w:rsidRPr="00AC77DF">
        <w:t>3</w:t>
      </w:r>
      <w:r w:rsidR="003807A5" w:rsidRPr="00AC77DF">
        <w:t>項規定的締約國</w:t>
      </w:r>
      <w:r>
        <w:rPr>
          <w:rFonts w:hint="eastAsia"/>
          <w:lang w:eastAsia="zh-TW"/>
        </w:rPr>
        <w:t>，</w:t>
      </w:r>
      <w:r w:rsidR="003807A5" w:rsidRPr="00AC77DF">
        <w:t>在刑事審判方面更具體義務的基礎。第</w:t>
      </w:r>
      <w:r w:rsidR="003807A5" w:rsidRPr="00AC77DF">
        <w:t>10</w:t>
      </w:r>
      <w:r w:rsidR="003807A5" w:rsidRPr="00AC77DF">
        <w:t>條</w:t>
      </w:r>
      <w:r w:rsidR="003807A5" w:rsidRPr="00AC77DF">
        <w:lastRenderedPageBreak/>
        <w:t>第</w:t>
      </w:r>
      <w:r w:rsidR="003807A5" w:rsidRPr="00AC77DF">
        <w:t>2</w:t>
      </w:r>
      <w:r w:rsidR="003807A5" w:rsidRPr="00AC77DF">
        <w:t>項第</w:t>
      </w:r>
      <w:r w:rsidR="003807A5" w:rsidRPr="00AC77DF">
        <w:t>1</w:t>
      </w:r>
      <w:r w:rsidR="003807A5" w:rsidRPr="00AC77DF">
        <w:t>款規定，除特殊情況外，被告應與被判有罪的人隔離開。作此隔離的原因是，須強調未被判有罪者享有第</w:t>
      </w:r>
      <w:r w:rsidR="003807A5" w:rsidRPr="00AC77DF">
        <w:t>14</w:t>
      </w:r>
      <w:r w:rsidR="003807A5" w:rsidRPr="00AC77DF">
        <w:t>條第</w:t>
      </w:r>
      <w:r w:rsidR="003807A5" w:rsidRPr="00AC77DF">
        <w:t>2</w:t>
      </w:r>
      <w:r w:rsidR="003807A5" w:rsidRPr="00AC77DF">
        <w:t>項規定的無罪推定權。締約國報告應表明如何將被告與已被判有罪者分隔開來並解釋被告的處遇與已被判有罪者的處遇有何不同。至於涉及被判有罪者的第</w:t>
      </w:r>
      <w:r w:rsidR="003807A5" w:rsidRPr="00AC77DF">
        <w:t>10</w:t>
      </w:r>
      <w:r w:rsidR="003807A5" w:rsidRPr="00AC77DF">
        <w:t>條第</w:t>
      </w:r>
      <w:r w:rsidR="003807A5" w:rsidRPr="00AC77DF">
        <w:t>3</w:t>
      </w:r>
      <w:r w:rsidR="003807A5" w:rsidRPr="00AC77DF">
        <w:t>項，委員會主張監所矯正制度不應僅具有懲戒性，而應以尋求矯正犯人並使其恢復社會正常生活為主要目的。最後，第</w:t>
      </w:r>
      <w:r w:rsidR="003807A5" w:rsidRPr="00AC77DF">
        <w:t>10</w:t>
      </w:r>
      <w:r w:rsidR="003807A5" w:rsidRPr="00AC77DF">
        <w:t>條第</w:t>
      </w:r>
      <w:r w:rsidR="003807A5" w:rsidRPr="00AC77DF">
        <w:t>3</w:t>
      </w:r>
      <w:r w:rsidR="003807A5" w:rsidRPr="00AC77DF">
        <w:t>項規定，少年犯人應與成年犯人分別拘禁，且其處遇應與其年齡及法律身分相稱，如工作時間較短和與親屬接觸等，以便促進其感化和更生工作。第</w:t>
      </w:r>
      <w:r w:rsidR="003807A5" w:rsidRPr="00AC77DF">
        <w:t>10</w:t>
      </w:r>
      <w:r w:rsidR="003807A5" w:rsidRPr="00AC77DF">
        <w:t>條未列明少年年齡的限制</w:t>
      </w:r>
      <w:r>
        <w:rPr>
          <w:rFonts w:hint="eastAsia"/>
          <w:lang w:eastAsia="zh-TW"/>
        </w:rPr>
        <w:t>，</w:t>
      </w:r>
      <w:r w:rsidR="003807A5" w:rsidRPr="00AC77DF">
        <w:t>這須由各締約國根據相關的社會、文化以及其他條件加以確定。不過，委員會認為，第</w:t>
      </w:r>
      <w:r w:rsidR="003807A5" w:rsidRPr="00AC77DF">
        <w:t>6</w:t>
      </w:r>
      <w:r w:rsidR="003807A5" w:rsidRPr="00AC77DF">
        <w:t>條第</w:t>
      </w:r>
      <w:r w:rsidR="003807A5" w:rsidRPr="00AC77DF">
        <w:t>5</w:t>
      </w:r>
      <w:r w:rsidR="003807A5" w:rsidRPr="00AC77DF">
        <w:t>項意味著所有未滿</w:t>
      </w:r>
      <w:r w:rsidR="003807A5" w:rsidRPr="00AC77DF">
        <w:t>18</w:t>
      </w:r>
      <w:r w:rsidR="003807A5" w:rsidRPr="00AC77DF">
        <w:t>歲者均應被視為少年，至少在涉及刑事審判時如此。</w:t>
      </w:r>
    </w:p>
    <w:p w:rsidR="00816ED5" w:rsidRDefault="00816ED5" w:rsidP="00B7222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4560"/>
      </w:tblGrid>
      <w:tr w:rsidR="00816ED5" w:rsidTr="00524327">
        <w:tc>
          <w:tcPr>
            <w:tcW w:w="4560" w:type="dxa"/>
            <w:shd w:val="clear" w:color="auto" w:fill="D9D9D9" w:themeFill="background1" w:themeFillShade="D9"/>
          </w:tcPr>
          <w:p w:rsidR="00816ED5" w:rsidRDefault="00816ED5" w:rsidP="00816ED5">
            <w:pPr>
              <w:pStyle w:val="11-"/>
              <w:spacing w:before="72" w:after="108"/>
              <w:rPr>
                <w:lang w:eastAsia="zh-TW"/>
              </w:rPr>
            </w:pPr>
            <w:r w:rsidRPr="00AC77DF">
              <w:t>遲延</w:t>
            </w:r>
            <w:r w:rsidRPr="00AC77DF">
              <w:rPr>
                <w:lang w:eastAsia="zh-HK"/>
              </w:rPr>
              <w:t>配置</w:t>
            </w:r>
            <w:r w:rsidRPr="00AC77DF">
              <w:t>愛滋</w:t>
            </w:r>
            <w:r w:rsidRPr="00AC77DF">
              <w:rPr>
                <w:lang w:eastAsia="zh-HK"/>
              </w:rPr>
              <w:t>受刑人</w:t>
            </w:r>
            <w:r w:rsidRPr="00AC77DF">
              <w:t>於</w:t>
            </w:r>
            <w:r w:rsidRPr="00AC77DF">
              <w:rPr>
                <w:lang w:eastAsia="zh-HK"/>
              </w:rPr>
              <w:t>收容</w:t>
            </w:r>
            <w:r w:rsidRPr="00AC77DF">
              <w:t>專區</w:t>
            </w:r>
          </w:p>
        </w:tc>
      </w:tr>
    </w:tbl>
    <w:p w:rsidR="00816ED5" w:rsidRPr="00AC77DF" w:rsidRDefault="00816ED5" w:rsidP="00B7222B">
      <w:pPr>
        <w:pStyle w:val="1---"/>
        <w:ind w:firstLine="480"/>
        <w:rPr>
          <w:kern w:val="0"/>
          <w:lang w:eastAsia="zh-TW"/>
        </w:rPr>
      </w:pPr>
    </w:p>
    <w:tbl>
      <w:tblPr>
        <w:tblStyle w:val="aff5"/>
        <w:tblW w:w="4777" w:type="pct"/>
        <w:tblInd w:w="113" w:type="dxa"/>
        <w:tblLook w:val="04A0" w:firstRow="1" w:lastRow="0" w:firstColumn="1" w:lastColumn="0" w:noHBand="0" w:noVBand="1"/>
      </w:tblPr>
      <w:tblGrid>
        <w:gridCol w:w="6544"/>
      </w:tblGrid>
      <w:tr w:rsidR="0079656F" w:rsidTr="001C3F38">
        <w:trPr>
          <w:trHeight w:val="791"/>
        </w:trPr>
        <w:tc>
          <w:tcPr>
            <w:tcW w:w="5000" w:type="pct"/>
          </w:tcPr>
          <w:bookmarkStart w:id="214" w:name="_Toc535228354"/>
          <w:bookmarkStart w:id="215" w:name="_Toc4058765"/>
          <w:p w:rsidR="0079656F" w:rsidRPr="00AC77DF" w:rsidRDefault="003807A5" w:rsidP="00524327">
            <w:pPr>
              <w:spacing w:line="340" w:lineRule="exact"/>
              <w:jc w:val="both"/>
              <w:rPr>
                <w:lang w:val="x-none"/>
              </w:rPr>
            </w:pPr>
            <w:r w:rsidRPr="00AC77DF">
              <w:rPr>
                <w:noProof/>
              </w:rPr>
              <mc:AlternateContent>
                <mc:Choice Requires="wps">
                  <w:drawing>
                    <wp:anchor distT="0" distB="0" distL="114300" distR="114300" simplePos="0" relativeHeight="251932672" behindDoc="0" locked="1" layoutInCell="1" allowOverlap="1" wp14:anchorId="0C2615AA" wp14:editId="2C19C46B">
                      <wp:simplePos x="0" y="0"/>
                      <wp:positionH relativeFrom="column">
                        <wp:posOffset>7989570</wp:posOffset>
                      </wp:positionH>
                      <wp:positionV relativeFrom="paragraph">
                        <wp:posOffset>-773430</wp:posOffset>
                      </wp:positionV>
                      <wp:extent cx="635000" cy="317500"/>
                      <wp:effectExtent l="0" t="0" r="0" b="0"/>
                      <wp:wrapNone/>
                      <wp:docPr id="112" name="文字方塊 11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832" w:rsidRDefault="00970832" w:rsidP="00912880">
                                  <w:pPr>
                                    <w:jc w:val="center"/>
                                    <w:rPr>
                                      <w:sz w:val="18"/>
                                    </w:rPr>
                                  </w:pPr>
                                  <w:r>
                                    <w:rPr>
                                      <w:sz w:val="18"/>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2" o:spid="_x0000_s1077" type="#_x0000_t202" style="position:absolute;left:0;text-align:left;margin-left:629.1pt;margin-top:-60.9pt;width:50pt;height:25pt;z-index:2519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" stroked="f">
                      <v:textbox>
                        <w:txbxContent>
                          <w:p w:rsidR="00895792" w:rsidRDefault="00895792" w:rsidP="00912880">
                            <w:pPr>
                              <w:jc w:val="center"/>
                              <w:rPr>
                                <w:sz w:val="18"/>
                              </w:rPr>
                            </w:pPr>
                            <w:r>
                              <w:rPr>
                                <w:sz w:val="18"/>
                              </w:rPr>
                              <w:t>00</w:t>
                            </w:r>
                          </w:p>
                        </w:txbxContent>
                      </v:textbox>
                      <w10:anchorlock/>
                    </v:shape>
                  </w:pict>
                </mc:Fallback>
              </mc:AlternateContent>
            </w:r>
            <w:r w:rsidRPr="00AC77DF">
              <w:rPr>
                <w:noProof/>
              </w:rPr>
              <mc:AlternateContent>
                <mc:Choice Requires="wpg">
                  <w:drawing>
                    <wp:anchor distT="0" distB="0" distL="114300" distR="114300" simplePos="0" relativeHeight="251931648" behindDoc="0" locked="1" layoutInCell="0" allowOverlap="1" wp14:anchorId="73911668" wp14:editId="2015964F">
                      <wp:simplePos x="0" y="0"/>
                      <wp:positionH relativeFrom="column">
                        <wp:posOffset>-2772410</wp:posOffset>
                      </wp:positionH>
                      <wp:positionV relativeFrom="paragraph">
                        <wp:posOffset>77470</wp:posOffset>
                      </wp:positionV>
                      <wp:extent cx="149225" cy="8839200"/>
                      <wp:effectExtent l="0" t="10795" r="3810" b="8255"/>
                      <wp:wrapNone/>
                      <wp:docPr id="113" name="群組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39200"/>
                                <a:chOff x="745" y="1414"/>
                                <a:chExt cx="235" cy="13920"/>
                              </a:xfrm>
                            </wpg:grpSpPr>
                            <wps:wsp>
                              <wps:cNvPr id="114" name="Line 13"/>
                              <wps:cNvCnPr>
                                <a:cxnSpLocks noChangeShapeType="1"/>
                              </wps:cNvCnPr>
                              <wps:spPr bwMode="auto">
                                <a:xfrm>
                                  <a:off x="851" y="1414"/>
                                  <a:ext cx="0" cy="139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5" name="Text Box 14"/>
                              <wps:cNvSpPr txBox="1">
                                <a:spLocks noChangeArrowheads="1"/>
                              </wps:cNvSpPr>
                              <wps:spPr bwMode="auto">
                                <a:xfrm>
                                  <a:off x="745" y="5523"/>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912880">
                                    <w:pPr>
                                      <w:kinsoku w:val="0"/>
                                      <w:wordWrap w:val="0"/>
                                      <w:overflowPunct w:val="0"/>
                                      <w:rPr>
                                        <w:sz w:val="20"/>
                                      </w:rPr>
                                    </w:pPr>
                                    <w:r>
                                      <w:rPr>
                                        <w:rFonts w:hint="eastAsia"/>
                                        <w:sz w:val="20"/>
                                      </w:rPr>
                                      <w:t>裝</w:t>
                                    </w:r>
                                  </w:p>
                                </w:txbxContent>
                              </wps:txbx>
                              <wps:bodyPr rot="0" vert="horz" wrap="square" lIns="0" tIns="0" rIns="0" bIns="0" anchor="t" anchorCtr="0" upright="1">
                                <a:noAutofit/>
                              </wps:bodyPr>
                            </wps:wsp>
                            <wps:wsp>
                              <wps:cNvPr id="116" name="Text Box 15"/>
                              <wps:cNvSpPr txBox="1">
                                <a:spLocks noChangeArrowheads="1"/>
                              </wps:cNvSpPr>
                              <wps:spPr bwMode="auto">
                                <a:xfrm>
                                  <a:off x="745" y="8312"/>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912880">
                                    <w:pPr>
                                      <w:kinsoku w:val="0"/>
                                      <w:wordWrap w:val="0"/>
                                      <w:overflowPunct w:val="0"/>
                                      <w:rPr>
                                        <w:sz w:val="20"/>
                                      </w:rPr>
                                    </w:pPr>
                                    <w:r>
                                      <w:rPr>
                                        <w:rFonts w:hint="eastAsia"/>
                                        <w:sz w:val="20"/>
                                      </w:rPr>
                                      <w:t>訂</w:t>
                                    </w:r>
                                  </w:p>
                                </w:txbxContent>
                              </wps:txbx>
                              <wps:bodyPr rot="0" vert="horz" wrap="square" lIns="0" tIns="0" rIns="0" bIns="0" anchor="t" anchorCtr="0" upright="1">
                                <a:noAutofit/>
                              </wps:bodyPr>
                            </wps:wsp>
                            <wps:wsp>
                              <wps:cNvPr id="117" name="Text Box 16"/>
                              <wps:cNvSpPr txBox="1">
                                <a:spLocks noChangeArrowheads="1"/>
                              </wps:cNvSpPr>
                              <wps:spPr bwMode="auto">
                                <a:xfrm>
                                  <a:off x="745" y="11127"/>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912880">
                                    <w:pPr>
                                      <w:kinsoku w:val="0"/>
                                      <w:wordWrap w:val="0"/>
                                      <w:overflowPunct w:val="0"/>
                                      <w:rPr>
                                        <w:sz w:val="20"/>
                                      </w:rPr>
                                    </w:pPr>
                                    <w:r>
                                      <w:rPr>
                                        <w:rFonts w:hint="eastAsia"/>
                                        <w:sz w:val="20"/>
                                      </w:rPr>
                                      <w:t>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13" o:spid="_x0000_s1078" style="position:absolute;left:0;text-align:left;margin-left:-218.3pt;margin-top:6.1pt;width:11.75pt;height:696pt;z-index:251931648" coordorigin="745,1414" coordsize="235,1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" o:allowincell="f">
                      <v:line id="Line 13" o:spid="_x0000_s1079" style="position:absolute;visibility:visible;mso-wrap-style:square" from="851,1414" to="851,1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7OLcMAAADcAAAADwAAAGRycy9kb3ducmV2LnhtbERPTWsCMRC9F/wPYYTeNKuI1dUorSBo&#10;qwe3LfQ4bMZkcTNZNqlu/31TEHqbx/uc5bpztbhSGyrPCkbDDARx6XXFRsHH+3YwAxEissbaMyn4&#10;oQDrVe9hibn2Nz7RtYhGpBAOOSqwMTa5lKG05DAMfUOcuLNvHcYEWyN1i7cU7mo5zrKpdFhxarDY&#10;0MZSeSm+nYK3p139afirOOzP4cXPX0/yaKxSj/3ueQEiUhf/xXf3Tqf5own8PZMu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zi3DAAAA3AAAAA8AAAAAAAAAAAAA&#10;AAAAoQIAAGRycy9kb3ducmV2LnhtbFBLBQYAAAAABAAEAPkAAACRAwAAAAA=&#10;">
                        <v:stroke dashstyle="1 1"/>
                      </v:line>
                      <v:shape id="Text Box 14" o:spid="_x0000_s1080" type="#_x0000_t202" style="position:absolute;left:745;top:5523;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RoRMIA&#10;AADcAAAADwAAAGRycy9kb3ducmV2LnhtbERPTYvCMBC9C/6HMII3TRUqSzWKyorrspdqEY9DM7bF&#10;ZlKarHb//UYQvM3jfc5i1Zla3Kl1lWUFk3EEgji3uuJCQXbajT5AOI+ssbZMCv7IwWrZ7y0w0fbB&#10;Kd2PvhAhhF2CCkrvm0RKl5dk0I1tQxy4q20N+gDbQuoWHyHc1HIaRTNpsOLQUGJD25Ly2/HXKDjo&#10;s9zEWZTml4vef+5+4mz6HSs1HHTrOQhPnX+LX+4vHeZPYng+Ey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dGhEwgAAANwAAAAPAAAAAAAAAAAAAAAAAJgCAABkcnMvZG93&#10;bnJldi54bWxQSwUGAAAAAAQABAD1AAAAhwMAAAAA&#10;" filled="f" stroked="f">
                        <v:stroke dashstyle="1 1"/>
                        <v:textbox inset="0,0,0,0">
                          <w:txbxContent>
                            <w:p w:rsidR="00895792" w:rsidRDefault="00895792" w:rsidP="00912880">
                              <w:pPr>
                                <w:kinsoku w:val="0"/>
                                <w:wordWrap w:val="0"/>
                                <w:overflowPunct w:val="0"/>
                                <w:rPr>
                                  <w:sz w:val="20"/>
                                </w:rPr>
                              </w:pPr>
                              <w:r>
                                <w:rPr>
                                  <w:rFonts w:hint="eastAsia"/>
                                  <w:sz w:val="20"/>
                                </w:rPr>
                                <w:t>裝</w:t>
                              </w:r>
                            </w:p>
                          </w:txbxContent>
                        </v:textbox>
                      </v:shape>
                      <v:shape id="Text Box 15" o:spid="_x0000_s1081" type="#_x0000_t202" style="position:absolute;left:745;top:8312;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2M8EA&#10;AADcAAAADwAAAGRycy9kb3ducmV2LnhtbERPS4vCMBC+L/gfwgje1lShslSjqCg+2ItuEY9DM7bF&#10;ZlKaqPXfG0HY23x8z5nMWlOJOzWutKxg0I9AEGdWl5wrSP/W3z8gnEfWWFkmBU9yMJt2viaYaPvg&#10;A92PPhchhF2CCgrv60RKlxVk0PVtTRy4i20M+gCbXOoGHyHcVHIYRSNpsOTQUGBNy4Ky6/FmFOz0&#10;SS7iNDpk57PerNa/cTrcx0r1uu18DMJT6//FH/dWh/mDEbyfCRfI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m9jPBAAAA3AAAAA8AAAAAAAAAAAAAAAAAmAIAAGRycy9kb3du&#10;cmV2LnhtbFBLBQYAAAAABAAEAPUAAACGAwAAAAA=&#10;" filled="f" stroked="f">
                        <v:stroke dashstyle="1 1"/>
                        <v:textbox inset="0,0,0,0">
                          <w:txbxContent>
                            <w:p w:rsidR="00895792" w:rsidRDefault="00895792" w:rsidP="00912880">
                              <w:pPr>
                                <w:kinsoku w:val="0"/>
                                <w:wordWrap w:val="0"/>
                                <w:overflowPunct w:val="0"/>
                                <w:rPr>
                                  <w:sz w:val="20"/>
                                </w:rPr>
                              </w:pPr>
                              <w:r>
                                <w:rPr>
                                  <w:rFonts w:hint="eastAsia"/>
                                  <w:sz w:val="20"/>
                                </w:rPr>
                                <w:t>訂</w:t>
                              </w:r>
                            </w:p>
                          </w:txbxContent>
                        </v:textbox>
                      </v:shape>
                      <v:shape id="Text Box 16" o:spid="_x0000_s1082" type="#_x0000_t202" style="position:absolute;left:745;top:11127;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qMIA&#10;AADcAAAADwAAAGRycy9kb3ducmV2LnhtbERPTYvCMBC9C/sfwix401Shq1SjqCjuihfdsngcmrEt&#10;NpPSRK3/3iwI3ubxPmc6b00lbtS40rKCQT8CQZxZXXKuIP3d9MYgnEfWWFkmBQ9yMJ99dKaYaHvn&#10;A92OPhchhF2CCgrv60RKlxVk0PVtTRy4s20M+gCbXOoG7yHcVHIYRV/SYMmhocCaVgVll+PVKPjR&#10;f3IZp9EhO530dr3Zx+lwFyvV/WwXExCeWv8Wv9zfOswfjOD/mXCB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6lOowgAAANwAAAAPAAAAAAAAAAAAAAAAAJgCAABkcnMvZG93&#10;bnJldi54bWxQSwUGAAAAAAQABAD1AAAAhwMAAAAA&#10;" filled="f" stroked="f">
                        <v:stroke dashstyle="1 1"/>
                        <v:textbox inset="0,0,0,0">
                          <w:txbxContent>
                            <w:p w:rsidR="00895792" w:rsidRDefault="00895792" w:rsidP="00912880">
                              <w:pPr>
                                <w:kinsoku w:val="0"/>
                                <w:wordWrap w:val="0"/>
                                <w:overflowPunct w:val="0"/>
                                <w:rPr>
                                  <w:sz w:val="20"/>
                                </w:rPr>
                              </w:pPr>
                              <w:r>
                                <w:rPr>
                                  <w:rFonts w:hint="eastAsia"/>
                                  <w:sz w:val="20"/>
                                </w:rPr>
                                <w:t>線</w:t>
                              </w:r>
                            </w:p>
                          </w:txbxContent>
                        </v:textbox>
                      </v:shape>
                      <w10:anchorlock/>
                    </v:group>
                  </w:pict>
                </mc:Fallback>
              </mc:AlternateContent>
            </w:r>
            <w:r w:rsidRPr="00AC77DF">
              <w:rPr>
                <w:noProof/>
              </w:rPr>
              <mc:AlternateContent>
                <mc:Choice Requires="wps">
                  <w:drawing>
                    <wp:anchor distT="0" distB="0" distL="114300" distR="114300" simplePos="0" relativeHeight="251930624" behindDoc="0" locked="1" layoutInCell="0" allowOverlap="1" wp14:anchorId="7734185B" wp14:editId="24975C16">
                      <wp:simplePos x="0" y="0"/>
                      <wp:positionH relativeFrom="column">
                        <wp:posOffset>-609600</wp:posOffset>
                      </wp:positionH>
                      <wp:positionV relativeFrom="page">
                        <wp:posOffset>443230</wp:posOffset>
                      </wp:positionV>
                      <wp:extent cx="636905" cy="396240"/>
                      <wp:effectExtent l="0" t="0" r="0" b="0"/>
                      <wp:wrapNone/>
                      <wp:docPr id="118" name="文字方塊 11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832" w:rsidRDefault="00970832" w:rsidP="00912880">
                                  <w:pPr>
                                    <w:jc w:val="center"/>
                                    <w:rPr>
                                      <w:color w:val="000000"/>
                                      <w:sz w:val="36"/>
                                    </w:rPr>
                                  </w:pPr>
                                  <w:r>
                                    <w:rPr>
                                      <w:rFonts w:hint="eastAsia"/>
                                      <w:color w:val="000000"/>
                                      <w:sz w:val="36"/>
                                    </w:rPr>
                                    <w:t>正本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8" o:spid="_x0000_s1083" type="#_x0000_t202" style="position:absolute;left:0;text-align:left;margin-left:-48pt;margin-top:34.9pt;width:50.15pt;height:31.2pt;z-index:251930624;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" o:allowincell="f" filled="f">
                      <v:textbox inset=".5mm,,.5mm">
                        <w:txbxContent>
                          <w:p w:rsidR="00895792" w:rsidRDefault="00895792" w:rsidP="00912880">
                            <w:pPr>
                              <w:jc w:val="center"/>
                              <w:rPr>
                                <w:color w:val="000000"/>
                                <w:sz w:val="36"/>
                              </w:rPr>
                            </w:pPr>
                            <w:r>
                              <w:rPr>
                                <w:rFonts w:hint="eastAsia"/>
                                <w:color w:val="000000"/>
                                <w:sz w:val="36"/>
                              </w:rPr>
                              <w:t>正本</w:t>
                            </w:r>
                          </w:p>
                        </w:txbxContent>
                      </v:textbox>
                      <w10:wrap anchory="page"/>
                      <w10:anchorlock/>
                    </v:shape>
                  </w:pict>
                </mc:Fallback>
              </mc:AlternateContent>
            </w:r>
            <w:r w:rsidRPr="00AC77DF">
              <w:rPr>
                <w:noProof/>
              </w:rPr>
              <mc:AlternateContent>
                <mc:Choice Requires="wps">
                  <w:drawing>
                    <wp:anchor distT="0" distB="0" distL="114300" distR="114300" simplePos="0" relativeHeight="251929600" behindDoc="0" locked="1" layoutInCell="0" allowOverlap="1" wp14:anchorId="5DB489BD" wp14:editId="7214F804">
                      <wp:simplePos x="0" y="0"/>
                      <wp:positionH relativeFrom="column">
                        <wp:posOffset>-609600</wp:posOffset>
                      </wp:positionH>
                      <wp:positionV relativeFrom="page">
                        <wp:posOffset>442595</wp:posOffset>
                      </wp:positionV>
                      <wp:extent cx="636905" cy="396240"/>
                      <wp:effectExtent l="0" t="0" r="0" b="0"/>
                      <wp:wrapNone/>
                      <wp:docPr id="119" name="文字方塊 11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832" w:rsidRDefault="00970832" w:rsidP="00912880">
                                  <w:pPr>
                                    <w:jc w:val="center"/>
                                    <w:rPr>
                                      <w:color w:val="000000"/>
                                      <w:sz w:val="36"/>
                                    </w:rPr>
                                  </w:pPr>
                                  <w:r>
                                    <w:rPr>
                                      <w:rFonts w:hint="eastAsia"/>
                                      <w:color w:val="000000"/>
                                      <w:sz w:val="36"/>
                                    </w:rPr>
                                    <w:t>副本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9" o:spid="_x0000_s1084" type="#_x0000_t202" style="position:absolute;left:0;text-align:left;margin-left:-48pt;margin-top:34.85pt;width:50.15pt;height:31.2pt;z-index:251929600;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" o:allowincell="f" filled="f">
                      <v:textbox inset=".5mm,,.5mm">
                        <w:txbxContent>
                          <w:p w:rsidR="00895792" w:rsidRDefault="00895792" w:rsidP="00912880">
                            <w:pPr>
                              <w:jc w:val="center"/>
                              <w:rPr>
                                <w:color w:val="000000"/>
                                <w:sz w:val="36"/>
                              </w:rPr>
                            </w:pPr>
                            <w:r>
                              <w:rPr>
                                <w:rFonts w:hint="eastAsia"/>
                                <w:color w:val="000000"/>
                                <w:sz w:val="36"/>
                              </w:rPr>
                              <w:t>副本</w:t>
                            </w:r>
                          </w:p>
                        </w:txbxContent>
                      </v:textbox>
                      <w10:wrap anchory="page"/>
                      <w10:anchorlock/>
                    </v:shape>
                  </w:pict>
                </mc:Fallback>
              </mc:AlternateContent>
            </w:r>
            <w:r w:rsidRPr="00AC77DF">
              <w:rPr>
                <w:noProof/>
              </w:rPr>
              <mc:AlternateContent>
                <mc:Choice Requires="wps">
                  <w:drawing>
                    <wp:anchor distT="0" distB="0" distL="114300" distR="114300" simplePos="0" relativeHeight="251928576" behindDoc="0" locked="1" layoutInCell="0" allowOverlap="1" wp14:anchorId="297BA1EC" wp14:editId="06FFA6F1">
                      <wp:simplePos x="0" y="0"/>
                      <wp:positionH relativeFrom="column">
                        <wp:posOffset>2819400</wp:posOffset>
                      </wp:positionH>
                      <wp:positionV relativeFrom="page">
                        <wp:posOffset>443230</wp:posOffset>
                      </wp:positionV>
                      <wp:extent cx="1440180" cy="360045"/>
                      <wp:effectExtent l="0" t="0" r="0" b="0"/>
                      <wp:wrapNone/>
                      <wp:docPr id="120" name="文字方塊 1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970832" w:rsidRDefault="00970832" w:rsidP="00912880">
                                  <w:r>
                                    <w:rPr>
                                      <w:rFonts w:hint="eastAsia"/>
                                    </w:rPr>
                                    <w:t>院長王○○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20" o:spid="_x0000_s1085" type="#_x0000_t202" style="position:absolute;left:0;text-align:left;margin-left:222pt;margin-top:34.9pt;width:113.4pt;height:28.35pt;z-index:251928576;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" o:allowincell="f">
                      <v:textbox>
                        <w:txbxContent>
                          <w:p w:rsidR="00895792" w:rsidRDefault="00895792" w:rsidP="00912880">
                            <w:r>
                              <w:rPr>
                                <w:rFonts w:hint="eastAsia"/>
                              </w:rPr>
                              <w:t>院長王○○</w:t>
                            </w:r>
                          </w:p>
                        </w:txbxContent>
                      </v:textbox>
                      <w10:wrap anchory="page"/>
                      <w10:anchorlock/>
                    </v:shape>
                  </w:pict>
                </mc:Fallback>
              </mc:AlternateContent>
            </w:r>
            <w:r w:rsidRPr="00AC77DF">
              <w:rPr>
                <w:noProof/>
              </w:rPr>
              <mc:AlternateContent>
                <mc:Choice Requires="wps">
                  <w:drawing>
                    <wp:anchor distT="0" distB="0" distL="114300" distR="114300" simplePos="0" relativeHeight="251927552" behindDoc="0" locked="1" layoutInCell="0" allowOverlap="1" wp14:anchorId="18B4149D" wp14:editId="4F879331">
                      <wp:simplePos x="0" y="0"/>
                      <wp:positionH relativeFrom="column">
                        <wp:posOffset>1381125</wp:posOffset>
                      </wp:positionH>
                      <wp:positionV relativeFrom="page">
                        <wp:posOffset>443230</wp:posOffset>
                      </wp:positionV>
                      <wp:extent cx="1440180" cy="360045"/>
                      <wp:effectExtent l="0" t="0" r="0" b="0"/>
                      <wp:wrapNone/>
                      <wp:docPr id="121" name="文字方塊 12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970832" w:rsidRDefault="00970832" w:rsidP="00912880">
                                  <w:pPr>
                                    <w:rPr>
                                      <w:rFonts w:ascii="標楷體"/>
                                    </w:rPr>
                                  </w:pPr>
                                  <w:r>
                                    <w:rPr>
                                      <w:rFonts w:ascii="標楷體" w:hint="eastAsia"/>
                                    </w:rPr>
                                    <w:t>函;函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21" o:spid="_x0000_s1086" type="#_x0000_t202" style="position:absolute;left:0;text-align:left;margin-left:108.75pt;margin-top:34.9pt;width:113.4pt;height:28.35pt;z-index:251927552;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" o:allowincell="f">
                      <v:textbox>
                        <w:txbxContent>
                          <w:p w:rsidR="00895792" w:rsidRDefault="00895792" w:rsidP="00912880">
                            <w:pPr>
                              <w:rPr>
                                <w:rFonts w:ascii="標楷體"/>
                              </w:rPr>
                            </w:pPr>
                            <w:r>
                              <w:rPr>
                                <w:rFonts w:ascii="標楷體" w:hint="eastAsia"/>
                              </w:rPr>
                              <w:t>函;函</w:t>
                            </w:r>
                          </w:p>
                        </w:txbxContent>
                      </v:textbox>
                      <w10:wrap anchory="page"/>
                      <w10:anchorlock/>
                    </v:shape>
                  </w:pict>
                </mc:Fallback>
              </mc:AlternateContent>
            </w:r>
            <w:bookmarkStart w:id="216" w:name="_Toc527731061"/>
            <w:bookmarkEnd w:id="213"/>
            <w:bookmarkEnd w:id="214"/>
            <w:bookmarkEnd w:id="215"/>
            <w:r w:rsidR="0079656F" w:rsidRPr="00AC77DF">
              <w:rPr>
                <w:b/>
                <w:lang w:val="x-none"/>
              </w:rPr>
              <w:t>相關國際人權公約：</w:t>
            </w:r>
            <w:r w:rsidR="0079656F" w:rsidRPr="00AC77DF">
              <w:t>公民與政治權利國際公約第</w:t>
            </w:r>
            <w:r w:rsidR="0079656F" w:rsidRPr="00AC77DF">
              <w:t>10</w:t>
            </w:r>
            <w:r w:rsidR="0079656F" w:rsidRPr="00AC77DF">
              <w:t>條</w:t>
            </w:r>
          </w:p>
          <w:p w:rsidR="0079656F" w:rsidRPr="00AC77DF" w:rsidRDefault="0079656F" w:rsidP="00524327">
            <w:pPr>
              <w:spacing w:line="340" w:lineRule="exact"/>
              <w:jc w:val="both"/>
              <w:rPr>
                <w:b/>
                <w:lang w:val="x-none"/>
              </w:rPr>
            </w:pPr>
            <w:r w:rsidRPr="00AC77DF">
              <w:rPr>
                <w:b/>
              </w:rPr>
              <w:t>公民與政治權利國際公約</w:t>
            </w:r>
            <w:r w:rsidRPr="00AC77DF">
              <w:rPr>
                <w:b/>
                <w:lang w:val="x-none"/>
              </w:rPr>
              <w:t>第</w:t>
            </w:r>
            <w:r w:rsidRPr="00AC77DF">
              <w:rPr>
                <w:b/>
                <w:lang w:val="x-none"/>
              </w:rPr>
              <w:t>10</w:t>
            </w:r>
            <w:r w:rsidRPr="00AC77DF">
              <w:rPr>
                <w:b/>
                <w:lang w:val="x-none"/>
              </w:rPr>
              <w:t>條</w:t>
            </w:r>
          </w:p>
          <w:p w:rsidR="0079656F" w:rsidRPr="00AC77DF" w:rsidRDefault="0079656F" w:rsidP="00524327">
            <w:pPr>
              <w:spacing w:line="340" w:lineRule="exact"/>
              <w:ind w:left="480" w:hangingChars="200" w:hanging="480"/>
              <w:jc w:val="both"/>
              <w:rPr>
                <w:lang w:val="x-none"/>
              </w:rPr>
            </w:pPr>
            <w:r w:rsidRPr="00AC77DF">
              <w:rPr>
                <w:lang w:val="x-none"/>
              </w:rPr>
              <w:t>一、自由被剝奪之人，應受合於人道及尊重其天賦人格尊嚴之處遇。</w:t>
            </w:r>
          </w:p>
          <w:p w:rsidR="0079656F" w:rsidRPr="00AC77DF" w:rsidRDefault="0079656F" w:rsidP="00524327">
            <w:pPr>
              <w:spacing w:line="340" w:lineRule="exact"/>
              <w:ind w:left="910" w:hangingChars="379" w:hanging="910"/>
              <w:jc w:val="both"/>
              <w:rPr>
                <w:lang w:val="x-none"/>
              </w:rPr>
            </w:pPr>
            <w:r w:rsidRPr="00AC77DF">
              <w:rPr>
                <w:lang w:val="x-none"/>
              </w:rPr>
              <w:t>二、</w:t>
            </w:r>
            <w:r w:rsidR="00524327">
              <w:rPr>
                <w:rFonts w:hint="eastAsia"/>
                <w:lang w:val="x-none"/>
              </w:rPr>
              <w:t>(</w:t>
            </w:r>
            <w:r w:rsidRPr="00AC77DF">
              <w:rPr>
                <w:lang w:val="x-none"/>
              </w:rPr>
              <w:t>一</w:t>
            </w:r>
            <w:r w:rsidR="00524327">
              <w:rPr>
                <w:rFonts w:hint="eastAsia"/>
                <w:lang w:val="x-none"/>
              </w:rPr>
              <w:t>)</w:t>
            </w:r>
            <w:r w:rsidRPr="00AC77DF">
              <w:rPr>
                <w:lang w:val="x-none"/>
              </w:rPr>
              <w:t>除特殊情形外，被告應與判決有罪之人分別羈押，且應另予與其未經判決有罪之身分相稱之處遇；</w:t>
            </w:r>
          </w:p>
          <w:p w:rsidR="0079656F" w:rsidRPr="00AC77DF" w:rsidRDefault="00524327" w:rsidP="00524327">
            <w:pPr>
              <w:spacing w:line="340" w:lineRule="exact"/>
              <w:ind w:left="910" w:hangingChars="379" w:hanging="910"/>
              <w:jc w:val="both"/>
              <w:rPr>
                <w:lang w:val="x-none"/>
              </w:rPr>
            </w:pPr>
            <w:r>
              <w:rPr>
                <w:rFonts w:hint="eastAsia"/>
                <w:lang w:val="x-none"/>
              </w:rPr>
              <w:t xml:space="preserve">　　</w:t>
            </w:r>
            <w:r>
              <w:rPr>
                <w:rFonts w:hint="eastAsia"/>
                <w:lang w:val="x-none"/>
              </w:rPr>
              <w:t>(</w:t>
            </w:r>
            <w:r w:rsidR="0079656F" w:rsidRPr="00AC77DF">
              <w:rPr>
                <w:lang w:val="x-none"/>
              </w:rPr>
              <w:t>二</w:t>
            </w:r>
            <w:r>
              <w:rPr>
                <w:rFonts w:hint="eastAsia"/>
                <w:lang w:val="x-none"/>
              </w:rPr>
              <w:t>)</w:t>
            </w:r>
            <w:r w:rsidR="0079656F" w:rsidRPr="00AC77DF">
              <w:rPr>
                <w:lang w:val="x-none"/>
              </w:rPr>
              <w:t>少年被告應與成年被告分別羈押，並應儘速即予判決。</w:t>
            </w:r>
          </w:p>
          <w:p w:rsidR="0079656F" w:rsidRDefault="0079656F" w:rsidP="00524327">
            <w:pPr>
              <w:spacing w:line="340" w:lineRule="exact"/>
              <w:ind w:left="480" w:hangingChars="200" w:hanging="480"/>
              <w:jc w:val="both"/>
            </w:pPr>
            <w:r w:rsidRPr="00AC77DF">
              <w:rPr>
                <w:lang w:val="x-none"/>
              </w:rPr>
              <w:t>三、監獄制度所定監犯之處遇，應以使其悛悔自新，重適社</w:t>
            </w:r>
            <w:r w:rsidRPr="00AC77DF">
              <w:rPr>
                <w:lang w:val="x-none"/>
              </w:rPr>
              <w:lastRenderedPageBreak/>
              <w:t>會生活為基本目的。少年犯人應與成年犯人分別拘禁，且其處遇應與其年齡及法律身分相稱。</w:t>
            </w:r>
          </w:p>
        </w:tc>
      </w:tr>
    </w:tbl>
    <w:p w:rsidR="003807A5" w:rsidRPr="00AC77DF" w:rsidRDefault="00816ED5" w:rsidP="001C3F38">
      <w:pPr>
        <w:pStyle w:val="afff1"/>
        <w:spacing w:beforeLines="150" w:before="540" w:after="360"/>
      </w:pPr>
      <w:r>
        <w:rPr>
          <w:rFonts w:hint="eastAsia"/>
        </w:rPr>
        <w:lastRenderedPageBreak/>
        <w:t>(一)</w:t>
      </w:r>
      <w:r w:rsidR="003807A5" w:rsidRPr="00AC77DF">
        <w:t>案情簡述</w:t>
      </w:r>
      <w:bookmarkEnd w:id="216"/>
    </w:p>
    <w:p w:rsidR="003807A5" w:rsidRPr="00AC77DF" w:rsidRDefault="003807A5" w:rsidP="00B7222B">
      <w:pPr>
        <w:pStyle w:val="1---"/>
        <w:ind w:firstLine="480"/>
      </w:pPr>
      <w:r w:rsidRPr="00AC77DF">
        <w:t>法務部矯正署高雄第二監獄（簡稱高二監）未將感染人類免疫缺乏病毒（俗稱愛滋病毒，簡稱</w:t>
      </w:r>
      <w:r w:rsidRPr="00AC77DF">
        <w:t>HIV</w:t>
      </w:r>
      <w:r w:rsidRPr="00AC77DF">
        <w:t>）陳姓受刑人隔離配住愛滋病患收容專區，致其他受刑人處於被傳染危險下；又相關受刑人向監察院陳訴後，卻遭不當獨居監禁、阻斷恩典班教化及認定違規「串房」，損及權益。</w:t>
      </w:r>
    </w:p>
    <w:p w:rsidR="003807A5" w:rsidRPr="00AC77DF" w:rsidRDefault="00816ED5" w:rsidP="00E5718D">
      <w:pPr>
        <w:pStyle w:val="afff1"/>
        <w:spacing w:before="360" w:after="360"/>
      </w:pPr>
      <w:bookmarkStart w:id="217" w:name="_Toc527731062"/>
      <w:r>
        <w:rPr>
          <w:rFonts w:hint="eastAsia"/>
        </w:rPr>
        <w:t>(二)</w:t>
      </w:r>
      <w:r w:rsidR="003807A5" w:rsidRPr="00AC77DF">
        <w:t>監察院調查發現與建議</w:t>
      </w:r>
      <w:bookmarkEnd w:id="217"/>
    </w:p>
    <w:p w:rsidR="003807A5" w:rsidRPr="00AC77DF" w:rsidRDefault="00383BEE" w:rsidP="00D92DAE">
      <w:pPr>
        <w:pStyle w:val="1--13"/>
        <w:spacing w:before="180" w:after="180"/>
        <w:rPr>
          <w:color w:val="000000"/>
        </w:rPr>
      </w:pPr>
      <w:r w:rsidRPr="008E1832">
        <w:rPr>
          <w:rFonts w:hint="eastAsia"/>
        </w:rPr>
        <w:t>˙</w:t>
      </w:r>
      <w:r w:rsidR="003807A5" w:rsidRPr="00AC77DF">
        <w:t>遲延收容於</w:t>
      </w:r>
      <w:r w:rsidR="003807A5" w:rsidRPr="007373B4">
        <w:rPr>
          <w:b/>
        </w:rPr>
        <w:t>HIV</w:t>
      </w:r>
      <w:r w:rsidR="003807A5" w:rsidRPr="00AC77DF">
        <w:t>感染專區</w:t>
      </w:r>
    </w:p>
    <w:p w:rsidR="003807A5" w:rsidRDefault="003807A5" w:rsidP="00B7222B">
      <w:pPr>
        <w:pStyle w:val="1---"/>
        <w:ind w:firstLine="480"/>
        <w:rPr>
          <w:lang w:eastAsia="zh-TW"/>
        </w:rPr>
      </w:pPr>
      <w:r w:rsidRPr="00AC77DF">
        <w:t>高二監於</w:t>
      </w:r>
      <w:r w:rsidRPr="00AC77DF">
        <w:t>105</w:t>
      </w:r>
      <w:r w:rsidRPr="00AC77DF">
        <w:t>年</w:t>
      </w:r>
      <w:r w:rsidRPr="00AC77DF">
        <w:t>1</w:t>
      </w:r>
      <w:r w:rsidRPr="00AC77DF">
        <w:t>月</w:t>
      </w:r>
      <w:r w:rsidRPr="00AC77DF">
        <w:t>18</w:t>
      </w:r>
      <w:r w:rsidRPr="00AC77DF">
        <w:t>日施予陳姓受刑人新收收容人健康檢查，</w:t>
      </w:r>
      <w:r w:rsidRPr="00AC77DF">
        <w:t>HIV</w:t>
      </w:r>
      <w:r w:rsidRPr="00AC77DF">
        <w:t>初篩結果呈現陽性反應，經該監向高雄市政府衛生局查證，於同年</w:t>
      </w:r>
      <w:r w:rsidRPr="00AC77DF">
        <w:t>1</w:t>
      </w:r>
      <w:r w:rsidRPr="00AC77DF">
        <w:t>月</w:t>
      </w:r>
      <w:r w:rsidRPr="00AC77DF">
        <w:t>26</w:t>
      </w:r>
      <w:r w:rsidRPr="00AC77DF">
        <w:t>日確認陳姓受刑人為</w:t>
      </w:r>
      <w:r w:rsidRPr="00AC77DF">
        <w:t>HIV</w:t>
      </w:r>
      <w:r w:rsidRPr="00AC77DF">
        <w:t>感染列管舊案，該監衛生科護理師當日打戒護科內勤</w:t>
      </w:r>
      <w:r w:rsidR="0004382F">
        <w:rPr>
          <w:rFonts w:asciiTheme="majorEastAsia" w:eastAsiaTheme="majorEastAsia" w:hAnsiTheme="majorEastAsia"/>
        </w:rPr>
        <w:t>李志明</w:t>
      </w:r>
      <w:r w:rsidRPr="00AC77DF">
        <w:t>分機電話及正舍主管</w:t>
      </w:r>
      <w:r w:rsidR="0004382F" w:rsidRPr="00FE3F94">
        <w:rPr>
          <w:rFonts w:hint="eastAsia"/>
        </w:rPr>
        <w:t>簡志郎</w:t>
      </w:r>
      <w:r w:rsidRPr="008429DA">
        <w:rPr>
          <w:rFonts w:asciiTheme="majorEastAsia" w:eastAsiaTheme="majorEastAsia" w:hAnsiTheme="majorEastAsia"/>
        </w:rPr>
        <w:t>分機電</w:t>
      </w:r>
      <w:r w:rsidRPr="00AC77DF">
        <w:t>話，通知陳姓受刑人確診通報為愛滋病患，然</w:t>
      </w:r>
      <w:r w:rsidR="0004382F">
        <w:t>李志明</w:t>
      </w:r>
      <w:r w:rsidRPr="00AC77DF">
        <w:t>及</w:t>
      </w:r>
      <w:r w:rsidR="0004382F" w:rsidRPr="00FE3F94">
        <w:rPr>
          <w:rFonts w:hint="eastAsia"/>
        </w:rPr>
        <w:t>簡志郎</w:t>
      </w:r>
      <w:r w:rsidRPr="00AC77DF">
        <w:t>接獲電話通知後，卻未將陳姓受刑人改配忠舍</w:t>
      </w:r>
      <w:r w:rsidRPr="00AC77DF">
        <w:t>HIV</w:t>
      </w:r>
      <w:r w:rsidRPr="00AC77DF">
        <w:t>感染收容專區，遲至該監於</w:t>
      </w:r>
      <w:r w:rsidRPr="00AC77DF">
        <w:t>105</w:t>
      </w:r>
      <w:r w:rsidRPr="00AC77DF">
        <w:t>年</w:t>
      </w:r>
      <w:r w:rsidRPr="00AC77DF">
        <w:t>9</w:t>
      </w:r>
      <w:r w:rsidRPr="00AC77DF">
        <w:t>月</w:t>
      </w:r>
      <w:r w:rsidRPr="00AC77DF">
        <w:t>23</w:t>
      </w:r>
      <w:r w:rsidRPr="00AC77DF">
        <w:t>日施行在監收容人年度性病篩檢再次確認陳姓受刑人為</w:t>
      </w:r>
      <w:r w:rsidRPr="00AC77DF">
        <w:t>HIV</w:t>
      </w:r>
      <w:r w:rsidRPr="00AC77DF">
        <w:t>感染者後，始於同年</w:t>
      </w:r>
      <w:r w:rsidRPr="00AC77DF">
        <w:t>10</w:t>
      </w:r>
      <w:r w:rsidRPr="00AC77DF">
        <w:t>月</w:t>
      </w:r>
      <w:r w:rsidRPr="00AC77DF">
        <w:t>20</w:t>
      </w:r>
      <w:r w:rsidRPr="00AC77DF">
        <w:t>日將其改配房至忠舍。</w:t>
      </w:r>
    </w:p>
    <w:p w:rsidR="003807A5" w:rsidRPr="00AC77DF" w:rsidRDefault="00383BEE" w:rsidP="00D92DAE">
      <w:pPr>
        <w:pStyle w:val="1--13"/>
        <w:spacing w:before="180" w:after="180"/>
      </w:pPr>
      <w:r w:rsidRPr="008E1832">
        <w:rPr>
          <w:rFonts w:hint="eastAsia"/>
        </w:rPr>
        <w:lastRenderedPageBreak/>
        <w:t>˙</w:t>
      </w:r>
      <w:r w:rsidR="003807A5" w:rsidRPr="00AC77DF">
        <w:t>未查驗陽性總表與採血名冊之內容</w:t>
      </w:r>
    </w:p>
    <w:p w:rsidR="003807A5" w:rsidRPr="00AC77DF" w:rsidRDefault="003807A5" w:rsidP="00B7222B">
      <w:pPr>
        <w:pStyle w:val="1---"/>
        <w:ind w:firstLine="480"/>
      </w:pPr>
      <w:r w:rsidRPr="00AC77DF">
        <w:t>高二監委託立人醫事檢驗所辦理收容人</w:t>
      </w:r>
      <w:r w:rsidRPr="00AC77DF">
        <w:t>HIV</w:t>
      </w:r>
      <w:r w:rsidRPr="00AC77DF">
        <w:t>篩檢業務，該監蕭姓受刑人於</w:t>
      </w:r>
      <w:r w:rsidRPr="00AC77DF">
        <w:t>105</w:t>
      </w:r>
      <w:r w:rsidRPr="00AC77DF">
        <w:t>年</w:t>
      </w:r>
      <w:r w:rsidRPr="00AC77DF">
        <w:t>1</w:t>
      </w:r>
      <w:r w:rsidRPr="00AC77DF">
        <w:t>月</w:t>
      </w:r>
      <w:r w:rsidRPr="00AC77DF">
        <w:t>4</w:t>
      </w:r>
      <w:r w:rsidRPr="00AC77DF">
        <w:t>日接受新收收容人性病篩檢時，該所初步篩檢</w:t>
      </w:r>
      <w:r w:rsidRPr="00AC77DF">
        <w:t>HIV</w:t>
      </w:r>
      <w:r w:rsidRPr="00AC77DF">
        <w:t>結果為陽性，惟其於同年</w:t>
      </w:r>
      <w:r w:rsidRPr="00AC77DF">
        <w:t>1</w:t>
      </w:r>
      <w:r w:rsidRPr="00AC77DF">
        <w:t>月</w:t>
      </w:r>
      <w:r w:rsidRPr="00AC77DF">
        <w:t>12</w:t>
      </w:r>
      <w:r w:rsidRPr="00AC77DF">
        <w:t>日提供該監之採血名冊雖有蕭姓受刑人</w:t>
      </w:r>
      <w:r w:rsidRPr="00AC77DF">
        <w:t>HIV</w:t>
      </w:r>
      <w:r w:rsidRPr="00AC77DF">
        <w:t>篩檢結果為陽性之明確記載，惟陽性總表竟漏未顯現蕭姓受刑人之資料，該監疏未逐一查驗陽性總表與採血名冊之內容是否相符，致未能即時確驗蕭姓受刑人為愛滋病患者並將其收容於忠舍。至該監於</w:t>
      </w:r>
      <w:r w:rsidRPr="00AC77DF">
        <w:t>105</w:t>
      </w:r>
      <w:r w:rsidRPr="00AC77DF">
        <w:t>年</w:t>
      </w:r>
      <w:r w:rsidRPr="00AC77DF">
        <w:t>9</w:t>
      </w:r>
      <w:r w:rsidRPr="00AC77DF">
        <w:t>月</w:t>
      </w:r>
      <w:r w:rsidRPr="00AC77DF">
        <w:t>23</w:t>
      </w:r>
      <w:r w:rsidRPr="00AC77DF">
        <w:t>日施行在監收容人年度性病篩檢，再次確驗蕭姓受刑人為</w:t>
      </w:r>
      <w:r w:rsidRPr="00AC77DF">
        <w:t>HIV</w:t>
      </w:r>
      <w:r w:rsidRPr="00AC77DF">
        <w:t>感染者，方於同年</w:t>
      </w:r>
      <w:r w:rsidRPr="00AC77DF">
        <w:t>11</w:t>
      </w:r>
      <w:r w:rsidRPr="00AC77DF">
        <w:t>月</w:t>
      </w:r>
      <w:r w:rsidRPr="00AC77DF">
        <w:t>4</w:t>
      </w:r>
      <w:r w:rsidRPr="00AC77DF">
        <w:t>日將其改配房至忠舍，致其遲延未能收容於</w:t>
      </w:r>
      <w:r w:rsidRPr="00AC77DF">
        <w:t>HIV</w:t>
      </w:r>
      <w:r w:rsidRPr="00AC77DF">
        <w:t>感染收容專區照護長達近</w:t>
      </w:r>
      <w:r w:rsidRPr="00AC77DF">
        <w:t>10</w:t>
      </w:r>
      <w:r w:rsidRPr="00AC77DF">
        <w:t>個月。</w:t>
      </w:r>
    </w:p>
    <w:p w:rsidR="003807A5" w:rsidRPr="00AC77DF" w:rsidRDefault="00383BEE" w:rsidP="00D92DAE">
      <w:pPr>
        <w:pStyle w:val="1--13"/>
        <w:spacing w:before="180" w:after="180"/>
      </w:pPr>
      <w:r w:rsidRPr="008E1832">
        <w:rPr>
          <w:rFonts w:hint="eastAsia"/>
        </w:rPr>
        <w:t>˙</w:t>
      </w:r>
      <w:r w:rsidR="003807A5" w:rsidRPr="00AC77DF">
        <w:t>違反規定將受刑人獨居監禁</w:t>
      </w:r>
    </w:p>
    <w:p w:rsidR="003807A5" w:rsidRDefault="003807A5" w:rsidP="00C12732">
      <w:pPr>
        <w:pStyle w:val="1---"/>
        <w:ind w:firstLine="480"/>
        <w:rPr>
          <w:spacing w:val="-2"/>
          <w:lang w:eastAsia="zh-TW"/>
        </w:rPr>
      </w:pPr>
      <w:r w:rsidRPr="00AC77DF">
        <w:t>高二監於</w:t>
      </w:r>
      <w:r w:rsidRPr="00AC77DF">
        <w:t>105</w:t>
      </w:r>
      <w:r w:rsidRPr="00AC77DF">
        <w:t>年</w:t>
      </w:r>
      <w:r w:rsidRPr="00AC77DF">
        <w:t>10</w:t>
      </w:r>
      <w:r w:rsidRPr="00AC77DF">
        <w:t>月</w:t>
      </w:r>
      <w:r w:rsidRPr="00AC77DF">
        <w:t>6</w:t>
      </w:r>
      <w:r w:rsidRPr="00AC77DF">
        <w:t>日因許姓受刑人對該監處理事件方式表達不滿，而以避免其情緒影響同房受刑人作息為由，將其獨居監禁。又因許姓受刑人於同年</w:t>
      </w:r>
      <w:r w:rsidRPr="00AC77DF">
        <w:t>10</w:t>
      </w:r>
      <w:r w:rsidRPr="00AC77DF">
        <w:t>月底陳情該監未將愛滋病患陳姓受刑人收容於專區忠舍，而以避免其向其他受刑人傳遞該訊息，導致受刑人恐慌為由，將其繼續獨居監禁至</w:t>
      </w:r>
      <w:r w:rsidRPr="00AC77DF">
        <w:t>106</w:t>
      </w:r>
      <w:r w:rsidRPr="00AC77DF">
        <w:t>年</w:t>
      </w:r>
      <w:r w:rsidRPr="00AC77DF">
        <w:t>2</w:t>
      </w:r>
      <w:r w:rsidRPr="00AC77DF">
        <w:t>月</w:t>
      </w:r>
      <w:r w:rsidRPr="00AC77DF">
        <w:t>7</w:t>
      </w:r>
      <w:r w:rsidRPr="00AC77DF">
        <w:t>日止，始改配違規考核房群居。該監又以其一再高聲交談無視管教人員勸阻為由，將其獨居監禁至同年</w:t>
      </w:r>
      <w:r w:rsidRPr="00AC77DF">
        <w:t>3</w:t>
      </w:r>
      <w:r w:rsidRPr="00AC77DF">
        <w:t>月</w:t>
      </w:r>
      <w:r w:rsidRPr="00AC77DF">
        <w:t>13</w:t>
      </w:r>
      <w:r w:rsidRPr="00AC77DF">
        <w:t>日止。該監所為違背獨居監禁應經機關首長核准及期間不得超過</w:t>
      </w:r>
      <w:r w:rsidRPr="00AC77DF">
        <w:t>30</w:t>
      </w:r>
      <w:r w:rsidRPr="00AC77DF">
        <w:t>日之</w:t>
      </w:r>
      <w:r w:rsidRPr="00C12732">
        <w:rPr>
          <w:spacing w:val="-2"/>
        </w:rPr>
        <w:t>函令，僅經戒護科長核准，將許姓受刑人獨居監禁長達</w:t>
      </w:r>
      <w:r w:rsidRPr="00C12732">
        <w:rPr>
          <w:spacing w:val="-2"/>
        </w:rPr>
        <w:t>4</w:t>
      </w:r>
      <w:r w:rsidRPr="00C12732">
        <w:rPr>
          <w:spacing w:val="-2"/>
        </w:rPr>
        <w:t>個月。</w:t>
      </w:r>
    </w:p>
    <w:p w:rsidR="001C3F38" w:rsidRDefault="001C3F38">
      <w:pPr>
        <w:widowControl/>
        <w:snapToGrid/>
        <w:rPr>
          <w:rFonts w:ascii="新細明體" w:eastAsia="華康正顏楷體W5" w:hAnsi="新細明體"/>
          <w:kern w:val="0"/>
          <w:sz w:val="26"/>
          <w:szCs w:val="22"/>
        </w:rPr>
      </w:pPr>
      <w:r>
        <w:br w:type="page"/>
      </w:r>
    </w:p>
    <w:p w:rsidR="003807A5" w:rsidRPr="00AC77DF" w:rsidRDefault="00383BEE" w:rsidP="00D92DAE">
      <w:pPr>
        <w:pStyle w:val="1--13"/>
        <w:spacing w:before="180" w:after="180"/>
      </w:pPr>
      <w:r w:rsidRPr="008E1832">
        <w:rPr>
          <w:rFonts w:hint="eastAsia"/>
        </w:rPr>
        <w:lastRenderedPageBreak/>
        <w:t>˙</w:t>
      </w:r>
      <w:r w:rsidR="003807A5" w:rsidRPr="00AC77DF">
        <w:t>不當限縮受刑人之教化活動</w:t>
      </w:r>
    </w:p>
    <w:p w:rsidR="003807A5" w:rsidRPr="00AC77DF" w:rsidRDefault="003807A5" w:rsidP="00B7222B">
      <w:pPr>
        <w:pStyle w:val="1---"/>
        <w:ind w:firstLine="480"/>
      </w:pPr>
      <w:r w:rsidRPr="00AC77DF">
        <w:t>監獄行刑法明定，監獄對於受刑人有施以教化之義務，高二監卻對收容於正舍違規房之受刑人，均採取禁止參加恩典班之措施。再者，其在許姓受刑人自</w:t>
      </w:r>
      <w:r w:rsidRPr="00AC77DF">
        <w:t>105</w:t>
      </w:r>
      <w:r w:rsidRPr="00AC77DF">
        <w:t>年</w:t>
      </w:r>
      <w:r w:rsidRPr="00AC77DF">
        <w:t>11</w:t>
      </w:r>
      <w:r w:rsidRPr="00AC77DF">
        <w:t>月</w:t>
      </w:r>
      <w:r w:rsidRPr="00AC77DF">
        <w:t>25</w:t>
      </w:r>
      <w:r w:rsidRPr="00AC77DF">
        <w:t>日至</w:t>
      </w:r>
      <w:r w:rsidRPr="00AC77DF">
        <w:t>106</w:t>
      </w:r>
      <w:r w:rsidRPr="00AC77DF">
        <w:t>年</w:t>
      </w:r>
      <w:r w:rsidRPr="00AC77DF">
        <w:t>2</w:t>
      </w:r>
      <w:r w:rsidRPr="00AC77DF">
        <w:t>月</w:t>
      </w:r>
      <w:r w:rsidRPr="00AC77DF">
        <w:t>7</w:t>
      </w:r>
      <w:r w:rsidRPr="00AC77DF">
        <w:t>日共</w:t>
      </w:r>
      <w:r w:rsidRPr="00AC77DF">
        <w:t>2</w:t>
      </w:r>
      <w:r w:rsidRPr="00AC77DF">
        <w:t>個半月獨居監禁期間，禁止其參加恩典班，僅給予個別輔導及特別輔導各</w:t>
      </w:r>
      <w:r w:rsidRPr="00AC77DF">
        <w:t>1</w:t>
      </w:r>
      <w:r w:rsidRPr="00AC77DF">
        <w:t>次、認輔</w:t>
      </w:r>
      <w:r w:rsidRPr="00AC77DF">
        <w:t>3</w:t>
      </w:r>
      <w:r w:rsidRPr="00AC77DF">
        <w:t>次；自</w:t>
      </w:r>
      <w:r w:rsidRPr="00AC77DF">
        <w:t>106</w:t>
      </w:r>
      <w:r w:rsidRPr="00AC77DF">
        <w:t>年</w:t>
      </w:r>
      <w:r w:rsidRPr="00AC77DF">
        <w:t>2</w:t>
      </w:r>
      <w:r w:rsidRPr="00AC77DF">
        <w:t>月</w:t>
      </w:r>
      <w:r w:rsidRPr="00AC77DF">
        <w:t>7</w:t>
      </w:r>
      <w:r w:rsidRPr="00AC77DF">
        <w:t>日至</w:t>
      </w:r>
      <w:r w:rsidRPr="00AC77DF">
        <w:t>106</w:t>
      </w:r>
      <w:r w:rsidRPr="00AC77DF">
        <w:t>年</w:t>
      </w:r>
      <w:r w:rsidRPr="00AC77DF">
        <w:t>3</w:t>
      </w:r>
      <w:r w:rsidRPr="00AC77DF">
        <w:t>月</w:t>
      </w:r>
      <w:r w:rsidRPr="00AC77DF">
        <w:t>21</w:t>
      </w:r>
      <w:r w:rsidRPr="00AC77DF">
        <w:t>日配住違規房正舍約</w:t>
      </w:r>
      <w:r w:rsidRPr="00AC77DF">
        <w:t>1</w:t>
      </w:r>
      <w:r w:rsidRPr="00AC77DF">
        <w:t>個半月期間，禁止其參加恩典班，僅給予特別輔導</w:t>
      </w:r>
      <w:r w:rsidRPr="00AC77DF">
        <w:t>2</w:t>
      </w:r>
      <w:r w:rsidRPr="00AC77DF">
        <w:t>次、認輔</w:t>
      </w:r>
      <w:r w:rsidRPr="00AC77DF">
        <w:t>1</w:t>
      </w:r>
      <w:r w:rsidRPr="00AC77DF">
        <w:t>次，不當限縮對許姓受刑人之教化活動。</w:t>
      </w:r>
    </w:p>
    <w:p w:rsidR="003807A5" w:rsidRPr="00AC77DF" w:rsidRDefault="00383BEE" w:rsidP="00D92DAE">
      <w:pPr>
        <w:pStyle w:val="1--13"/>
        <w:spacing w:before="180" w:after="180"/>
      </w:pPr>
      <w:r w:rsidRPr="008E1832">
        <w:rPr>
          <w:rFonts w:hint="eastAsia"/>
        </w:rPr>
        <w:t>˙</w:t>
      </w:r>
      <w:r w:rsidR="003807A5" w:rsidRPr="00AC77DF">
        <w:t>維護受刑人之受教權益及愛滋病宣導。</w:t>
      </w:r>
    </w:p>
    <w:p w:rsidR="003807A5" w:rsidRPr="00AC77DF" w:rsidRDefault="003807A5" w:rsidP="00B7222B">
      <w:pPr>
        <w:pStyle w:val="1---"/>
        <w:ind w:firstLine="480"/>
      </w:pPr>
      <w:r w:rsidRPr="00AC77DF">
        <w:t>矯正署於臺北、彰化、臺南及花蓮監獄等</w:t>
      </w:r>
      <w:r w:rsidRPr="00AC77DF">
        <w:t>4</w:t>
      </w:r>
      <w:r w:rsidRPr="00AC77DF">
        <w:t>所矯正機關設立進修補習學校，辦理國民基本教育及進修教育。惟有些學校對於受刑人之報考資格，設有執行期間違規達</w:t>
      </w:r>
      <w:r w:rsidRPr="00AC77DF">
        <w:t>2</w:t>
      </w:r>
      <w:r w:rsidRPr="00AC77DF">
        <w:t>次（含）以上者、最近</w:t>
      </w:r>
      <w:r w:rsidRPr="00AC77DF">
        <w:t>1</w:t>
      </w:r>
      <w:r w:rsidRPr="00AC77DF">
        <w:t>年內有違規紀錄者即不可報考之規定，造成有心進修者，稍有不慎違規即無法報考之困境。該署應對進修學校招生資格，適度放寬違規紀錄、期間及次數限制，以鼓勵受刑人奮發向上，給予進修學習機會，維護其受教權益。再者，矯正署應督導各監所妥善運用疾管署之相關資訊，定期對收容人加強宣導愛滋病傳染途徑、預防及治療方法，實施衛教，以強化收容人對愛滋病之認知。</w:t>
      </w:r>
    </w:p>
    <w:p w:rsidR="003807A5" w:rsidRPr="00AC77DF" w:rsidRDefault="003807A5" w:rsidP="00B7222B">
      <w:pPr>
        <w:pStyle w:val="1---"/>
        <w:ind w:firstLine="480"/>
      </w:pPr>
      <w:r w:rsidRPr="00AC77DF">
        <w:t>依據本案相關調查意見</w:t>
      </w:r>
      <w:r w:rsidRPr="00F85A65">
        <w:rPr>
          <w:rStyle w:val="aff2"/>
        </w:rPr>
        <w:footnoteReference w:id="70"/>
      </w:r>
      <w:r w:rsidRPr="00AC77DF">
        <w:t>，監察院糾正高二監</w:t>
      </w:r>
      <w:r w:rsidR="00774A13">
        <w:t>，</w:t>
      </w:r>
      <w:r w:rsidR="00774A13">
        <w:rPr>
          <w:rFonts w:hint="eastAsia"/>
        </w:rPr>
        <w:t>另</w:t>
      </w:r>
      <w:r w:rsidRPr="00AC77DF">
        <w:t>函請法務部督同所屬檢討改進，並議處失職人員。</w:t>
      </w:r>
    </w:p>
    <w:p w:rsidR="003807A5" w:rsidRPr="00AC77DF" w:rsidRDefault="00816ED5" w:rsidP="00E5718D">
      <w:pPr>
        <w:pStyle w:val="afff1"/>
        <w:spacing w:before="360" w:after="360"/>
      </w:pPr>
      <w:bookmarkStart w:id="218" w:name="_Toc527731063"/>
      <w:r>
        <w:rPr>
          <w:rFonts w:hint="eastAsia"/>
        </w:rPr>
        <w:lastRenderedPageBreak/>
        <w:t>(三)</w:t>
      </w:r>
      <w:r w:rsidR="003807A5" w:rsidRPr="00AC77DF">
        <w:t>政府機關改善情形</w:t>
      </w:r>
      <w:bookmarkEnd w:id="218"/>
    </w:p>
    <w:p w:rsidR="003807A5" w:rsidRPr="00AC77DF" w:rsidRDefault="003807A5" w:rsidP="00243780">
      <w:pPr>
        <w:pStyle w:val="1----"/>
        <w:ind w:left="600" w:hanging="360"/>
      </w:pPr>
      <w:r w:rsidRPr="00AC77DF">
        <w:t>1</w:t>
      </w:r>
      <w:r w:rsidRPr="00AC77DF">
        <w:t>、高二監針</w:t>
      </w:r>
      <w:r w:rsidRPr="00C12732">
        <w:rPr>
          <w:spacing w:val="-4"/>
        </w:rPr>
        <w:t>對</w:t>
      </w:r>
      <w:r w:rsidRPr="00AC77DF">
        <w:t>HI</w:t>
      </w:r>
      <w:r w:rsidRPr="00C12732">
        <w:rPr>
          <w:spacing w:val="-4"/>
        </w:rPr>
        <w:t>V</w:t>
      </w:r>
      <w:r w:rsidRPr="00AC77DF">
        <w:t>受刑人的收容流程改為衛生科承辦人接獲書面報告後，以電話及書面通知戒護科。戒護科則憑電話及書面通知，作為配房配業參考。要求承包廠商查明錯誤原因，並限期改善；且承包廠商採覆核機制，並核章以確認資料之正確性。另高二監於</w:t>
      </w:r>
      <w:r w:rsidRPr="00AC77DF">
        <w:t>106</w:t>
      </w:r>
      <w:r w:rsidRPr="00AC77DF">
        <w:t>年</w:t>
      </w:r>
      <w:r w:rsidRPr="00AC77DF">
        <w:t>12</w:t>
      </w:r>
      <w:r w:rsidRPr="00AC77DF">
        <w:t>月</w:t>
      </w:r>
      <w:r w:rsidRPr="00AC77DF">
        <w:t>30</w:t>
      </w:r>
      <w:r w:rsidRPr="00AC77DF">
        <w:t>日第二次修訂作業流程，加強「核對陽性總表與採血名冊內報告一致性」之內部控制程序，並於</w:t>
      </w:r>
      <w:r w:rsidRPr="00AC77DF">
        <w:t>107</w:t>
      </w:r>
      <w:r w:rsidRPr="00AC77DF">
        <w:t>年度收容人性病篩檢委外案加註報告錯誤之懲罰性條款。</w:t>
      </w:r>
    </w:p>
    <w:p w:rsidR="003807A5" w:rsidRPr="00AC77DF" w:rsidRDefault="003807A5" w:rsidP="00243780">
      <w:pPr>
        <w:pStyle w:val="1----"/>
        <w:ind w:left="600" w:hanging="360"/>
      </w:pPr>
      <w:r w:rsidRPr="00AC77DF">
        <w:t>2</w:t>
      </w:r>
      <w:r w:rsidRPr="00AC77DF">
        <w:t>、矯正署為減緩長期獨居可能對於收容人身心狀況產生影響，經檢討後已</w:t>
      </w:r>
      <w:r w:rsidRPr="00C12732">
        <w:rPr>
          <w:spacing w:val="-4"/>
        </w:rPr>
        <w:t>於</w:t>
      </w:r>
      <w:r w:rsidRPr="00AC77DF">
        <w:t>10</w:t>
      </w:r>
      <w:r w:rsidRPr="00C12732">
        <w:rPr>
          <w:spacing w:val="-4"/>
        </w:rPr>
        <w:t>6</w:t>
      </w:r>
      <w:r w:rsidRPr="00C12732">
        <w:rPr>
          <w:spacing w:val="-4"/>
        </w:rPr>
        <w:t>年</w:t>
      </w:r>
      <w:r w:rsidRPr="00C12732">
        <w:rPr>
          <w:spacing w:val="-4"/>
        </w:rPr>
        <w:t>8</w:t>
      </w:r>
      <w:r w:rsidRPr="00C12732">
        <w:rPr>
          <w:spacing w:val="-4"/>
        </w:rPr>
        <w:t>月</w:t>
      </w:r>
      <w:r w:rsidRPr="00C12732">
        <w:rPr>
          <w:spacing w:val="-4"/>
        </w:rPr>
        <w:t>2</w:t>
      </w:r>
      <w:r w:rsidRPr="00AC77DF">
        <w:t>日以法矯署安字第</w:t>
      </w:r>
      <w:r w:rsidRPr="00AC77DF">
        <w:t>1060400</w:t>
      </w:r>
      <w:r w:rsidR="00C12732">
        <w:rPr>
          <w:rFonts w:hint="eastAsia"/>
          <w:lang w:eastAsia="zh-TW"/>
        </w:rPr>
        <w:t xml:space="preserve"> </w:t>
      </w:r>
      <w:r w:rsidRPr="00AC77DF">
        <w:t>6580</w:t>
      </w:r>
      <w:r w:rsidRPr="00AC77DF">
        <w:t>號函示各矯正機關有關獨居監禁之實施原則。</w:t>
      </w:r>
    </w:p>
    <w:p w:rsidR="003807A5" w:rsidRPr="00AC77DF" w:rsidRDefault="003807A5" w:rsidP="00243780">
      <w:pPr>
        <w:pStyle w:val="1----"/>
        <w:ind w:left="600" w:hanging="360"/>
      </w:pPr>
      <w:r w:rsidRPr="00AC77DF">
        <w:t>3</w:t>
      </w:r>
      <w:r w:rsidRPr="00AC77DF">
        <w:t>、高二監已研議改善受刑人受違規處分、獨居監禁及個人意願等面向，由管教小組採寬容認定，評估其身心狀況、有無擾亂秩序之虞，經長官核准後得安排參與合宜之信仰課程，以維護受刑人個人宗教信仰。另有關「維護受刑人之受教權益」</w:t>
      </w:r>
      <w:r w:rsidRPr="00AC77DF">
        <w:t>1</w:t>
      </w:r>
      <w:r w:rsidRPr="00AC77DF">
        <w:t>節，法務部矯正署業於</w:t>
      </w:r>
      <w:r w:rsidRPr="00AC77DF">
        <w:t>107</w:t>
      </w:r>
      <w:r w:rsidRPr="00AC77DF">
        <w:t>年</w:t>
      </w:r>
      <w:r w:rsidRPr="00AC77DF">
        <w:t>1</w:t>
      </w:r>
      <w:r w:rsidRPr="00AC77DF">
        <w:t>月</w:t>
      </w:r>
      <w:r w:rsidRPr="00AC77DF">
        <w:t>11</w:t>
      </w:r>
      <w:r w:rsidRPr="00AC77DF">
        <w:t>日函請各監獄附設進修及補習學校自</w:t>
      </w:r>
      <w:r w:rsidRPr="00AC77DF">
        <w:t>107</w:t>
      </w:r>
      <w:r w:rsidRPr="00AC77DF">
        <w:t>學年度起，適度放寬招生資格，以鼓勵受刑人於執行期間保持善行並予以公平學習之機會；而於「監所之愛滋病宣導問題」</w:t>
      </w:r>
      <w:r w:rsidRPr="00AC77DF">
        <w:t>1</w:t>
      </w:r>
      <w:r w:rsidRPr="00AC77DF">
        <w:t>節，法務部矯正署對所屬機關除持續督導外並適時提供衛福部疾病管制署網站上公布之新資訊，納入衛生教育教材，強化收容人對愛滋病之認知。</w:t>
      </w:r>
    </w:p>
    <w:p w:rsidR="003807A5" w:rsidRPr="00AC77DF" w:rsidRDefault="003807A5" w:rsidP="00243780">
      <w:pPr>
        <w:pStyle w:val="1----"/>
        <w:ind w:left="600" w:hanging="360"/>
      </w:pPr>
      <w:r w:rsidRPr="00AC77DF">
        <w:t>4</w:t>
      </w:r>
      <w:r w:rsidRPr="00AC77DF">
        <w:t>、高二監對陳姓收容人轉業配房之疏失，核予主任管理員</w:t>
      </w:r>
      <w:r w:rsidR="0004382F">
        <w:t>李</w:t>
      </w:r>
      <w:r w:rsidR="0004382F">
        <w:lastRenderedPageBreak/>
        <w:t>志明</w:t>
      </w:r>
      <w:r w:rsidRPr="00AC77DF">
        <w:t>及護理師各申誡一次之處分；對抽血檢驗外包廠商資料處理程序錯誤，導致陽性總表與採血名冊內之檢測報告不一致之違失，認以承辦人員護理師僅就陽性總表執行相關行政作業，如以造成錯誤的責任採比例原則考量，外包廠商需負較大的責任，爰核予護理師警告處分；前戒護科長</w:t>
      </w:r>
      <w:r w:rsidR="0004382F" w:rsidRPr="00EA0B77">
        <w:rPr>
          <w:rFonts w:ascii="新細明體" w:hAnsi="新細明體" w:hint="eastAsia"/>
        </w:rPr>
        <w:t>張漢明</w:t>
      </w:r>
      <w:r w:rsidRPr="00AC77DF">
        <w:t>未積極教育收容人，而使其他收容人</w:t>
      </w:r>
      <w:r w:rsidRPr="00C12732">
        <w:rPr>
          <w:spacing w:val="-4"/>
        </w:rPr>
        <w:t>對</w:t>
      </w:r>
      <w:r w:rsidRPr="00AC77DF">
        <w:t>HI</w:t>
      </w:r>
      <w:r w:rsidRPr="00C12732">
        <w:rPr>
          <w:spacing w:val="-4"/>
        </w:rPr>
        <w:t>V</w:t>
      </w:r>
      <w:r w:rsidRPr="00AC77DF">
        <w:t>疾病錯誤認知及對許姓受刑人獨居監禁，業核予申誡一次處分。</w:t>
      </w:r>
    </w:p>
    <w:p w:rsidR="003807A5" w:rsidRPr="00AC77DF" w:rsidRDefault="00816ED5" w:rsidP="00E5718D">
      <w:pPr>
        <w:pStyle w:val="afff1"/>
        <w:spacing w:before="360" w:after="360"/>
      </w:pPr>
      <w:bookmarkStart w:id="219" w:name="_Toc527731064"/>
      <w:r>
        <w:rPr>
          <w:rFonts w:hint="eastAsia"/>
        </w:rPr>
        <w:t>(四)</w:t>
      </w:r>
      <w:r w:rsidR="003807A5" w:rsidRPr="00AC77DF">
        <w:t>案件進展</w:t>
      </w:r>
      <w:bookmarkEnd w:id="219"/>
    </w:p>
    <w:p w:rsidR="003807A5" w:rsidRDefault="003807A5" w:rsidP="00B7222B">
      <w:pPr>
        <w:pStyle w:val="1---"/>
        <w:ind w:firstLine="480"/>
        <w:rPr>
          <w:lang w:eastAsia="zh-TW"/>
        </w:rPr>
      </w:pPr>
      <w:r w:rsidRPr="00AC77DF">
        <w:t>監察院持續追蹤本案後續處理情形。</w:t>
      </w:r>
    </w:p>
    <w:p w:rsidR="00816ED5" w:rsidRDefault="00816ED5" w:rsidP="00B7222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3114"/>
      </w:tblGrid>
      <w:tr w:rsidR="00816ED5" w:rsidTr="00D86785">
        <w:tc>
          <w:tcPr>
            <w:tcW w:w="3114" w:type="dxa"/>
            <w:shd w:val="clear" w:color="auto" w:fill="D9D9D9" w:themeFill="background1" w:themeFillShade="D9"/>
          </w:tcPr>
          <w:p w:rsidR="00816ED5" w:rsidRDefault="00816ED5" w:rsidP="00D86785">
            <w:pPr>
              <w:pStyle w:val="11-"/>
              <w:spacing w:before="72" w:after="108"/>
              <w:rPr>
                <w:lang w:eastAsia="zh-TW"/>
              </w:rPr>
            </w:pPr>
            <w:bookmarkStart w:id="220" w:name="_Toc527731090"/>
            <w:bookmarkStart w:id="221" w:name="_Toc535228355"/>
            <w:bookmarkStart w:id="222" w:name="_Toc4058766"/>
            <w:r w:rsidRPr="00AC77DF">
              <w:rPr>
                <w:bdr w:val="none" w:sz="0" w:space="0" w:color="auto" w:frame="1"/>
              </w:rPr>
              <w:t>基隆看守所管理不當</w:t>
            </w:r>
            <w:bookmarkEnd w:id="220"/>
            <w:bookmarkEnd w:id="221"/>
            <w:bookmarkEnd w:id="222"/>
          </w:p>
        </w:tc>
      </w:tr>
    </w:tbl>
    <w:p w:rsidR="003807A5" w:rsidRPr="00AC77DF" w:rsidRDefault="00816ED5" w:rsidP="001C3F38">
      <w:pPr>
        <w:pStyle w:val="afff1"/>
        <w:spacing w:beforeLines="150" w:before="540" w:after="360"/>
      </w:pPr>
      <w:bookmarkStart w:id="223" w:name="_Toc527731091"/>
      <w:r>
        <w:rPr>
          <w:rFonts w:hint="eastAsia"/>
        </w:rPr>
        <w:t>(一)</w:t>
      </w:r>
      <w:r w:rsidR="003807A5" w:rsidRPr="00AC77DF">
        <w:t>案情簡述</w:t>
      </w:r>
      <w:bookmarkEnd w:id="223"/>
      <w:r w:rsidR="003807A5" w:rsidRPr="00AC77DF">
        <w:t xml:space="preserve"> </w:t>
      </w:r>
    </w:p>
    <w:p w:rsidR="003807A5" w:rsidRPr="00AC77DF" w:rsidRDefault="003807A5" w:rsidP="00B7222B">
      <w:pPr>
        <w:pStyle w:val="1---"/>
        <w:ind w:firstLine="480"/>
        <w:rPr>
          <w:b/>
        </w:rPr>
      </w:pPr>
      <w:r w:rsidRPr="00AC77DF">
        <w:t>據訴，法務部矯正署基隆看守所（簡稱基隆看守所）主任管理員</w:t>
      </w:r>
      <w:r w:rsidR="0004382F">
        <w:t>李志明</w:t>
      </w:r>
      <w:r w:rsidRPr="00AC77DF">
        <w:t>於</w:t>
      </w:r>
      <w:r w:rsidRPr="00AC77DF">
        <w:t>104</w:t>
      </w:r>
      <w:r w:rsidRPr="00AC77DF">
        <w:t>年</w:t>
      </w:r>
      <w:r w:rsidRPr="00AC77DF">
        <w:t>9</w:t>
      </w:r>
      <w:r w:rsidRPr="00AC77DF">
        <w:t>月</w:t>
      </w:r>
      <w:r w:rsidRPr="00AC77DF">
        <w:t>6</w:t>
      </w:r>
      <w:r w:rsidRPr="00AC77DF">
        <w:t>日持電擊棒實施糾正事件，向該所呈送收容人聯名提告主任管理員恐嚇之狀紙，遞狀過程屢次受該所矯正人員言語勸阻，而致陳訴人試圖飲清潔劑自殺，該所直至</w:t>
      </w:r>
      <w:r w:rsidRPr="00AC77DF">
        <w:t>104</w:t>
      </w:r>
      <w:r w:rsidRPr="00AC77DF">
        <w:t>年</w:t>
      </w:r>
      <w:r w:rsidRPr="00AC77DF">
        <w:t>9</w:t>
      </w:r>
      <w:r w:rsidRPr="00AC77DF">
        <w:t>月</w:t>
      </w:r>
      <w:r w:rsidRPr="00AC77DF">
        <w:t>11</w:t>
      </w:r>
      <w:r w:rsidRPr="00AC77DF">
        <w:t>日始將該狀紙移交地檢署，該矯正人員所為，已違反監獄行刑法施行細則第</w:t>
      </w:r>
      <w:r w:rsidRPr="00AC77DF">
        <w:t>82</w:t>
      </w:r>
      <w:r w:rsidRPr="00AC77DF">
        <w:t>條之</w:t>
      </w:r>
      <w:r w:rsidRPr="00AC77DF">
        <w:t>1</w:t>
      </w:r>
      <w:r w:rsidRPr="00AC77DF">
        <w:t>關於收容人寄送檢察署之書狀「應予登記後速為轉送或寄發」之規定，影響收容</w:t>
      </w:r>
      <w:r w:rsidRPr="00AC77DF">
        <w:lastRenderedPageBreak/>
        <w:t>人之訴訟權益。又法務部矯正署基隆監獄（簡稱基隆監獄）科員於</w:t>
      </w:r>
      <w:r w:rsidRPr="00AC77DF">
        <w:t>106</w:t>
      </w:r>
      <w:r w:rsidRPr="00AC77DF">
        <w:t>年</w:t>
      </w:r>
      <w:r w:rsidRPr="00AC77DF">
        <w:t>3</w:t>
      </w:r>
      <w:r w:rsidRPr="00AC77DF">
        <w:t>月</w:t>
      </w:r>
      <w:r w:rsidRPr="00AC77DF">
        <w:t>13</w:t>
      </w:r>
      <w:r w:rsidRPr="00AC77DF">
        <w:t>日陳訴人女友辦理接見登記時，告知其女友關於監所電腦內所列之陳訴人犯罪前科資料，且稱其所涉案件眾多，這種人不會改，不要跟他扯上關係等語，致使陳訴人與其女友於接見時，因女友質問其究竟進出監獄多少次，是否犯罪</w:t>
      </w:r>
      <w:r w:rsidR="001C3F38">
        <w:rPr>
          <w:rFonts w:hint="eastAsia"/>
          <w:lang w:eastAsia="zh-TW"/>
        </w:rPr>
        <w:t>十</w:t>
      </w:r>
      <w:r w:rsidR="001C3F38">
        <w:t>餘條等，而發生爭吵</w:t>
      </w:r>
      <w:r w:rsidR="001C3F38">
        <w:rPr>
          <w:rFonts w:hint="eastAsia"/>
          <w:lang w:eastAsia="zh-TW"/>
        </w:rPr>
        <w:t>，</w:t>
      </w:r>
      <w:r w:rsidRPr="00AC77DF">
        <w:t>案經監察委員立案調查。</w:t>
      </w:r>
    </w:p>
    <w:p w:rsidR="003807A5" w:rsidRPr="00AC77DF" w:rsidRDefault="00816ED5" w:rsidP="00E5718D">
      <w:pPr>
        <w:pStyle w:val="afff1"/>
        <w:spacing w:before="360" w:after="360"/>
      </w:pPr>
      <w:bookmarkStart w:id="224" w:name="_Toc527731092"/>
      <w:r>
        <w:rPr>
          <w:rFonts w:hint="eastAsia"/>
        </w:rPr>
        <w:t>(二)</w:t>
      </w:r>
      <w:r w:rsidR="003807A5" w:rsidRPr="00AC77DF">
        <w:t>監察院調查發現與建議</w:t>
      </w:r>
      <w:bookmarkEnd w:id="224"/>
    </w:p>
    <w:p w:rsidR="003807A5" w:rsidRPr="00AC77DF" w:rsidRDefault="00383BEE" w:rsidP="00D92DAE">
      <w:pPr>
        <w:pStyle w:val="1--13"/>
        <w:spacing w:before="180" w:after="180"/>
      </w:pPr>
      <w:r w:rsidRPr="008E1832">
        <w:rPr>
          <w:rFonts w:hint="eastAsia"/>
        </w:rPr>
        <w:t>˙</w:t>
      </w:r>
      <w:r w:rsidR="003807A5" w:rsidRPr="00AC77DF">
        <w:t>未妥適處理收容人陳情書狀</w:t>
      </w:r>
    </w:p>
    <w:p w:rsidR="003807A5" w:rsidRPr="00AC77DF" w:rsidRDefault="003807A5" w:rsidP="00B7222B">
      <w:pPr>
        <w:pStyle w:val="1---"/>
        <w:ind w:firstLine="480"/>
        <w:rPr>
          <w:lang w:eastAsia="zh-TW"/>
        </w:rPr>
      </w:pPr>
      <w:r w:rsidRPr="00AC77DF">
        <w:t>基隆看守所科長及科員對於收容人聯名提告主任管理員恐嚇之狀紙，遲至</w:t>
      </w:r>
      <w:r w:rsidRPr="00AC77DF">
        <w:t>104</w:t>
      </w:r>
      <w:r w:rsidRPr="00AC77DF">
        <w:t>年</w:t>
      </w:r>
      <w:r w:rsidRPr="00AC77DF">
        <w:t>9</w:t>
      </w:r>
      <w:r w:rsidRPr="00AC77DF">
        <w:t>月</w:t>
      </w:r>
      <w:r w:rsidRPr="00AC77DF">
        <w:t>11</w:t>
      </w:r>
      <w:r w:rsidRPr="00AC77DF">
        <w:t>日始將該狀紙移交地檢署，已違反監獄行刑法施行細則第</w:t>
      </w:r>
      <w:r w:rsidRPr="00AC77DF">
        <w:t>82</w:t>
      </w:r>
      <w:r w:rsidRPr="00AC77DF">
        <w:t>條之</w:t>
      </w:r>
      <w:r w:rsidRPr="00AC77DF">
        <w:t>1</w:t>
      </w:r>
      <w:r w:rsidRPr="00AC77DF">
        <w:t>關於收容人寄送檢察署之書狀「應予登記後速為轉送或寄發」之規定，影響收容人之訴訟權益。</w:t>
      </w:r>
      <w:r w:rsidRPr="00AC77DF">
        <w:rPr>
          <w:lang w:eastAsia="zh-TW"/>
        </w:rPr>
        <w:t xml:space="preserve"> </w:t>
      </w:r>
    </w:p>
    <w:p w:rsidR="003807A5" w:rsidRPr="00AC77DF" w:rsidRDefault="00383BEE" w:rsidP="00D92DAE">
      <w:pPr>
        <w:pStyle w:val="1--13"/>
        <w:spacing w:before="180" w:after="180"/>
      </w:pPr>
      <w:r w:rsidRPr="008E1832">
        <w:rPr>
          <w:rFonts w:hint="eastAsia"/>
        </w:rPr>
        <w:t>˙</w:t>
      </w:r>
      <w:r w:rsidR="003807A5" w:rsidRPr="00AC77DF">
        <w:t>檢討違規行為相關規定</w:t>
      </w:r>
    </w:p>
    <w:p w:rsidR="003807A5" w:rsidRPr="00AC77DF" w:rsidRDefault="003807A5" w:rsidP="00B7222B">
      <w:pPr>
        <w:pStyle w:val="1---"/>
        <w:ind w:firstLine="480"/>
        <w:rPr>
          <w:lang w:eastAsia="zh-TW"/>
        </w:rPr>
      </w:pPr>
      <w:r w:rsidRPr="00AC77DF">
        <w:t>法務部應對於「私自傳遞紙條」之行為究竟屬何類違規行為及應為何種處罰，訂定更明確之規範。另應妥適檢討該標準表所訂各項違規情節與懲罰參考標準間有無輕重失衡，以維懲罰之公平性。</w:t>
      </w:r>
    </w:p>
    <w:p w:rsidR="003807A5" w:rsidRDefault="003807A5" w:rsidP="00421D21">
      <w:pPr>
        <w:pStyle w:val="1---"/>
        <w:ind w:firstLine="480"/>
        <w:rPr>
          <w:lang w:eastAsia="zh-TW"/>
        </w:rPr>
      </w:pPr>
      <w:r w:rsidRPr="00AC77DF">
        <w:t>矯正署應明確規範監所應具備之錄音及錄影設備、戒護人員警棍槍械之配戴及使用方式。</w:t>
      </w:r>
    </w:p>
    <w:p w:rsidR="001C3F38" w:rsidRPr="00AC77DF" w:rsidRDefault="001C3F38" w:rsidP="00421D21">
      <w:pPr>
        <w:pStyle w:val="1---"/>
        <w:ind w:firstLine="480"/>
        <w:rPr>
          <w:lang w:eastAsia="zh-TW"/>
        </w:rPr>
      </w:pPr>
    </w:p>
    <w:p w:rsidR="003807A5" w:rsidRPr="00AC77DF" w:rsidRDefault="00383BEE" w:rsidP="00D92DAE">
      <w:pPr>
        <w:pStyle w:val="1--13"/>
        <w:spacing w:before="180" w:after="180"/>
      </w:pPr>
      <w:r w:rsidRPr="008E1832">
        <w:rPr>
          <w:rFonts w:hint="eastAsia"/>
        </w:rPr>
        <w:lastRenderedPageBreak/>
        <w:t>˙</w:t>
      </w:r>
      <w:r w:rsidR="003807A5" w:rsidRPr="00AC77DF">
        <w:t>未保護個資</w:t>
      </w:r>
    </w:p>
    <w:p w:rsidR="003807A5" w:rsidRPr="00AC77DF" w:rsidRDefault="003807A5" w:rsidP="00421D21">
      <w:pPr>
        <w:pStyle w:val="1---"/>
        <w:ind w:firstLine="480"/>
      </w:pPr>
      <w:r w:rsidRPr="00AC77DF">
        <w:t>基隆監獄科員違背矯正署所屬矯正人員專業倫理守則第</w:t>
      </w:r>
      <w:r w:rsidRPr="00AC77DF">
        <w:t>4</w:t>
      </w:r>
      <w:r w:rsidRPr="00AC77DF">
        <w:t>點規定，且如涉洩漏司法院公布判決書以外資料，則侵犯收容人之隱私，違反個資法第</w:t>
      </w:r>
      <w:r w:rsidRPr="00AC77DF">
        <w:t>6</w:t>
      </w:r>
      <w:r w:rsidRPr="00AC77DF">
        <w:t>條第</w:t>
      </w:r>
      <w:r w:rsidRPr="00AC77DF">
        <w:t>1</w:t>
      </w:r>
      <w:r w:rsidRPr="00AC77DF">
        <w:t>項及同守則第</w:t>
      </w:r>
      <w:r w:rsidRPr="00AC77DF">
        <w:t>5</w:t>
      </w:r>
      <w:r w:rsidRPr="00AC77DF">
        <w:t>點規定。</w:t>
      </w:r>
    </w:p>
    <w:p w:rsidR="003807A5" w:rsidRPr="00AC77DF" w:rsidRDefault="003807A5" w:rsidP="00421D21">
      <w:pPr>
        <w:pStyle w:val="1---"/>
        <w:ind w:firstLine="480"/>
      </w:pPr>
      <w:r w:rsidRPr="00AC77DF">
        <w:t>依據本案調查意見</w:t>
      </w:r>
      <w:r w:rsidRPr="00AC77DF">
        <w:rPr>
          <w:rStyle w:val="aff2"/>
        </w:rPr>
        <w:footnoteReference w:id="71"/>
      </w:r>
      <w:r w:rsidRPr="00AC77DF">
        <w:t>，監察院糾正法務部，並請其議處相關失職人員；另請該部確實檢討改進見復。</w:t>
      </w:r>
    </w:p>
    <w:p w:rsidR="003807A5" w:rsidRPr="00AC77DF" w:rsidRDefault="00816ED5" w:rsidP="00E5718D">
      <w:pPr>
        <w:pStyle w:val="afff1"/>
        <w:spacing w:before="360" w:after="360"/>
      </w:pPr>
      <w:bookmarkStart w:id="225" w:name="_Toc527731093"/>
      <w:r>
        <w:rPr>
          <w:rFonts w:hint="eastAsia"/>
        </w:rPr>
        <w:t>(三)</w:t>
      </w:r>
      <w:r w:rsidR="003807A5" w:rsidRPr="00AC77DF">
        <w:t>政府機關改善情形</w:t>
      </w:r>
      <w:bookmarkEnd w:id="225"/>
    </w:p>
    <w:p w:rsidR="003807A5" w:rsidRPr="00AC77DF" w:rsidRDefault="003807A5" w:rsidP="00243780">
      <w:pPr>
        <w:pStyle w:val="1----"/>
        <w:ind w:left="600" w:hanging="360"/>
      </w:pPr>
      <w:r w:rsidRPr="00AC77DF">
        <w:t>1</w:t>
      </w:r>
      <w:r w:rsidRPr="00AC77DF">
        <w:t>、針對</w:t>
      </w:r>
      <w:r w:rsidR="00F21E66" w:rsidRPr="00AC77DF">
        <w:t>基隆看守所</w:t>
      </w:r>
      <w:r w:rsidRPr="00AC77DF">
        <w:t>戒護科長</w:t>
      </w:r>
      <w:r w:rsidR="00C019EF" w:rsidRPr="009D61A8">
        <w:rPr>
          <w:rFonts w:hint="eastAsia"/>
        </w:rPr>
        <w:t>林銘祥、前科員陳明德及主任管理員李昌隆</w:t>
      </w:r>
      <w:r w:rsidRPr="00AC77DF">
        <w:t>未確依監獄行刑法施行細則第</w:t>
      </w:r>
      <w:r w:rsidRPr="00AC77DF">
        <w:t>82</w:t>
      </w:r>
      <w:r w:rsidRPr="00AC77DF">
        <w:t>條之</w:t>
      </w:r>
      <w:r w:rsidRPr="00AC77DF">
        <w:t>1</w:t>
      </w:r>
      <w:r w:rsidRPr="00AC77DF">
        <w:t>等規定，辦理收容人訴狀書信之轉送寄發，矯正署已飭請該所確實依照相關法令規定辦理，並應利用勤前教育及科務會議等集會，向同仁講解及宣導相關法令規定，避免發生類此情事。又上揭</w:t>
      </w:r>
      <w:r w:rsidRPr="00AC77DF">
        <w:t>3</w:t>
      </w:r>
      <w:r w:rsidRPr="00AC77DF">
        <w:t>名人員處理過程有疏失，業核予各申誡一次處分；另矯正署基隆監獄科員</w:t>
      </w:r>
      <w:r w:rsidR="00C019EF" w:rsidRPr="009D61A8">
        <w:rPr>
          <w:rFonts w:hint="eastAsia"/>
        </w:rPr>
        <w:t>陳明德</w:t>
      </w:r>
      <w:r w:rsidRPr="00AC77DF">
        <w:t>告以收容人有關罪名、刑期之資料，未謹守法務部矯正署所屬矯正人員專業倫理守則第</w:t>
      </w:r>
      <w:r w:rsidRPr="00AC77DF">
        <w:t>5</w:t>
      </w:r>
      <w:r w:rsidRPr="00AC77DF">
        <w:t>點</w:t>
      </w:r>
      <w:r w:rsidRPr="00421D21">
        <w:rPr>
          <w:spacing w:val="-30"/>
        </w:rPr>
        <w:t>：</w:t>
      </w:r>
      <w:r w:rsidRPr="00AC77DF">
        <w:t>「矯正專業人員應以尊重、溝通方式辦理矯正工作，且對其因職務而知悉之收容人隱私，應保守秘密」之規定，業經該監核予申誡一次處分。</w:t>
      </w:r>
    </w:p>
    <w:p w:rsidR="003807A5" w:rsidRPr="00AC77DF" w:rsidRDefault="003807A5" w:rsidP="00243780">
      <w:pPr>
        <w:pStyle w:val="1----"/>
        <w:ind w:left="600" w:hanging="360"/>
      </w:pPr>
      <w:r w:rsidRPr="00AC77DF">
        <w:t>2</w:t>
      </w:r>
      <w:r w:rsidRPr="00AC77DF">
        <w:t>、法務部矯正署針對監視設備之設置、注意事項等已訂有規範，至強化監視設備之錄音功能，宜由各矯正機關就機關環境、舍房配置等硬體設施、勤務性質之需求及經費運用</w:t>
      </w:r>
      <w:r w:rsidRPr="00AC77DF">
        <w:lastRenderedPageBreak/>
        <w:t>等妥為評估。另為督導各矯正機關之警棍槍械使用情形，矯正署函示各矯正機關使用警棍槍械之管制與通報應行注意事項，請各矯正機關按月將警棍槍械之使用經過情形登錄報表，並函報矯正署審核。</w:t>
      </w:r>
    </w:p>
    <w:p w:rsidR="003807A5" w:rsidRPr="00AC77DF" w:rsidRDefault="003807A5" w:rsidP="00243780">
      <w:pPr>
        <w:pStyle w:val="1----"/>
        <w:ind w:left="600" w:hanging="360"/>
        <w:rPr>
          <w:b/>
        </w:rPr>
      </w:pPr>
      <w:r w:rsidRPr="00AC77DF">
        <w:t>3</w:t>
      </w:r>
      <w:r w:rsidRPr="00AC77DF">
        <w:t>、矯正署業參酌聯合國在監人處遇最低標準規則意旨，擬訂監獄行刑法修正草案，陳報法務部審核，增訂對於妨害監獄秩序或安全行為之態樣，應施予懲罰之種類、期間及其他應遵行事項，授權由法務部以辦法定之，使懲罰之執行有明確依據。至修法未完成前，矯正署將宣導所屬各矯正機關妥慎處理收容人違規事件，應就收容人違背紀律之事實客觀認定，並注意施以懲罰之比例原則。</w:t>
      </w:r>
    </w:p>
    <w:p w:rsidR="003807A5" w:rsidRPr="00AC77DF" w:rsidRDefault="00816ED5" w:rsidP="00E5718D">
      <w:pPr>
        <w:pStyle w:val="afff1"/>
        <w:spacing w:before="360" w:after="360"/>
      </w:pPr>
      <w:bookmarkStart w:id="226" w:name="_Toc527731094"/>
      <w:r>
        <w:rPr>
          <w:rFonts w:hint="eastAsia"/>
        </w:rPr>
        <w:t>(四)</w:t>
      </w:r>
      <w:r w:rsidR="003807A5" w:rsidRPr="00AC77DF">
        <w:t>案件進展</w:t>
      </w:r>
      <w:bookmarkEnd w:id="226"/>
    </w:p>
    <w:p w:rsidR="003807A5" w:rsidRPr="00AC77DF" w:rsidRDefault="003807A5" w:rsidP="00B7222B">
      <w:pPr>
        <w:pStyle w:val="1---"/>
        <w:ind w:firstLine="480"/>
        <w:rPr>
          <w:lang w:eastAsia="zh-TW"/>
        </w:rPr>
      </w:pPr>
      <w:r w:rsidRPr="00AC77DF">
        <w:t>監察院持續追蹤主管機關辦理本案情形，俾保障受刑人基本人權及合法權益，以落實獄政管理。</w:t>
      </w:r>
    </w:p>
    <w:p w:rsidR="00816ED5" w:rsidRDefault="00816ED5" w:rsidP="00816ED5">
      <w:pPr>
        <w:pStyle w:val="1---"/>
        <w:ind w:firstLine="480"/>
        <w:rPr>
          <w:lang w:eastAsia="zh-TW"/>
        </w:rPr>
      </w:pPr>
      <w:bookmarkStart w:id="227" w:name="_Toc527731110"/>
      <w:bookmarkStart w:id="228" w:name="_Toc535228356"/>
      <w:bookmarkStart w:id="229" w:name="_Toc4058767"/>
    </w:p>
    <w:tbl>
      <w:tblPr>
        <w:tblStyle w:val="aff5"/>
        <w:tblW w:w="0" w:type="auto"/>
        <w:tblInd w:w="113" w:type="dxa"/>
        <w:shd w:val="clear" w:color="auto" w:fill="D9D9D9" w:themeFill="background1" w:themeFillShade="D9"/>
        <w:tblLook w:val="04A0" w:firstRow="1" w:lastRow="0" w:firstColumn="1" w:lastColumn="0" w:noHBand="0" w:noVBand="1"/>
      </w:tblPr>
      <w:tblGrid>
        <w:gridCol w:w="3709"/>
      </w:tblGrid>
      <w:tr w:rsidR="00816ED5" w:rsidTr="00421D21">
        <w:tc>
          <w:tcPr>
            <w:tcW w:w="3709" w:type="dxa"/>
            <w:shd w:val="clear" w:color="auto" w:fill="D9D9D9" w:themeFill="background1" w:themeFillShade="D9"/>
          </w:tcPr>
          <w:p w:rsidR="00816ED5" w:rsidRDefault="00816ED5" w:rsidP="00421D21">
            <w:pPr>
              <w:pStyle w:val="11-"/>
              <w:spacing w:before="72" w:after="108"/>
              <w:rPr>
                <w:lang w:eastAsia="zh-TW"/>
              </w:rPr>
            </w:pPr>
            <w:r w:rsidRPr="00AC77DF">
              <w:t>臺北看守所收容人自殺案</w:t>
            </w:r>
          </w:p>
        </w:tc>
      </w:tr>
    </w:tbl>
    <w:p w:rsidR="003807A5" w:rsidRPr="00AC77DF" w:rsidRDefault="00816ED5" w:rsidP="00E5718D">
      <w:pPr>
        <w:pStyle w:val="afff1"/>
        <w:spacing w:before="360" w:after="360"/>
      </w:pPr>
      <w:bookmarkStart w:id="230" w:name="_Toc527731111"/>
      <w:bookmarkEnd w:id="227"/>
      <w:bookmarkEnd w:id="228"/>
      <w:bookmarkEnd w:id="229"/>
      <w:r>
        <w:rPr>
          <w:rFonts w:hint="eastAsia"/>
        </w:rPr>
        <w:t>(一)</w:t>
      </w:r>
      <w:r w:rsidRPr="00AC77DF">
        <w:t>案情簡述</w:t>
      </w:r>
      <w:bookmarkEnd w:id="230"/>
    </w:p>
    <w:p w:rsidR="003807A5" w:rsidRPr="00AC77DF" w:rsidRDefault="003807A5" w:rsidP="00B7222B">
      <w:pPr>
        <w:pStyle w:val="1---"/>
        <w:ind w:firstLine="480"/>
        <w:rPr>
          <w:b/>
        </w:rPr>
      </w:pPr>
      <w:r w:rsidRPr="00AC77DF">
        <w:t>法務部矯正署臺北看守所（簡稱北所）於</w:t>
      </w:r>
      <w:r w:rsidRPr="00AC77DF">
        <w:t>105</w:t>
      </w:r>
      <w:r w:rsidRPr="00AC77DF">
        <w:t>年</w:t>
      </w:r>
      <w:r w:rsidRPr="00AC77DF">
        <w:t>7</w:t>
      </w:r>
      <w:r w:rsidRPr="00AC77DF">
        <w:t>月</w:t>
      </w:r>
      <w:r w:rsidRPr="00AC77DF">
        <w:t>30</w:t>
      </w:r>
      <w:r w:rsidRPr="00AC77DF">
        <w:t>日發生羈押禁見之吳姓收容人自縊身亡事件，該收容人在自縊前有明顯異狀，日記中數次透露輕生意念，當日同房室友</w:t>
      </w:r>
      <w:r w:rsidRPr="00AC77DF">
        <w:t>2</w:t>
      </w:r>
      <w:r w:rsidRPr="00AC77DF">
        <w:t>度以</w:t>
      </w:r>
      <w:r w:rsidRPr="00AC77DF">
        <w:lastRenderedPageBreak/>
        <w:t>紙條向外示警，但該所管理人員疏未查覺，亦未注意被告長期求診精神科，有輕度憂鬱症狀等情。監察委員認有深入瞭解之必要，而立案調查。</w:t>
      </w:r>
    </w:p>
    <w:p w:rsidR="003807A5" w:rsidRPr="00AC77DF" w:rsidRDefault="00816ED5" w:rsidP="00E5718D">
      <w:pPr>
        <w:pStyle w:val="afff1"/>
        <w:spacing w:before="360" w:after="360"/>
      </w:pPr>
      <w:bookmarkStart w:id="231" w:name="_Toc527731112"/>
      <w:r>
        <w:rPr>
          <w:rFonts w:hint="eastAsia"/>
        </w:rPr>
        <w:t>(二)</w:t>
      </w:r>
      <w:r w:rsidR="003807A5" w:rsidRPr="00AC77DF">
        <w:t>監察院調查發現與建議</w:t>
      </w:r>
      <w:bookmarkEnd w:id="231"/>
    </w:p>
    <w:p w:rsidR="003807A5" w:rsidRPr="00AC77DF" w:rsidRDefault="00383BEE" w:rsidP="00D92DAE">
      <w:pPr>
        <w:pStyle w:val="1--13"/>
        <w:spacing w:before="180" w:after="180"/>
      </w:pPr>
      <w:r w:rsidRPr="008E1832">
        <w:rPr>
          <w:rFonts w:hint="eastAsia"/>
        </w:rPr>
        <w:t>˙</w:t>
      </w:r>
      <w:r w:rsidR="003807A5" w:rsidRPr="00AC77DF">
        <w:t>未及時查覺收容人的異常舉止</w:t>
      </w:r>
    </w:p>
    <w:p w:rsidR="003807A5" w:rsidRPr="00AC77DF" w:rsidRDefault="003807A5" w:rsidP="00B7222B">
      <w:pPr>
        <w:pStyle w:val="1---"/>
        <w:ind w:firstLine="480"/>
      </w:pPr>
      <w:r w:rsidRPr="00AC77DF">
        <w:t>吳姓收容人於自縊當日</w:t>
      </w:r>
      <w:r w:rsidRPr="00AC77DF">
        <w:t>14</w:t>
      </w:r>
      <w:r w:rsidRPr="00AC77DF">
        <w:t>時許，即著手拆除通風孔之遮蔽物，將被套繋於鐵網上，其後多次拉扯被套疑似測試繋綁是否牢固，當晚並有不斷來回踱步，及領取助眠藥物後仍未就寢等異常舉止，且其自縊處在監視器之視角之內，值勤人員雖按時巡房並透過瞻視孔逐房觀察，但未檢視監視畫面，加以瞻視孔存有死角，致未能及時查覺異狀。吳姓收容人於</w:t>
      </w:r>
      <w:r w:rsidRPr="00AC77DF">
        <w:t>21</w:t>
      </w:r>
      <w:r w:rsidRPr="00AC77DF">
        <w:t>時</w:t>
      </w:r>
      <w:r w:rsidRPr="00AC77DF">
        <w:t>55</w:t>
      </w:r>
      <w:r w:rsidRPr="00AC77DF">
        <w:t>分自縊，執勤人員</w:t>
      </w:r>
      <w:r w:rsidRPr="00565803">
        <w:rPr>
          <w:spacing w:val="-10"/>
        </w:rPr>
        <w:t>至</w:t>
      </w:r>
      <w:r w:rsidRPr="00AC77DF">
        <w:t>2</w:t>
      </w:r>
      <w:r w:rsidRPr="00565803">
        <w:rPr>
          <w:spacing w:val="-10"/>
        </w:rPr>
        <w:t>3</w:t>
      </w:r>
      <w:r w:rsidRPr="00565803">
        <w:rPr>
          <w:spacing w:val="-10"/>
        </w:rPr>
        <w:t>時</w:t>
      </w:r>
      <w:r w:rsidRPr="00AC77DF">
        <w:t>1</w:t>
      </w:r>
      <w:r w:rsidRPr="00565803">
        <w:rPr>
          <w:spacing w:val="-10"/>
        </w:rPr>
        <w:t>4</w:t>
      </w:r>
      <w:r w:rsidRPr="00AC77DF">
        <w:t>分始察覺異狀並急救送醫，惟已錯失搶救之時機。</w:t>
      </w:r>
    </w:p>
    <w:p w:rsidR="003807A5" w:rsidRPr="00AC77DF" w:rsidRDefault="00383BEE" w:rsidP="00D92DAE">
      <w:pPr>
        <w:pStyle w:val="1--13"/>
        <w:spacing w:before="180" w:after="180"/>
      </w:pPr>
      <w:r w:rsidRPr="008E1832">
        <w:rPr>
          <w:rFonts w:hint="eastAsia"/>
        </w:rPr>
        <w:t>˙</w:t>
      </w:r>
      <w:r w:rsidR="003807A5" w:rsidRPr="00AC77DF">
        <w:t>禁見舍房設施老舊</w:t>
      </w:r>
    </w:p>
    <w:p w:rsidR="003807A5" w:rsidRPr="00AC77DF" w:rsidRDefault="003807A5" w:rsidP="00B7222B">
      <w:pPr>
        <w:pStyle w:val="1---"/>
        <w:ind w:firstLine="480"/>
      </w:pPr>
      <w:r w:rsidRPr="00AC77DF">
        <w:t>北所設施老舊，禁見舍房瞻視孔存有監控死角。舍房浴廁上方管道間通風口潛藏供自殺之風險；禁見舍房走道地磚老舊斑駁，致未發現同房收容人之警示字條。又該所未落實禁見房</w:t>
      </w:r>
      <w:r w:rsidRPr="00565803">
        <w:rPr>
          <w:spacing w:val="-2"/>
        </w:rPr>
        <w:t>舍之搜檢，致未及時查悉吳姓收容人日記中輕生、厭世之訊息。</w:t>
      </w:r>
    </w:p>
    <w:p w:rsidR="003807A5" w:rsidRPr="00AC77DF" w:rsidRDefault="00383BEE" w:rsidP="00D92DAE">
      <w:pPr>
        <w:pStyle w:val="1--13"/>
        <w:spacing w:before="180" w:after="180"/>
      </w:pPr>
      <w:r w:rsidRPr="008E1832">
        <w:rPr>
          <w:rFonts w:hint="eastAsia"/>
        </w:rPr>
        <w:t>˙</w:t>
      </w:r>
      <w:r w:rsidR="003807A5" w:rsidRPr="00AC77DF">
        <w:t>輔導措施不足</w:t>
      </w:r>
    </w:p>
    <w:p w:rsidR="003807A5" w:rsidRPr="00AC77DF" w:rsidRDefault="003807A5" w:rsidP="00B7222B">
      <w:pPr>
        <w:pStyle w:val="1---"/>
        <w:ind w:firstLine="480"/>
      </w:pPr>
      <w:r w:rsidRPr="00AC77DF">
        <w:t>吳姓收容人羈押期間未發生明顯重大之情緒狀況，亦未提</w:t>
      </w:r>
      <w:r w:rsidRPr="00AC77DF">
        <w:lastRenderedPageBreak/>
        <w:t>出輔導需求，醫療紀錄中雖有輕微憂鬱傾向，但屬一般禁見收容人常見之情形。該所對吳員未啟動「核心個案」之個別輔導機制，固難予苛責，惟吳員受禁見期間已逾</w:t>
      </w:r>
      <w:r w:rsidRPr="00AC77DF">
        <w:t>6</w:t>
      </w:r>
      <w:r w:rsidRPr="00AC77DF">
        <w:t>個月之久，長期主訴壓力、失眠、緊張、多疑、輕度憂鬱等精神症狀。所方囿於人力及吳員禁見被告之身分，僅由舍房主管對吳員宣導生活常規</w:t>
      </w:r>
      <w:r w:rsidRPr="00AC77DF">
        <w:t>3</w:t>
      </w:r>
      <w:r w:rsidRPr="00AC77DF">
        <w:t>次，而未依個別教誨之規定，經由懇談以適時瞭解其困難，並給予關懷鼓勵。</w:t>
      </w:r>
    </w:p>
    <w:p w:rsidR="003807A5" w:rsidRPr="00AC77DF" w:rsidRDefault="00383BEE" w:rsidP="00D92DAE">
      <w:pPr>
        <w:pStyle w:val="1--13"/>
        <w:spacing w:before="180" w:after="180"/>
      </w:pPr>
      <w:r w:rsidRPr="008E1832">
        <w:rPr>
          <w:rFonts w:hint="eastAsia"/>
        </w:rPr>
        <w:t>˙</w:t>
      </w:r>
      <w:r w:rsidR="003807A5" w:rsidRPr="00AC77DF">
        <w:t>超收嚴重又欠缺看守人力</w:t>
      </w:r>
    </w:p>
    <w:p w:rsidR="003807A5" w:rsidRPr="00AC77DF" w:rsidRDefault="003807A5" w:rsidP="00B7222B">
      <w:pPr>
        <w:pStyle w:val="1---"/>
        <w:ind w:firstLine="480"/>
      </w:pPr>
      <w:r w:rsidRPr="00AC77DF">
        <w:t>北所收容對象屬性複雜，超收問題嚴重。又看守人力欠缺，工作壓力大，導致管理人員流動率高且經驗不足。矯正署應檢討勤務制度，創造長久留任的正面誘因，並強化管教人員之教育訓練。</w:t>
      </w:r>
    </w:p>
    <w:p w:rsidR="003807A5" w:rsidRPr="00AC77DF" w:rsidRDefault="003807A5" w:rsidP="00B7222B">
      <w:pPr>
        <w:pStyle w:val="1---"/>
        <w:ind w:firstLine="480"/>
      </w:pPr>
      <w:r w:rsidRPr="00AC77DF">
        <w:t>依據本案調查意見</w:t>
      </w:r>
      <w:r w:rsidRPr="00AC77DF">
        <w:rPr>
          <w:rStyle w:val="aff2"/>
          <w:color w:val="000000" w:themeColor="text1"/>
        </w:rPr>
        <w:footnoteReference w:id="72"/>
      </w:r>
      <w:r w:rsidRPr="00AC77DF">
        <w:t>，監察院函請法務部督飭所屬檢討改進。</w:t>
      </w:r>
    </w:p>
    <w:p w:rsidR="003807A5" w:rsidRPr="00AC77DF" w:rsidRDefault="00816ED5" w:rsidP="00E5718D">
      <w:pPr>
        <w:pStyle w:val="afff1"/>
        <w:spacing w:before="360" w:after="360"/>
      </w:pPr>
      <w:bookmarkStart w:id="232" w:name="_Toc527731113"/>
      <w:r>
        <w:rPr>
          <w:rFonts w:hint="eastAsia"/>
        </w:rPr>
        <w:t>(三)</w:t>
      </w:r>
      <w:r w:rsidR="003807A5" w:rsidRPr="00AC77DF">
        <w:t>政府機關改善情形</w:t>
      </w:r>
      <w:bookmarkEnd w:id="232"/>
    </w:p>
    <w:p w:rsidR="003807A5" w:rsidRPr="00AC77DF" w:rsidRDefault="003807A5" w:rsidP="00243780">
      <w:pPr>
        <w:pStyle w:val="1----"/>
        <w:ind w:left="600" w:hanging="360"/>
      </w:pPr>
      <w:r w:rsidRPr="00AC77DF">
        <w:t>1</w:t>
      </w:r>
      <w:r w:rsidRPr="00AC77DF">
        <w:t>、北所將此案列為各矯正機關案例宣導教材，於勤前教育中加強宣導。又該所值勤人員因舍房數多、巡邏距離長，難以掌握房內動態問題。該所已規劃逐步整合監視系統，並標註有戒護安全疑慮之收容人，使戒護人員得確切掌控高風險收容人，加強監看。</w:t>
      </w:r>
    </w:p>
    <w:p w:rsidR="003807A5" w:rsidRPr="00AC77DF" w:rsidRDefault="003807A5" w:rsidP="00243780">
      <w:pPr>
        <w:pStyle w:val="1----"/>
        <w:ind w:left="600" w:hanging="360"/>
      </w:pPr>
      <w:r w:rsidRPr="00AC77DF">
        <w:lastRenderedPageBreak/>
        <w:t>2</w:t>
      </w:r>
      <w:r w:rsidRPr="00AC77DF">
        <w:t>、矯正署「矯正機關智慧監控系統建置及影像資料庫分析應用計畫」已獲行政院核定補助</w:t>
      </w:r>
      <w:r w:rsidRPr="00AC77DF">
        <w:t>1</w:t>
      </w:r>
      <w:r w:rsidRPr="00AC77DF">
        <w:t>億</w:t>
      </w:r>
      <w:r w:rsidRPr="00AC77DF">
        <w:t>4,364</w:t>
      </w:r>
      <w:r w:rsidRPr="00AC77DF">
        <w:t>萬餘元，計</w:t>
      </w:r>
      <w:r w:rsidR="00D737D1">
        <w:rPr>
          <w:rFonts w:hint="eastAsia"/>
        </w:rPr>
        <w:t>劃</w:t>
      </w:r>
      <w:r w:rsidRPr="00AC77DF">
        <w:t>於北所等</w:t>
      </w:r>
      <w:r w:rsidRPr="00AC77DF">
        <w:t>5</w:t>
      </w:r>
      <w:r w:rsidRPr="00AC77DF">
        <w:t>所矯正機關建置智慧監控系統。另</w:t>
      </w:r>
      <w:r w:rsidRPr="00AC77DF">
        <w:t>106</w:t>
      </w:r>
      <w:r w:rsidRPr="00AC77DF">
        <w:t>度「矯正機關智慧監控系統建置計畫」獲科技部核定補助</w:t>
      </w:r>
      <w:r w:rsidRPr="00AC77DF">
        <w:t>2,841</w:t>
      </w:r>
      <w:r w:rsidRPr="00AC77DF">
        <w:t>萬餘元，計</w:t>
      </w:r>
      <w:r w:rsidR="00D737D1">
        <w:rPr>
          <w:rFonts w:hint="eastAsia"/>
        </w:rPr>
        <w:t>劃</w:t>
      </w:r>
      <w:r w:rsidRPr="00AC77DF">
        <w:t>於桃園少輔院及臺北</w:t>
      </w:r>
      <w:r>
        <w:rPr>
          <w:rFonts w:hint="eastAsia"/>
        </w:rPr>
        <w:t>少年觀護所</w:t>
      </w:r>
      <w:r w:rsidRPr="00AC77DF">
        <w:t>（簡稱少觀所）建置智慧監控系統。</w:t>
      </w:r>
    </w:p>
    <w:p w:rsidR="003807A5" w:rsidRPr="00AC77DF" w:rsidRDefault="003807A5" w:rsidP="00243780">
      <w:pPr>
        <w:pStyle w:val="1----"/>
        <w:ind w:left="600" w:hanging="360"/>
      </w:pPr>
      <w:r w:rsidRPr="00AC77DF">
        <w:t>3</w:t>
      </w:r>
      <w:r w:rsidRPr="00AC77DF">
        <w:t>、強化禁見收容人精神狀況之輔導</w:t>
      </w:r>
      <w:r w:rsidRPr="00565803">
        <w:rPr>
          <w:spacing w:val="-30"/>
        </w:rPr>
        <w:t>：</w:t>
      </w:r>
      <w:r w:rsidRPr="00AC77DF">
        <w:t>（</w:t>
      </w:r>
      <w:r w:rsidRPr="00AC77DF">
        <w:t>1</w:t>
      </w:r>
      <w:r w:rsidRPr="00AC77DF">
        <w:t>）增加簡式健康量表檢測次數，如發現情緒困擾者，即轉介精神科或接受諮商輔導</w:t>
      </w:r>
      <w:r w:rsidRPr="00565803">
        <w:rPr>
          <w:spacing w:val="-30"/>
        </w:rPr>
        <w:t>。</w:t>
      </w:r>
      <w:r w:rsidRPr="00AC77DF">
        <w:t>（</w:t>
      </w:r>
      <w:r w:rsidRPr="00AC77DF">
        <w:t>2</w:t>
      </w:r>
      <w:r w:rsidRPr="00AC77DF">
        <w:t>）轉介精神科造冊管控，對於定期求診精神科之禁見被告，評估其精神狀況，如屬焦慮、憂鬱等病症，且已達影響生活適應之程度者，即安排輔導人員進行個別輔導</w:t>
      </w:r>
      <w:r w:rsidRPr="00565803">
        <w:rPr>
          <w:spacing w:val="-30"/>
        </w:rPr>
        <w:t>。</w:t>
      </w:r>
      <w:r w:rsidRPr="00AC77DF">
        <w:t>（</w:t>
      </w:r>
      <w:r w:rsidRPr="00AC77DF">
        <w:t>3</w:t>
      </w:r>
      <w:r w:rsidRPr="00AC77DF">
        <w:t>）強化管教小組功能，發揮通報機制。針對列為核心個案之禁見被告，依其實際狀況安排輔導人員進行個別談話，必要時轉介諮商輔導</w:t>
      </w:r>
      <w:r w:rsidRPr="00565803">
        <w:rPr>
          <w:spacing w:val="-30"/>
        </w:rPr>
        <w:t>。</w:t>
      </w:r>
      <w:r w:rsidRPr="00AC77DF">
        <w:t>（</w:t>
      </w:r>
      <w:r w:rsidRPr="00AC77DF">
        <w:t>4</w:t>
      </w:r>
      <w:r w:rsidRPr="00AC77DF">
        <w:t>）強化管理與輔導人員意見交流與訓練。</w:t>
      </w:r>
    </w:p>
    <w:p w:rsidR="003807A5" w:rsidRPr="00AC77DF" w:rsidRDefault="003807A5" w:rsidP="00243780">
      <w:pPr>
        <w:pStyle w:val="1----"/>
        <w:ind w:left="600" w:hanging="360"/>
      </w:pPr>
      <w:r w:rsidRPr="00AC77DF">
        <w:t>4</w:t>
      </w:r>
      <w:r w:rsidRPr="00AC77DF">
        <w:t>、其他改善措施</w:t>
      </w:r>
      <w:r w:rsidRPr="00565803">
        <w:rPr>
          <w:spacing w:val="-30"/>
        </w:rPr>
        <w:t>：</w:t>
      </w:r>
      <w:r w:rsidRPr="00AC77DF">
        <w:t>（</w:t>
      </w:r>
      <w:r w:rsidRPr="00AC77DF">
        <w:t>1</w:t>
      </w:r>
      <w:r w:rsidRPr="00AC77DF">
        <w:t>）將各舍房浴廁上方管道間通風口以合板予以全數封閉，降低潛藏風險</w:t>
      </w:r>
      <w:r w:rsidRPr="00565803">
        <w:rPr>
          <w:spacing w:val="-30"/>
        </w:rPr>
        <w:t>。</w:t>
      </w:r>
      <w:r w:rsidRPr="00AC77DF">
        <w:t>（</w:t>
      </w:r>
      <w:r w:rsidRPr="00AC77DF">
        <w:t>2</w:t>
      </w:r>
      <w:r w:rsidRPr="00AC77DF">
        <w:t>）要求日夜勤舍房值勤人員落實勤務交接事項，對於行狀異常需加強戒護之收容人應確實交接</w:t>
      </w:r>
      <w:r w:rsidRPr="00565803">
        <w:rPr>
          <w:spacing w:val="-30"/>
        </w:rPr>
        <w:t>。</w:t>
      </w:r>
      <w:r w:rsidRPr="00AC77DF">
        <w:t>（</w:t>
      </w:r>
      <w:r w:rsidRPr="00AC77DF">
        <w:t>3</w:t>
      </w:r>
      <w:r w:rsidRPr="00AC77DF">
        <w:t>）對於特殊個案或自殺列管之收容人除著重違禁物品查察外，應一併檢視書寫內容是否有不尋常訊息</w:t>
      </w:r>
      <w:r w:rsidRPr="00565803">
        <w:rPr>
          <w:spacing w:val="-30"/>
        </w:rPr>
        <w:t>。</w:t>
      </w:r>
      <w:r w:rsidRPr="00AC77DF">
        <w:t>（</w:t>
      </w:r>
      <w:r w:rsidRPr="00AC77DF">
        <w:t>4</w:t>
      </w:r>
      <w:r w:rsidRPr="00AC77DF">
        <w:t>）由於禁見之收容人無法參與團體活動，以致生活空間多以舍房為主，長時間於封閉陰暗之環境中生活，對身心健康難免有所影響。該所已規劃全面粉刷禁見舍，讓舍房充滿柔和淡雅之亮彩。</w:t>
      </w:r>
    </w:p>
    <w:p w:rsidR="003807A5" w:rsidRPr="00AC77DF" w:rsidRDefault="00816ED5" w:rsidP="001C3F38">
      <w:pPr>
        <w:pStyle w:val="afff1"/>
        <w:spacing w:before="360" w:afterLines="50" w:after="180"/>
      </w:pPr>
      <w:bookmarkStart w:id="233" w:name="_Toc527731114"/>
      <w:r>
        <w:rPr>
          <w:rFonts w:hint="eastAsia"/>
        </w:rPr>
        <w:lastRenderedPageBreak/>
        <w:t>(四)</w:t>
      </w:r>
      <w:r w:rsidR="003807A5" w:rsidRPr="00AC77DF">
        <w:t>案件進展</w:t>
      </w:r>
      <w:bookmarkEnd w:id="233"/>
    </w:p>
    <w:p w:rsidR="003807A5" w:rsidRDefault="003807A5" w:rsidP="00B7222B">
      <w:pPr>
        <w:pStyle w:val="1---"/>
        <w:ind w:firstLine="480"/>
        <w:rPr>
          <w:lang w:eastAsia="zh-TW"/>
        </w:rPr>
      </w:pPr>
      <w:r w:rsidRPr="00AC77DF">
        <w:t>本案已產生具體成果，爰已結案。</w:t>
      </w:r>
    </w:p>
    <w:p w:rsidR="00816ED5" w:rsidRDefault="00816ED5" w:rsidP="00B7222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3993"/>
      </w:tblGrid>
      <w:tr w:rsidR="00816ED5" w:rsidTr="00565803">
        <w:tc>
          <w:tcPr>
            <w:tcW w:w="3993" w:type="dxa"/>
            <w:shd w:val="clear" w:color="auto" w:fill="D9D9D9" w:themeFill="background1" w:themeFillShade="D9"/>
          </w:tcPr>
          <w:p w:rsidR="00816ED5" w:rsidRDefault="00816ED5" w:rsidP="00816ED5">
            <w:pPr>
              <w:pStyle w:val="11-"/>
              <w:spacing w:before="72" w:after="108"/>
              <w:rPr>
                <w:lang w:eastAsia="zh-TW"/>
              </w:rPr>
            </w:pPr>
            <w:bookmarkStart w:id="234" w:name="_Toc527731070"/>
            <w:bookmarkStart w:id="235" w:name="_Toc535228357"/>
            <w:bookmarkStart w:id="236" w:name="_Toc4058768"/>
            <w:r w:rsidRPr="00AC77DF">
              <w:t>少年觀護所相關制度查究</w:t>
            </w:r>
            <w:r w:rsidRPr="00AC77DF">
              <w:rPr>
                <w:lang w:eastAsia="zh-HK"/>
              </w:rPr>
              <w:t>案</w:t>
            </w:r>
            <w:bookmarkEnd w:id="234"/>
            <w:bookmarkEnd w:id="235"/>
            <w:bookmarkEnd w:id="236"/>
          </w:p>
        </w:tc>
      </w:tr>
    </w:tbl>
    <w:p w:rsidR="00816ED5" w:rsidRPr="00AC77DF" w:rsidRDefault="00816ED5" w:rsidP="00B7222B">
      <w:pPr>
        <w:pStyle w:val="1---"/>
        <w:ind w:firstLine="480"/>
        <w:rPr>
          <w:lang w:eastAsia="zh-TW"/>
        </w:rPr>
      </w:pPr>
    </w:p>
    <w:tbl>
      <w:tblPr>
        <w:tblW w:w="4718" w:type="pct"/>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464"/>
      </w:tblGrid>
      <w:tr w:rsidR="003807A5" w:rsidRPr="00AC77DF" w:rsidTr="00565803">
        <w:tc>
          <w:tcPr>
            <w:tcW w:w="5000" w:type="pct"/>
          </w:tcPr>
          <w:p w:rsidR="003807A5" w:rsidRPr="00AC77DF" w:rsidRDefault="003807A5" w:rsidP="00565803">
            <w:pPr>
              <w:spacing w:line="360" w:lineRule="exact"/>
              <w:jc w:val="both"/>
              <w:rPr>
                <w:lang w:val="x-none"/>
              </w:rPr>
            </w:pPr>
            <w:r w:rsidRPr="00AC77DF">
              <w:rPr>
                <w:b/>
                <w:lang w:val="x-none"/>
              </w:rPr>
              <w:t>相關國際人權公約：</w:t>
            </w:r>
            <w:r w:rsidRPr="00AC77DF">
              <w:t>公民與政治權利國際公約第</w:t>
            </w:r>
            <w:r w:rsidRPr="00AC77DF">
              <w:t>10</w:t>
            </w:r>
            <w:r w:rsidRPr="00AC77DF">
              <w:t>條、兒童權利公約第</w:t>
            </w:r>
            <w:r w:rsidRPr="00AC77DF">
              <w:t>37</w:t>
            </w:r>
            <w:r w:rsidRPr="00AC77DF">
              <w:t>條、第</w:t>
            </w:r>
            <w:r w:rsidRPr="00AC77DF">
              <w:t>40</w:t>
            </w:r>
            <w:r w:rsidRPr="00AC77DF">
              <w:t>條、聯合國「少年司法最低限制標準規則</w:t>
            </w:r>
            <w:r w:rsidRPr="00565803">
              <w:rPr>
                <w:spacing w:val="-30"/>
              </w:rPr>
              <w:t>」、</w:t>
            </w:r>
            <w:r w:rsidRPr="00AC77DF">
              <w:t>「保護被剝奪自由少年規則</w:t>
            </w:r>
            <w:r w:rsidRPr="00565803">
              <w:rPr>
                <w:spacing w:val="-30"/>
              </w:rPr>
              <w:t>」</w:t>
            </w:r>
            <w:r w:rsidRPr="00AC77DF">
              <w:t>、國際審查委員會發表之結論性意見第</w:t>
            </w:r>
            <w:r w:rsidRPr="00AC77DF">
              <w:t>38</w:t>
            </w:r>
            <w:r w:rsidRPr="00AC77DF">
              <w:t>點。</w:t>
            </w:r>
          </w:p>
          <w:p w:rsidR="003807A5" w:rsidRPr="00AC77DF" w:rsidRDefault="003807A5" w:rsidP="00565803">
            <w:pPr>
              <w:spacing w:line="360" w:lineRule="exact"/>
              <w:jc w:val="both"/>
              <w:rPr>
                <w:b/>
                <w:lang w:val="x-none"/>
              </w:rPr>
            </w:pPr>
            <w:r w:rsidRPr="00AC77DF">
              <w:rPr>
                <w:b/>
              </w:rPr>
              <w:t>公民與政治權利國際公約</w:t>
            </w:r>
            <w:r w:rsidRPr="00AC77DF">
              <w:rPr>
                <w:b/>
                <w:lang w:val="x-none"/>
              </w:rPr>
              <w:t>第</w:t>
            </w:r>
            <w:r w:rsidRPr="00AC77DF">
              <w:rPr>
                <w:b/>
                <w:lang w:val="x-none"/>
              </w:rPr>
              <w:t>10</w:t>
            </w:r>
            <w:r w:rsidRPr="00AC77DF">
              <w:rPr>
                <w:b/>
                <w:lang w:val="x-none"/>
              </w:rPr>
              <w:t>條</w:t>
            </w:r>
          </w:p>
          <w:p w:rsidR="003807A5" w:rsidRPr="00AC77DF" w:rsidRDefault="003807A5" w:rsidP="00565803">
            <w:pPr>
              <w:spacing w:line="360" w:lineRule="exact"/>
              <w:ind w:left="480" w:hangingChars="200" w:hanging="480"/>
              <w:rPr>
                <w:lang w:val="x-none"/>
              </w:rPr>
            </w:pPr>
            <w:r w:rsidRPr="00AC77DF">
              <w:rPr>
                <w:lang w:val="x-none"/>
              </w:rPr>
              <w:t>一、自由被剝奪之人，應受合於人道及尊重其天賦人格尊嚴之處遇。</w:t>
            </w:r>
          </w:p>
          <w:p w:rsidR="003807A5" w:rsidRPr="00AC77DF" w:rsidRDefault="003807A5" w:rsidP="00565803">
            <w:pPr>
              <w:spacing w:line="360" w:lineRule="exact"/>
              <w:ind w:left="910" w:hangingChars="379" w:hanging="910"/>
              <w:jc w:val="both"/>
              <w:rPr>
                <w:lang w:val="x-none"/>
              </w:rPr>
            </w:pPr>
            <w:r w:rsidRPr="00AC77DF">
              <w:rPr>
                <w:lang w:val="x-none"/>
              </w:rPr>
              <w:t>二、</w:t>
            </w:r>
            <w:r w:rsidR="00565803">
              <w:rPr>
                <w:rFonts w:hint="eastAsia"/>
                <w:lang w:val="x-none"/>
              </w:rPr>
              <w:t>(</w:t>
            </w:r>
            <w:r w:rsidRPr="00AC77DF">
              <w:rPr>
                <w:lang w:val="x-none"/>
              </w:rPr>
              <w:t>一</w:t>
            </w:r>
            <w:r w:rsidR="00565803">
              <w:rPr>
                <w:rFonts w:hint="eastAsia"/>
                <w:lang w:val="x-none"/>
              </w:rPr>
              <w:t>)</w:t>
            </w:r>
            <w:r w:rsidRPr="00AC77DF">
              <w:rPr>
                <w:lang w:val="x-none"/>
              </w:rPr>
              <w:t>除特殊情形外，被告應與判決有罪之人分別羈押，且應另予與其未經判決有罪之身分相稱之處遇；</w:t>
            </w:r>
          </w:p>
          <w:p w:rsidR="003807A5" w:rsidRPr="00AC77DF" w:rsidRDefault="00565803" w:rsidP="001C3F38">
            <w:pPr>
              <w:spacing w:line="360" w:lineRule="exact"/>
              <w:ind w:left="910" w:hangingChars="379" w:hanging="910"/>
              <w:jc w:val="both"/>
              <w:rPr>
                <w:lang w:val="x-none"/>
              </w:rPr>
            </w:pPr>
            <w:r>
              <w:rPr>
                <w:rFonts w:hint="eastAsia"/>
                <w:lang w:val="x-none"/>
              </w:rPr>
              <w:t xml:space="preserve">　　</w:t>
            </w:r>
            <w:r>
              <w:rPr>
                <w:rFonts w:hint="eastAsia"/>
                <w:lang w:val="x-none"/>
              </w:rPr>
              <w:t>(</w:t>
            </w:r>
            <w:r w:rsidR="003807A5" w:rsidRPr="00AC77DF">
              <w:rPr>
                <w:lang w:val="x-none"/>
              </w:rPr>
              <w:t>二</w:t>
            </w:r>
            <w:r>
              <w:rPr>
                <w:rFonts w:hint="eastAsia"/>
                <w:lang w:val="x-none"/>
              </w:rPr>
              <w:t>)</w:t>
            </w:r>
            <w:r w:rsidR="003807A5" w:rsidRPr="00AC77DF">
              <w:rPr>
                <w:lang w:val="x-none"/>
              </w:rPr>
              <w:t>少年被告應與成年被告分別羈押，並應儘速即予判決。</w:t>
            </w:r>
          </w:p>
          <w:p w:rsidR="003807A5" w:rsidRPr="00AC77DF" w:rsidRDefault="003807A5" w:rsidP="00565803">
            <w:pPr>
              <w:spacing w:line="360" w:lineRule="exact"/>
              <w:ind w:left="480" w:hangingChars="200" w:hanging="480"/>
              <w:rPr>
                <w:lang w:val="x-none"/>
              </w:rPr>
            </w:pPr>
            <w:r w:rsidRPr="00AC77DF">
              <w:rPr>
                <w:lang w:val="x-none"/>
              </w:rPr>
              <w:t>三、監獄制度所定監犯之處遇，應以使其悛悔自新，重適社會生活為基本目的。少年犯人應與成年犯人分別拘禁，且其處遇應與其年齡及法律身分相稱。</w:t>
            </w:r>
          </w:p>
          <w:p w:rsidR="003807A5" w:rsidRPr="00AC77DF" w:rsidRDefault="003807A5" w:rsidP="00565803">
            <w:pPr>
              <w:spacing w:line="360" w:lineRule="exact"/>
              <w:jc w:val="both"/>
            </w:pPr>
            <w:r w:rsidRPr="00AC77DF">
              <w:rPr>
                <w:b/>
              </w:rPr>
              <w:t>兒童權利公約第</w:t>
            </w:r>
            <w:r w:rsidRPr="00AC77DF">
              <w:rPr>
                <w:b/>
              </w:rPr>
              <w:t>37</w:t>
            </w:r>
            <w:r w:rsidRPr="00AC77DF">
              <w:rPr>
                <w:b/>
              </w:rPr>
              <w:t>條</w:t>
            </w:r>
          </w:p>
          <w:p w:rsidR="003807A5" w:rsidRPr="00AC77DF" w:rsidRDefault="003807A5" w:rsidP="00565803">
            <w:pPr>
              <w:spacing w:line="360" w:lineRule="exact"/>
              <w:jc w:val="both"/>
            </w:pPr>
            <w:r w:rsidRPr="00AC77DF">
              <w:t>締約國應確保：</w:t>
            </w:r>
            <w:r w:rsidRPr="00AC77DF">
              <w:t xml:space="preserve"> </w:t>
            </w:r>
          </w:p>
          <w:p w:rsidR="003807A5" w:rsidRPr="00AC77DF" w:rsidRDefault="003807A5" w:rsidP="00565803">
            <w:pPr>
              <w:spacing w:line="360" w:lineRule="exact"/>
              <w:ind w:left="264" w:hangingChars="110" w:hanging="264"/>
              <w:jc w:val="both"/>
            </w:pPr>
            <w:r w:rsidRPr="00AC77DF">
              <w:t>(a)</w:t>
            </w:r>
            <w:r w:rsidRPr="00565803">
              <w:rPr>
                <w:spacing w:val="-2"/>
              </w:rPr>
              <w:t>所有兒童均不受酷刑或其他形式之殘忍、不人道或有辱人格之待遇或處罰。對未滿十八歲之人所犯罪行，不得處以死刑或無釋放可能之無期徒刑；</w:t>
            </w:r>
            <w:r w:rsidRPr="00565803">
              <w:rPr>
                <w:spacing w:val="-2"/>
              </w:rPr>
              <w:t xml:space="preserve"> </w:t>
            </w:r>
          </w:p>
          <w:p w:rsidR="003807A5" w:rsidRPr="00AC77DF" w:rsidRDefault="003807A5" w:rsidP="00565803">
            <w:pPr>
              <w:spacing w:line="360" w:lineRule="exact"/>
              <w:ind w:left="264" w:hangingChars="110" w:hanging="264"/>
              <w:jc w:val="both"/>
            </w:pPr>
            <w:r w:rsidRPr="00AC77DF">
              <w:lastRenderedPageBreak/>
              <w:t>(b)</w:t>
            </w:r>
            <w:r w:rsidRPr="00565803">
              <w:rPr>
                <w:spacing w:val="-2"/>
              </w:rPr>
              <w:t>不得非法或恣意剝奪任何兒童之自由。對兒童之逮捕、拘留或監禁應符合法律規定並僅應作為最後手段，且應為最短之適當時限；</w:t>
            </w:r>
            <w:r w:rsidRPr="00565803">
              <w:rPr>
                <w:spacing w:val="-2"/>
              </w:rPr>
              <w:t xml:space="preserve"> </w:t>
            </w:r>
          </w:p>
          <w:p w:rsidR="003807A5" w:rsidRPr="00AC77DF" w:rsidRDefault="003807A5" w:rsidP="00565803">
            <w:pPr>
              <w:spacing w:line="360" w:lineRule="exact"/>
              <w:ind w:left="264" w:hangingChars="110" w:hanging="264"/>
              <w:jc w:val="both"/>
            </w:pPr>
            <w:r w:rsidRPr="00AC77DF">
              <w:t>(c)</w:t>
            </w:r>
            <w:r w:rsidRPr="00565803">
              <w:rPr>
                <w:spacing w:val="-2"/>
              </w:rPr>
              <w:t>所有被剝奪自由之兒童應受到人道待遇，其人性尊嚴應受尊重，並應考慮其年齡之需要加以對待。特別是被剝奪自由之兒童應與成年人分別隔離，除非係基於兒童最佳利益而不隔離；除有特殊情況外，此等兒童有權透過通訊及探視與家人保持聯繫；</w:t>
            </w:r>
            <w:r w:rsidRPr="00565803">
              <w:rPr>
                <w:spacing w:val="-2"/>
              </w:rPr>
              <w:t xml:space="preserve"> </w:t>
            </w:r>
          </w:p>
          <w:p w:rsidR="003807A5" w:rsidRPr="00AC77DF" w:rsidRDefault="003807A5" w:rsidP="00565803">
            <w:pPr>
              <w:spacing w:line="360" w:lineRule="exact"/>
              <w:ind w:left="264" w:hangingChars="110" w:hanging="264"/>
              <w:jc w:val="distribute"/>
            </w:pPr>
            <w:r w:rsidRPr="00AC77DF">
              <w:t>(d)</w:t>
            </w:r>
            <w:r w:rsidRPr="00565803">
              <w:rPr>
                <w:spacing w:val="-2"/>
              </w:rPr>
              <w:t>所有被剝奪自由之兒童，有迅速獲得法律及其他適當協助之權利，並有權就其自由被剝奪之合法性，向法院或其他</w:t>
            </w:r>
            <w:r w:rsidRPr="00565803">
              <w:rPr>
                <w:spacing w:val="-6"/>
              </w:rPr>
              <w:t>權責、獨立、公正機關提出異議，並要求獲得迅速之決定。</w:t>
            </w:r>
          </w:p>
          <w:p w:rsidR="003807A5" w:rsidRPr="00AC77DF" w:rsidRDefault="003807A5" w:rsidP="00565803">
            <w:pPr>
              <w:spacing w:line="360" w:lineRule="exact"/>
              <w:jc w:val="both"/>
              <w:rPr>
                <w:b/>
              </w:rPr>
            </w:pPr>
            <w:r w:rsidRPr="00AC77DF">
              <w:rPr>
                <w:b/>
              </w:rPr>
              <w:t>兒童權利公約第</w:t>
            </w:r>
            <w:r w:rsidRPr="00AC77DF">
              <w:rPr>
                <w:b/>
              </w:rPr>
              <w:t>40</w:t>
            </w:r>
            <w:r w:rsidRPr="00AC77DF">
              <w:rPr>
                <w:b/>
              </w:rPr>
              <w:t>條</w:t>
            </w:r>
          </w:p>
          <w:p w:rsidR="003807A5" w:rsidRPr="00AC77DF" w:rsidRDefault="003807A5" w:rsidP="00565803">
            <w:pPr>
              <w:kinsoku w:val="0"/>
              <w:spacing w:line="360" w:lineRule="exact"/>
              <w:ind w:left="185" w:hangingChars="77" w:hanging="185"/>
              <w:jc w:val="both"/>
              <w:rPr>
                <w:lang w:val="x-none"/>
              </w:rPr>
            </w:pPr>
            <w:r w:rsidRPr="00AC77DF">
              <w:rPr>
                <w:lang w:val="x-none"/>
              </w:rPr>
              <w:t>1.</w:t>
            </w:r>
            <w:r w:rsidRPr="00AC77DF">
              <w:rPr>
                <w:lang w:val="x-none"/>
              </w:rPr>
              <w:t>締約國對被指稱、指控或認為涉嫌觸犯刑事法律之兒童，應確認該等兒童有權獲得符合以下情況之待遇：依兒童之年齡與對其重返社會，並在社會承擔建設性角色之期待下，促進兒童之尊嚴及價值感，以增強其對他人之人權及基本自由之尊重。</w:t>
            </w:r>
            <w:r w:rsidRPr="00AC77DF">
              <w:rPr>
                <w:lang w:val="x-none"/>
              </w:rPr>
              <w:t xml:space="preserve"> </w:t>
            </w:r>
          </w:p>
          <w:p w:rsidR="003807A5" w:rsidRPr="00AC77DF" w:rsidRDefault="003807A5" w:rsidP="001C3F38">
            <w:pPr>
              <w:spacing w:line="360" w:lineRule="exact"/>
              <w:ind w:left="185" w:hangingChars="77" w:hanging="185"/>
              <w:jc w:val="both"/>
              <w:rPr>
                <w:lang w:val="x-none"/>
              </w:rPr>
            </w:pPr>
            <w:r w:rsidRPr="00AC77DF">
              <w:rPr>
                <w:lang w:val="x-none"/>
              </w:rPr>
              <w:t>2.</w:t>
            </w:r>
            <w:r w:rsidRPr="00AC77DF">
              <w:rPr>
                <w:lang w:val="x-none"/>
              </w:rPr>
              <w:t>為達此目的，並鑒於國際文件之相關規定，締約國尤應確保：</w:t>
            </w:r>
            <w:r w:rsidRPr="00AC77DF">
              <w:rPr>
                <w:lang w:val="x-none"/>
              </w:rPr>
              <w:t xml:space="preserve"> </w:t>
            </w:r>
          </w:p>
          <w:p w:rsidR="003807A5" w:rsidRPr="00AC77DF" w:rsidRDefault="003807A5" w:rsidP="00565803">
            <w:pPr>
              <w:spacing w:line="360" w:lineRule="exact"/>
              <w:ind w:leftChars="78" w:left="463" w:hangingChars="115" w:hanging="276"/>
              <w:jc w:val="both"/>
              <w:rPr>
                <w:lang w:val="x-none"/>
              </w:rPr>
            </w:pPr>
            <w:r w:rsidRPr="00AC77DF">
              <w:rPr>
                <w:lang w:val="x-none"/>
              </w:rPr>
              <w:t>(a)</w:t>
            </w:r>
            <w:r w:rsidRPr="00AC77DF">
              <w:rPr>
                <w:lang w:val="x-none"/>
              </w:rPr>
              <w:t>任何兒童，當其作為或不作為未經本國或國際法所禁止時，不得被指稱、指控或認為涉嫌觸犯刑事法律。</w:t>
            </w:r>
            <w:r w:rsidRPr="00AC77DF">
              <w:rPr>
                <w:lang w:val="x-none"/>
              </w:rPr>
              <w:t xml:space="preserve"> </w:t>
            </w:r>
          </w:p>
          <w:p w:rsidR="003807A5" w:rsidRPr="00AC77DF" w:rsidRDefault="003807A5" w:rsidP="00565803">
            <w:pPr>
              <w:spacing w:line="360" w:lineRule="exact"/>
              <w:ind w:leftChars="78" w:left="463" w:hangingChars="115" w:hanging="276"/>
              <w:jc w:val="both"/>
              <w:rPr>
                <w:lang w:val="x-none"/>
              </w:rPr>
            </w:pPr>
            <w:r w:rsidRPr="00AC77DF">
              <w:rPr>
                <w:lang w:val="x-none"/>
              </w:rPr>
              <w:t>(b)</w:t>
            </w:r>
            <w:r w:rsidRPr="00AC77DF">
              <w:rPr>
                <w:lang w:val="x-none"/>
              </w:rPr>
              <w:t>針對被指稱或指控觸犯刑事法律之兒童，至少應獲得下列保證：</w:t>
            </w:r>
            <w:r w:rsidRPr="00AC77DF">
              <w:rPr>
                <w:lang w:val="x-none"/>
              </w:rPr>
              <w:t xml:space="preserve"> </w:t>
            </w:r>
          </w:p>
          <w:p w:rsidR="003807A5" w:rsidRPr="00AC77DF" w:rsidRDefault="00565803" w:rsidP="00AF2073">
            <w:pPr>
              <w:spacing w:line="360" w:lineRule="exact"/>
              <w:ind w:leftChars="200" w:left="480"/>
              <w:jc w:val="both"/>
              <w:rPr>
                <w:lang w:val="x-none"/>
              </w:rPr>
            </w:pPr>
            <w:r>
              <w:rPr>
                <w:rFonts w:hint="eastAsia"/>
                <w:lang w:val="x-none"/>
              </w:rPr>
              <w:t>(</w:t>
            </w:r>
            <w:r w:rsidR="003807A5" w:rsidRPr="00AC77DF">
              <w:rPr>
                <w:lang w:val="x-none"/>
              </w:rPr>
              <w:t>1</w:t>
            </w:r>
            <w:r>
              <w:rPr>
                <w:rFonts w:hint="eastAsia"/>
                <w:lang w:val="x-none"/>
              </w:rPr>
              <w:t>)</w:t>
            </w:r>
            <w:r w:rsidR="003807A5" w:rsidRPr="00AC77DF">
              <w:rPr>
                <w:lang w:val="x-none"/>
              </w:rPr>
              <w:t>在依法判定有罪前，應推定為無罪；</w:t>
            </w:r>
            <w:r w:rsidR="003807A5" w:rsidRPr="00AC77DF">
              <w:rPr>
                <w:lang w:val="x-none"/>
              </w:rPr>
              <w:t xml:space="preserve"> </w:t>
            </w:r>
          </w:p>
          <w:p w:rsidR="003807A5" w:rsidRPr="00AC77DF" w:rsidRDefault="00565803" w:rsidP="00AF2073">
            <w:pPr>
              <w:spacing w:line="360" w:lineRule="exact"/>
              <w:ind w:leftChars="200" w:left="768" w:hangingChars="120" w:hanging="288"/>
              <w:jc w:val="both"/>
              <w:rPr>
                <w:lang w:val="x-none"/>
              </w:rPr>
            </w:pPr>
            <w:r>
              <w:rPr>
                <w:rFonts w:hint="eastAsia"/>
                <w:lang w:val="x-none"/>
              </w:rPr>
              <w:t>(</w:t>
            </w:r>
            <w:r w:rsidR="003807A5" w:rsidRPr="00AC77DF">
              <w:rPr>
                <w:lang w:val="x-none"/>
              </w:rPr>
              <w:t>2</w:t>
            </w:r>
            <w:r>
              <w:rPr>
                <w:rFonts w:hint="eastAsia"/>
                <w:lang w:val="x-none"/>
              </w:rPr>
              <w:t>)</w:t>
            </w:r>
            <w:r w:rsidR="003807A5" w:rsidRPr="00AF2073">
              <w:rPr>
                <w:spacing w:val="-2"/>
                <w:lang w:val="x-none"/>
              </w:rPr>
              <w:t>對其被控訴之罪名能夠迅速且直接地被告知，適當情</w:t>
            </w:r>
            <w:r w:rsidR="003807A5" w:rsidRPr="00AF2073">
              <w:rPr>
                <w:spacing w:val="-2"/>
                <w:lang w:val="x-none"/>
              </w:rPr>
              <w:lastRenderedPageBreak/>
              <w:t>況下經由父母或法定監護人告知本人，於準備與提出答辯時並獲得法律或其他適當之協助；</w:t>
            </w:r>
            <w:r w:rsidR="003807A5" w:rsidRPr="00AC77DF">
              <w:rPr>
                <w:lang w:val="x-none"/>
              </w:rPr>
              <w:t xml:space="preserve"> </w:t>
            </w:r>
          </w:p>
          <w:p w:rsidR="003807A5" w:rsidRPr="00AC77DF" w:rsidRDefault="00565803" w:rsidP="00AF2073">
            <w:pPr>
              <w:spacing w:line="360" w:lineRule="exact"/>
              <w:ind w:leftChars="200" w:left="768" w:hangingChars="120" w:hanging="288"/>
              <w:jc w:val="both"/>
              <w:rPr>
                <w:lang w:val="x-none"/>
              </w:rPr>
            </w:pPr>
            <w:r>
              <w:rPr>
                <w:rFonts w:hint="eastAsia"/>
                <w:lang w:val="x-none"/>
              </w:rPr>
              <w:t>(</w:t>
            </w:r>
            <w:r w:rsidR="003807A5" w:rsidRPr="00AC77DF">
              <w:rPr>
                <w:lang w:val="x-none"/>
              </w:rPr>
              <w:t>3</w:t>
            </w:r>
            <w:r>
              <w:rPr>
                <w:rFonts w:hint="eastAsia"/>
                <w:lang w:val="x-none"/>
              </w:rPr>
              <w:t>)</w:t>
            </w:r>
            <w:r w:rsidR="003807A5" w:rsidRPr="00AF2073">
              <w:rPr>
                <w:spacing w:val="-2"/>
                <w:lang w:val="x-none"/>
              </w:rPr>
              <w:t>要求有權、獨立且公正之機關或司法機構迅速依法公正審理，兒童並應獲得法律或其他適當之協助，且其父母或法定監護人亦應在場，惟經特別考量兒童之年齡或狀況認為其父母或法定監護人在場不符合兒童最佳利益者除外；</w:t>
            </w:r>
            <w:r w:rsidR="003807A5" w:rsidRPr="00AC77DF">
              <w:rPr>
                <w:lang w:val="x-none"/>
              </w:rPr>
              <w:t xml:space="preserve"> </w:t>
            </w:r>
          </w:p>
          <w:p w:rsidR="003807A5" w:rsidRPr="00AC77DF" w:rsidRDefault="00565803" w:rsidP="00AF2073">
            <w:pPr>
              <w:spacing w:line="360" w:lineRule="exact"/>
              <w:ind w:leftChars="200" w:left="768" w:hangingChars="120" w:hanging="288"/>
              <w:jc w:val="both"/>
              <w:rPr>
                <w:lang w:val="x-none"/>
              </w:rPr>
            </w:pPr>
            <w:r>
              <w:rPr>
                <w:rFonts w:hint="eastAsia"/>
                <w:lang w:val="x-none"/>
              </w:rPr>
              <w:t>(</w:t>
            </w:r>
            <w:r w:rsidR="003807A5" w:rsidRPr="00AC77DF">
              <w:rPr>
                <w:lang w:val="x-none"/>
              </w:rPr>
              <w:t>4</w:t>
            </w:r>
            <w:r>
              <w:rPr>
                <w:rFonts w:hint="eastAsia"/>
                <w:lang w:val="x-none"/>
              </w:rPr>
              <w:t>)</w:t>
            </w:r>
            <w:r w:rsidR="003807A5" w:rsidRPr="00AF2073">
              <w:rPr>
                <w:spacing w:val="-2"/>
                <w:lang w:val="x-none"/>
              </w:rPr>
              <w:t>不得被迫作證或認罪；可詰問或間接詰問對自身不利之證人，並且在平等之條件下，要求對自己有利的證人出庭並接受詰問；</w:t>
            </w:r>
            <w:r w:rsidR="003807A5" w:rsidRPr="00AC77DF">
              <w:rPr>
                <w:lang w:val="x-none"/>
              </w:rPr>
              <w:t xml:space="preserve"> </w:t>
            </w:r>
          </w:p>
          <w:p w:rsidR="003807A5" w:rsidRPr="00AC77DF" w:rsidRDefault="00565803" w:rsidP="00AF2073">
            <w:pPr>
              <w:spacing w:line="360" w:lineRule="exact"/>
              <w:ind w:leftChars="200" w:left="768" w:hangingChars="120" w:hanging="288"/>
              <w:jc w:val="both"/>
              <w:rPr>
                <w:lang w:val="x-none"/>
              </w:rPr>
            </w:pPr>
            <w:r>
              <w:rPr>
                <w:rFonts w:hint="eastAsia"/>
                <w:lang w:val="x-none"/>
              </w:rPr>
              <w:t>(</w:t>
            </w:r>
            <w:r w:rsidR="003807A5" w:rsidRPr="00AC77DF">
              <w:rPr>
                <w:lang w:val="x-none"/>
              </w:rPr>
              <w:t>5</w:t>
            </w:r>
            <w:r>
              <w:rPr>
                <w:rFonts w:hint="eastAsia"/>
                <w:lang w:val="x-none"/>
              </w:rPr>
              <w:t>)</w:t>
            </w:r>
            <w:r w:rsidR="003807A5" w:rsidRPr="00AF2073">
              <w:rPr>
                <w:spacing w:val="-2"/>
                <w:lang w:val="x-none"/>
              </w:rPr>
              <w:t>若經認定觸犯刑事法律，對該認定及因此所衍生之處置，有權要求較高層級之權責、獨立、公正機關或司法機關依法再為審查；</w:t>
            </w:r>
            <w:r w:rsidR="003807A5" w:rsidRPr="00AC77DF">
              <w:rPr>
                <w:lang w:val="x-none"/>
              </w:rPr>
              <w:t xml:space="preserve"> </w:t>
            </w:r>
          </w:p>
          <w:p w:rsidR="003807A5" w:rsidRPr="00AC77DF" w:rsidRDefault="00565803" w:rsidP="00AF2073">
            <w:pPr>
              <w:spacing w:line="360" w:lineRule="exact"/>
              <w:ind w:leftChars="200" w:left="768" w:hangingChars="120" w:hanging="288"/>
              <w:jc w:val="both"/>
              <w:rPr>
                <w:lang w:val="x-none"/>
              </w:rPr>
            </w:pPr>
            <w:r>
              <w:rPr>
                <w:rFonts w:hint="eastAsia"/>
                <w:lang w:val="x-none"/>
              </w:rPr>
              <w:t>(</w:t>
            </w:r>
            <w:r w:rsidR="003807A5" w:rsidRPr="00AC77DF">
              <w:rPr>
                <w:lang w:val="x-none"/>
              </w:rPr>
              <w:t>6</w:t>
            </w:r>
            <w:r>
              <w:rPr>
                <w:rFonts w:hint="eastAsia"/>
                <w:lang w:val="x-none"/>
              </w:rPr>
              <w:t>)</w:t>
            </w:r>
            <w:r w:rsidR="003807A5" w:rsidRPr="001C3F38">
              <w:rPr>
                <w:spacing w:val="-6"/>
                <w:lang w:val="x-none"/>
              </w:rPr>
              <w:t>若使用兒童不瞭解或不會說之語言，應提供免費之通譯；</w:t>
            </w:r>
            <w:r w:rsidR="003807A5" w:rsidRPr="00AC77DF">
              <w:rPr>
                <w:lang w:val="x-none"/>
              </w:rPr>
              <w:t xml:space="preserve"> </w:t>
            </w:r>
          </w:p>
          <w:p w:rsidR="003807A5" w:rsidRPr="00AC77DF" w:rsidRDefault="00565803" w:rsidP="00AF2073">
            <w:pPr>
              <w:spacing w:line="360" w:lineRule="exact"/>
              <w:ind w:leftChars="200" w:left="768" w:hangingChars="120" w:hanging="288"/>
              <w:jc w:val="distribute"/>
              <w:rPr>
                <w:lang w:val="x-none"/>
              </w:rPr>
            </w:pPr>
            <w:r>
              <w:rPr>
                <w:rFonts w:hint="eastAsia"/>
                <w:lang w:val="x-none"/>
              </w:rPr>
              <w:t>(</w:t>
            </w:r>
            <w:r w:rsidR="003807A5" w:rsidRPr="00AC77DF">
              <w:rPr>
                <w:lang w:val="x-none"/>
              </w:rPr>
              <w:t>7</w:t>
            </w:r>
            <w:r>
              <w:rPr>
                <w:rFonts w:hint="eastAsia"/>
                <w:lang w:val="x-none"/>
              </w:rPr>
              <w:t>)</w:t>
            </w:r>
            <w:r w:rsidR="003807A5" w:rsidRPr="00AF2073">
              <w:rPr>
                <w:spacing w:val="-2"/>
                <w:lang w:val="x-none"/>
              </w:rPr>
              <w:t>在前開程序之所有過程中，應充分尊重兒童之隱私。</w:t>
            </w:r>
            <w:r w:rsidR="003807A5" w:rsidRPr="00AC77DF">
              <w:rPr>
                <w:lang w:val="x-none"/>
              </w:rPr>
              <w:t xml:space="preserve"> </w:t>
            </w:r>
          </w:p>
          <w:p w:rsidR="003807A5" w:rsidRPr="00AC77DF" w:rsidRDefault="003807A5" w:rsidP="00565803">
            <w:pPr>
              <w:spacing w:line="360" w:lineRule="exact"/>
              <w:ind w:left="185" w:hangingChars="77" w:hanging="185"/>
              <w:jc w:val="both"/>
              <w:rPr>
                <w:lang w:val="x-none"/>
              </w:rPr>
            </w:pPr>
            <w:r w:rsidRPr="00AC77DF">
              <w:rPr>
                <w:lang w:val="x-none"/>
              </w:rPr>
              <w:t>3.</w:t>
            </w:r>
            <w:r w:rsidRPr="00AC77DF">
              <w:rPr>
                <w:lang w:val="x-none"/>
              </w:rPr>
              <w:t>締約國對於被指稱、指控或確認為觸犯刑事法律之兒童，應特別設置適用之法律、程序、機關與機構，尤應：</w:t>
            </w:r>
            <w:r w:rsidRPr="00AC77DF">
              <w:rPr>
                <w:lang w:val="x-none"/>
              </w:rPr>
              <w:t xml:space="preserve"> </w:t>
            </w:r>
          </w:p>
          <w:p w:rsidR="003807A5" w:rsidRPr="00AC77DF" w:rsidRDefault="003807A5" w:rsidP="00565803">
            <w:pPr>
              <w:spacing w:line="360" w:lineRule="exact"/>
              <w:ind w:leftChars="78" w:left="463" w:hangingChars="115" w:hanging="276"/>
              <w:jc w:val="both"/>
              <w:rPr>
                <w:lang w:val="x-none"/>
              </w:rPr>
            </w:pPr>
            <w:r w:rsidRPr="00AC77DF">
              <w:rPr>
                <w:lang w:val="x-none"/>
              </w:rPr>
              <w:t>(a)</w:t>
            </w:r>
            <w:r w:rsidRPr="00AC77DF">
              <w:rPr>
                <w:lang w:val="x-none"/>
              </w:rPr>
              <w:t>規定無觸犯刑事能力之最低年齡；</w:t>
            </w:r>
            <w:r w:rsidRPr="00AC77DF">
              <w:rPr>
                <w:lang w:val="x-none"/>
              </w:rPr>
              <w:t xml:space="preserve"> </w:t>
            </w:r>
          </w:p>
          <w:p w:rsidR="003807A5" w:rsidRPr="00AC77DF" w:rsidRDefault="003807A5" w:rsidP="00565803">
            <w:pPr>
              <w:spacing w:line="360" w:lineRule="exact"/>
              <w:ind w:leftChars="78" w:left="463" w:hangingChars="115" w:hanging="276"/>
              <w:jc w:val="both"/>
              <w:rPr>
                <w:lang w:val="x-none"/>
              </w:rPr>
            </w:pPr>
            <w:r w:rsidRPr="00AC77DF">
              <w:rPr>
                <w:lang w:val="x-none"/>
              </w:rPr>
              <w:t>(b)</w:t>
            </w:r>
            <w:r w:rsidRPr="00DD0484">
              <w:rPr>
                <w:spacing w:val="-2"/>
                <w:lang w:val="x-none"/>
              </w:rPr>
              <w:t>於適當與必要時，制定不對此等兒童訴諸司法程序之措施，惟須充分尊重人權及法律保障。</w:t>
            </w:r>
            <w:r w:rsidRPr="00AC77DF">
              <w:rPr>
                <w:lang w:val="x-none"/>
              </w:rPr>
              <w:t xml:space="preserve"> </w:t>
            </w:r>
          </w:p>
          <w:p w:rsidR="003807A5" w:rsidRPr="00AC77DF" w:rsidRDefault="003807A5" w:rsidP="00CA5198">
            <w:pPr>
              <w:spacing w:line="360" w:lineRule="exact"/>
              <w:ind w:left="185" w:hangingChars="77" w:hanging="185"/>
              <w:jc w:val="both"/>
              <w:rPr>
                <w:lang w:val="x-none"/>
              </w:rPr>
            </w:pPr>
            <w:r w:rsidRPr="00AC77DF">
              <w:rPr>
                <w:lang w:val="x-none"/>
              </w:rPr>
              <w:t>4.</w:t>
            </w:r>
            <w:r w:rsidRPr="00AC77DF">
              <w:rPr>
                <w:lang w:val="x-none"/>
              </w:rPr>
              <w:t>為確保兒童福祉，並合乎其自身狀況與違法情事，應採行多樣化之處置，例如照顧、輔導或監督裁定、諮商輔導、觀護、寄養照顧、教育或職業培訓方案及其他替代機構照顧之方式。</w:t>
            </w:r>
          </w:p>
        </w:tc>
      </w:tr>
    </w:tbl>
    <w:p w:rsidR="003807A5" w:rsidRPr="00AC77DF" w:rsidRDefault="00816ED5" w:rsidP="00E5718D">
      <w:pPr>
        <w:pStyle w:val="afff1"/>
        <w:spacing w:before="360" w:after="360"/>
      </w:pPr>
      <w:bookmarkStart w:id="237" w:name="_Toc527731071"/>
      <w:r>
        <w:rPr>
          <w:rFonts w:hint="eastAsia"/>
        </w:rPr>
        <w:lastRenderedPageBreak/>
        <w:t>(一)</w:t>
      </w:r>
      <w:r w:rsidR="003807A5" w:rsidRPr="00AC77DF">
        <w:t>案情簡述</w:t>
      </w:r>
      <w:bookmarkEnd w:id="237"/>
    </w:p>
    <w:p w:rsidR="003807A5" w:rsidRPr="00AC77DF" w:rsidRDefault="003807A5" w:rsidP="00B7222B">
      <w:pPr>
        <w:pStyle w:val="1---"/>
        <w:ind w:firstLine="480"/>
      </w:pPr>
      <w:r w:rsidRPr="00AC77DF">
        <w:t>據報導，檢察官於指揮少年受刑人刑之執行時，有先將少年受刑人解送成人監獄執行之情形。究目前各矯正機關同時收容少年與成年收容人之情形為何？如在同一監獄採取兩者分界收容時，能否將少年與成年人完全隔離？現行作法是否符合監獄行刑法相關規定及兒童權利公約之精神？因攸關兒少基本人權之維護，有深入瞭解之必要，爰經監察委員立案調查。</w:t>
      </w:r>
    </w:p>
    <w:p w:rsidR="003807A5" w:rsidRPr="00AC77DF" w:rsidRDefault="00816ED5" w:rsidP="00E5718D">
      <w:pPr>
        <w:pStyle w:val="afff1"/>
        <w:spacing w:before="360" w:after="360"/>
      </w:pPr>
      <w:bookmarkStart w:id="238" w:name="_Toc527731072"/>
      <w:r>
        <w:rPr>
          <w:rFonts w:hint="eastAsia"/>
        </w:rPr>
        <w:t>(二)</w:t>
      </w:r>
      <w:r w:rsidR="003807A5" w:rsidRPr="00AC77DF">
        <w:t>監察院調查發現與建議</w:t>
      </w:r>
      <w:bookmarkEnd w:id="238"/>
    </w:p>
    <w:p w:rsidR="003807A5" w:rsidRPr="00AC77DF" w:rsidRDefault="00383BEE" w:rsidP="00D92DAE">
      <w:pPr>
        <w:pStyle w:val="1--13"/>
        <w:spacing w:before="180" w:after="180"/>
      </w:pPr>
      <w:r w:rsidRPr="008E1832">
        <w:rPr>
          <w:rFonts w:hint="eastAsia"/>
        </w:rPr>
        <w:t>˙</w:t>
      </w:r>
      <w:r w:rsidR="003807A5" w:rsidRPr="00AC77DF">
        <w:t>少年司法收容欠缺保護概念</w:t>
      </w:r>
    </w:p>
    <w:p w:rsidR="003807A5" w:rsidRPr="00AC77DF" w:rsidRDefault="003807A5" w:rsidP="00B7222B">
      <w:pPr>
        <w:pStyle w:val="1---"/>
        <w:ind w:firstLine="480"/>
      </w:pPr>
      <w:r w:rsidRPr="00AC77DF">
        <w:t>我國少年司法收容之處遇仍以戒護及戒治為主，欠缺保護之概念，與國際公約及人權潮流不符。目前僅有臺北及臺南少觀所為獨立設置，其他少觀所均與收容成年人的看守所、監獄、戒治所「合署辦公</w:t>
      </w:r>
      <w:r w:rsidRPr="00CC09BD">
        <w:rPr>
          <w:spacing w:val="-30"/>
        </w:rPr>
        <w:t>」</w:t>
      </w:r>
      <w:r w:rsidRPr="00AC77DF">
        <w:t>，無獨立空間，亦缺乏充裕及專業之人力，少年則與成年收容人「分界收容</w:t>
      </w:r>
      <w:r w:rsidRPr="00CC09BD">
        <w:rPr>
          <w:spacing w:val="-30"/>
        </w:rPr>
        <w:t>」</w:t>
      </w:r>
      <w:r w:rsidRPr="00AC77DF">
        <w:t>。且少觀所經費逐年遞減，占矯正機關整體預算之比率不及</w:t>
      </w:r>
      <w:r w:rsidRPr="00AC77DF">
        <w:t>2</w:t>
      </w:r>
      <w:r w:rsidR="00F9266D">
        <w:t>%</w:t>
      </w:r>
      <w:r w:rsidRPr="00AC77DF">
        <w:t>，少年收容環境顯不利於鑑別少年身心狀況及積極協助非行少年回歸校園及社會。反觀部分執法人員對收容少年真誠付出及個案改善成效，成為收容少年的「重要他人」的正向支持力量，司法院及法務部宜寬列經費，引進專業人力及教育輔導資源。</w:t>
      </w:r>
    </w:p>
    <w:p w:rsidR="003807A5" w:rsidRPr="00AC77DF" w:rsidRDefault="003807A5" w:rsidP="00B7222B">
      <w:pPr>
        <w:pStyle w:val="1---"/>
        <w:ind w:firstLine="480"/>
      </w:pPr>
      <w:r w:rsidRPr="00AC77DF">
        <w:t>目前全國有</w:t>
      </w:r>
      <w:r w:rsidRPr="00AC77DF">
        <w:t>16</w:t>
      </w:r>
      <w:r w:rsidRPr="00AC77DF">
        <w:t>所少觀所在看守所及戒治所內「合署辦公」，少年之收容環境與成人被告及受刑人大同小異，亦發生數起</w:t>
      </w:r>
      <w:r w:rsidRPr="00AC77DF">
        <w:lastRenderedPageBreak/>
        <w:t>少年遭成年受刑人或管理人員毆打之案例，而部分少觀所收容之少女因人數較少，軟硬體環境及教育資源更為不足。少年處此環境下，不無自我標籤及感染惡習之虞。</w:t>
      </w:r>
    </w:p>
    <w:p w:rsidR="003807A5" w:rsidRPr="00AC77DF" w:rsidRDefault="003807A5" w:rsidP="00B7222B">
      <w:pPr>
        <w:pStyle w:val="1---"/>
        <w:ind w:firstLine="480"/>
        <w:rPr>
          <w:lang w:eastAsia="zh-TW"/>
        </w:rPr>
      </w:pPr>
      <w:r w:rsidRPr="00AC77DF">
        <w:t>法務部迄未訂頒管理收容少年之相關規範，各少觀所對少年施以監禁封閉式之處遇，並採取高度之戒護措施</w:t>
      </w:r>
      <w:r w:rsidR="006B24A5">
        <w:t>，</w:t>
      </w:r>
      <w:r w:rsidR="006B24A5" w:rsidRPr="00AC77DF">
        <w:t>有違</w:t>
      </w:r>
      <w:r w:rsidRPr="00AC77DF">
        <w:t>少年宜教不宜罰之精神及國際人權規範。</w:t>
      </w:r>
    </w:p>
    <w:p w:rsidR="003807A5" w:rsidRPr="00AC77DF" w:rsidRDefault="00383BEE" w:rsidP="00D92DAE">
      <w:pPr>
        <w:pStyle w:val="1--13"/>
        <w:spacing w:before="180" w:after="180"/>
      </w:pPr>
      <w:r w:rsidRPr="008E1832">
        <w:rPr>
          <w:rFonts w:hint="eastAsia"/>
        </w:rPr>
        <w:t>˙</w:t>
      </w:r>
      <w:r w:rsidR="003807A5" w:rsidRPr="00AC77DF">
        <w:t>違反成少分離原則</w:t>
      </w:r>
    </w:p>
    <w:p w:rsidR="003807A5" w:rsidRPr="00AC77DF" w:rsidRDefault="003807A5" w:rsidP="00B7222B">
      <w:pPr>
        <w:pStyle w:val="1---"/>
        <w:ind w:firstLine="480"/>
        <w:rPr>
          <w:lang w:eastAsia="zh-TW"/>
        </w:rPr>
      </w:pPr>
      <w:r w:rsidRPr="00AC77DF">
        <w:t>少年受感化教育裁定後，於少觀所等待法院車輛移送至少年輔育院執行期間過長；多數法院、地檢署法警提帶少年出庭時，將少年與成人收容人連銬同車提帶，違反成少分離原則，均嚴重損害少年最佳利益</w:t>
      </w:r>
      <w:r w:rsidR="00CC09BD">
        <w:rPr>
          <w:rFonts w:hint="eastAsia"/>
          <w:lang w:eastAsia="zh-TW"/>
        </w:rPr>
        <w:t>。</w:t>
      </w:r>
    </w:p>
    <w:p w:rsidR="003807A5" w:rsidRPr="00AC77DF" w:rsidRDefault="00383BEE" w:rsidP="00D92DAE">
      <w:pPr>
        <w:pStyle w:val="1--13"/>
        <w:spacing w:before="180" w:after="180"/>
      </w:pPr>
      <w:r w:rsidRPr="008E1832">
        <w:rPr>
          <w:rFonts w:hint="eastAsia"/>
        </w:rPr>
        <w:t>˙</w:t>
      </w:r>
      <w:r w:rsidR="003807A5" w:rsidRPr="00AC77DF">
        <w:t>有效利用司法資源</w:t>
      </w:r>
    </w:p>
    <w:p w:rsidR="003807A5" w:rsidRPr="00AC77DF" w:rsidRDefault="003807A5" w:rsidP="00B7222B">
      <w:pPr>
        <w:pStyle w:val="1---"/>
        <w:ind w:firstLine="480"/>
      </w:pPr>
      <w:r w:rsidRPr="00AC77DF">
        <w:t>近年來各少觀所收容人數銳減，分散設置少觀所，無法兼顧司法資源之有效利用，亦難以引進特殊教育、心理輔導及醫療等專業人力及教育、福利資源。短程目標應檢討分區集中、單獨設置之可行性；中、遠程目標則宜仿效日韓立法例，採取</w:t>
      </w:r>
      <w:r w:rsidRPr="00CC09BD">
        <w:rPr>
          <w:spacing w:val="-2"/>
        </w:rPr>
        <w:t>學校化之開放式機構處遇，充實友善家屬探訪</w:t>
      </w:r>
      <w:r w:rsidR="00C5554D" w:rsidRPr="00CC09BD">
        <w:rPr>
          <w:rFonts w:hint="eastAsia"/>
          <w:spacing w:val="-2"/>
        </w:rPr>
        <w:t>及</w:t>
      </w:r>
      <w:r w:rsidRPr="00CC09BD">
        <w:rPr>
          <w:spacing w:val="-2"/>
        </w:rPr>
        <w:t>軟、硬體環境。</w:t>
      </w:r>
    </w:p>
    <w:p w:rsidR="003807A5" w:rsidRPr="00AC77DF" w:rsidRDefault="003807A5" w:rsidP="00B7222B">
      <w:pPr>
        <w:pStyle w:val="1---"/>
        <w:ind w:firstLine="480"/>
        <w:rPr>
          <w:lang w:eastAsia="zh-TW"/>
        </w:rPr>
      </w:pPr>
      <w:r w:rsidRPr="00AC77DF">
        <w:t>法務部宜參酌司法改革國是會議之建言及國際人權思潮，考量放寬少年受刑人於屆滿</w:t>
      </w:r>
      <w:r w:rsidRPr="00AC77DF">
        <w:t>23</w:t>
      </w:r>
      <w:r w:rsidRPr="00AC77DF">
        <w:t>歲後，得依其教育需要，續留明陽中學至該級教育階段完成之可行性。</w:t>
      </w:r>
    </w:p>
    <w:p w:rsidR="003807A5" w:rsidRPr="00AC77DF" w:rsidRDefault="00383BEE" w:rsidP="00D92DAE">
      <w:pPr>
        <w:pStyle w:val="1--13"/>
        <w:spacing w:before="180" w:after="180"/>
      </w:pPr>
      <w:r w:rsidRPr="008E1832">
        <w:rPr>
          <w:rFonts w:hint="eastAsia"/>
        </w:rPr>
        <w:t>˙</w:t>
      </w:r>
      <w:r w:rsidR="003807A5" w:rsidRPr="00AC77DF">
        <w:t>兒童置於少觀所之合宜性待商榷</w:t>
      </w:r>
    </w:p>
    <w:p w:rsidR="003807A5" w:rsidRPr="00AC77DF" w:rsidRDefault="003807A5" w:rsidP="00B7222B">
      <w:pPr>
        <w:pStyle w:val="1---"/>
        <w:ind w:firstLine="480"/>
        <w:rPr>
          <w:lang w:eastAsia="zh-TW"/>
        </w:rPr>
      </w:pPr>
      <w:r w:rsidRPr="00AC77DF">
        <w:t>自</w:t>
      </w:r>
      <w:r w:rsidRPr="00AC77DF">
        <w:t>101</w:t>
      </w:r>
      <w:r w:rsidRPr="00AC77DF">
        <w:t>年迄</w:t>
      </w:r>
      <w:r w:rsidRPr="00AC77DF">
        <w:t>106</w:t>
      </w:r>
      <w:r w:rsidRPr="00AC77DF">
        <w:t>年</w:t>
      </w:r>
      <w:r w:rsidRPr="00AC77DF">
        <w:t>8</w:t>
      </w:r>
      <w:r w:rsidRPr="00AC77DF">
        <w:t>月底，法院審理期間被裁定收容少觀</w:t>
      </w:r>
      <w:r w:rsidRPr="00AC77DF">
        <w:lastRenderedPageBreak/>
        <w:t>所之兒童達</w:t>
      </w:r>
      <w:r w:rsidRPr="00AC77DF">
        <w:t>178</w:t>
      </w:r>
      <w:r w:rsidRPr="00AC77DF">
        <w:t>人，人數甚多。兒童被收容於少觀所，是否符合兒童之最佳利益及達成教育輔導的效益，令人質疑。</w:t>
      </w:r>
    </w:p>
    <w:p w:rsidR="003807A5" w:rsidRPr="00AC77DF" w:rsidRDefault="00383BEE" w:rsidP="00D92DAE">
      <w:pPr>
        <w:pStyle w:val="1--13"/>
        <w:spacing w:before="180" w:after="180"/>
      </w:pPr>
      <w:r w:rsidRPr="008E1832">
        <w:rPr>
          <w:rFonts w:hint="eastAsia"/>
        </w:rPr>
        <w:t>˙</w:t>
      </w:r>
      <w:r w:rsidR="003807A5" w:rsidRPr="00AC77DF">
        <w:t>少年遭隔離之妥適性待檢討</w:t>
      </w:r>
    </w:p>
    <w:p w:rsidR="003807A5" w:rsidRPr="00AC77DF" w:rsidRDefault="003807A5" w:rsidP="00CC09BD">
      <w:pPr>
        <w:pStyle w:val="1---"/>
        <w:ind w:firstLine="480"/>
      </w:pPr>
      <w:r w:rsidRPr="00AC77DF">
        <w:t>法院裁定少年羈押禁見，應依法視個案情節決定其得與家</w:t>
      </w:r>
      <w:r w:rsidRPr="00CC09BD">
        <w:rPr>
          <w:spacing w:val="-2"/>
        </w:rPr>
        <w:t>人、師長會面範圍，而不得全面禁止少年與任何人會面。</w:t>
      </w:r>
      <w:r w:rsidRPr="00CC09BD">
        <w:rPr>
          <w:spacing w:val="-18"/>
        </w:rPr>
        <w:t>惟</w:t>
      </w:r>
      <w:r w:rsidRPr="00CC09BD">
        <w:rPr>
          <w:spacing w:val="-2"/>
        </w:rPr>
        <w:t>101</w:t>
      </w:r>
      <w:r w:rsidRPr="00AC77DF">
        <w:t>年迄今有</w:t>
      </w:r>
      <w:r w:rsidRPr="00AC77DF">
        <w:t>11</w:t>
      </w:r>
      <w:r w:rsidRPr="00AC77DF">
        <w:t>件</w:t>
      </w:r>
      <w:r w:rsidRPr="00AC77DF">
        <w:t>21</w:t>
      </w:r>
      <w:r w:rsidRPr="00AC77DF">
        <w:t>名少年被法院裁定羈押禁見，單獨隔離監禁於狹小囚室，不能與家人、親友、師長通信會面，禁止收看電視、收聽廣播，開封日每日僅有</w:t>
      </w:r>
      <w:r w:rsidRPr="00AC77DF">
        <w:t>30</w:t>
      </w:r>
      <w:r w:rsidRPr="00AC77DF">
        <w:t>分鐘活動，欠缺人際活動及必要教育輔導，亟待檢討改善。</w:t>
      </w:r>
    </w:p>
    <w:p w:rsidR="003807A5" w:rsidRPr="00AC77DF" w:rsidRDefault="003807A5" w:rsidP="00B7222B">
      <w:pPr>
        <w:pStyle w:val="1---"/>
        <w:ind w:firstLine="480"/>
      </w:pPr>
      <w:r w:rsidRPr="00AC77DF">
        <w:t>為落實少年法院（庭）審理專業化之要求，司法院宜彙整資源整合模式並訂定程序保障之作業流程，提供法官辦案之參考，並宜研究少年收容或羈押裁定宜否增列強制護佐制度，或仿效家事事件建立程序監理人制度，令具有兒少保護知識經驗專業人士參與。</w:t>
      </w:r>
    </w:p>
    <w:p w:rsidR="003807A5" w:rsidRPr="00AC77DF" w:rsidRDefault="003807A5" w:rsidP="00CC09BD">
      <w:pPr>
        <w:pStyle w:val="1---"/>
        <w:ind w:firstLine="480"/>
        <w:rPr>
          <w:rFonts w:eastAsiaTheme="majorEastAsia"/>
        </w:rPr>
      </w:pPr>
      <w:r w:rsidRPr="00AC77DF">
        <w:t>依據本案調查意見</w:t>
      </w:r>
      <w:r w:rsidRPr="00F85A65">
        <w:rPr>
          <w:rStyle w:val="aff2"/>
        </w:rPr>
        <w:footnoteReference w:id="73"/>
      </w:r>
      <w:r w:rsidRPr="00AC77DF">
        <w:t>，監察院函請司法院及法務部檢討改進見復。</w:t>
      </w:r>
    </w:p>
    <w:p w:rsidR="003807A5" w:rsidRPr="00AC77DF" w:rsidRDefault="00816ED5" w:rsidP="00E5718D">
      <w:pPr>
        <w:pStyle w:val="afff1"/>
        <w:spacing w:before="360" w:after="360"/>
      </w:pPr>
      <w:bookmarkStart w:id="239" w:name="_Toc527731073"/>
      <w:r>
        <w:rPr>
          <w:rFonts w:hint="eastAsia"/>
        </w:rPr>
        <w:t>(三)</w:t>
      </w:r>
      <w:r w:rsidR="003807A5" w:rsidRPr="00AC77DF">
        <w:t>政府機關改善情形</w:t>
      </w:r>
      <w:bookmarkEnd w:id="239"/>
    </w:p>
    <w:p w:rsidR="003807A5" w:rsidRPr="00AC77DF" w:rsidRDefault="003807A5" w:rsidP="00243780">
      <w:pPr>
        <w:pStyle w:val="1----"/>
        <w:ind w:left="600" w:hanging="360"/>
      </w:pPr>
      <w:r w:rsidRPr="00AC77DF">
        <w:t>1</w:t>
      </w:r>
      <w:r w:rsidRPr="00AC77DF">
        <w:t>、司法院於</w:t>
      </w:r>
      <w:r w:rsidRPr="00AC77DF">
        <w:t>106</w:t>
      </w:r>
      <w:r w:rsidRPr="00AC77DF">
        <w:t>年</w:t>
      </w:r>
      <w:r w:rsidRPr="00AC77DF">
        <w:t>11</w:t>
      </w:r>
      <w:r w:rsidRPr="00AC77DF">
        <w:t>月</w:t>
      </w:r>
      <w:r w:rsidRPr="00AC77DF">
        <w:t>6</w:t>
      </w:r>
      <w:r w:rsidRPr="00AC77DF">
        <w:t>日函知各法院兒童權利公約有關規定意旨，並請法院為收容之決定前，應儘量尋求責付或採行其他處置之可行性。決定收容後，如知悉被收容人有</w:t>
      </w:r>
      <w:r w:rsidRPr="00AC77DF">
        <w:lastRenderedPageBreak/>
        <w:t>特殊情狀或其他應注意事項，宜於收容書記載，以促請少觀所注意，並加強與該所之聯繫。</w:t>
      </w:r>
    </w:p>
    <w:p w:rsidR="003807A5" w:rsidRPr="00AC77DF" w:rsidRDefault="003807A5" w:rsidP="00243780">
      <w:pPr>
        <w:pStyle w:val="1----"/>
        <w:ind w:left="600" w:hanging="360"/>
      </w:pPr>
      <w:r w:rsidRPr="00AC77DF">
        <w:t>2</w:t>
      </w:r>
      <w:r w:rsidRPr="00AC77DF">
        <w:t>、司法院於</w:t>
      </w:r>
      <w:r w:rsidRPr="00AC77DF">
        <w:t>106</w:t>
      </w:r>
      <w:r w:rsidRPr="00AC77DF">
        <w:t>年</w:t>
      </w:r>
      <w:r w:rsidRPr="00AC77DF">
        <w:t>11</w:t>
      </w:r>
      <w:r w:rsidRPr="00AC77DF">
        <w:t>月</w:t>
      </w:r>
      <w:r w:rsidRPr="00AC77DF">
        <w:t>8</w:t>
      </w:r>
      <w:r w:rsidRPr="00AC77DF">
        <w:t>日函請各法院，督促法警提解成年被告與少年時，應依相關規定，分車提解，如無法分車提解時，亦應有確實之區隔措施；於對少年施用戒具時，亦不得將成年被告與少年連銬，並妥適使用戒具。有關成少分車提解及少年得加具適當戒具等節，事屬法院業務執行之具體情狀，該院將利用適當時機或法官學院舉辦法警研習時，提示法警注意。</w:t>
      </w:r>
    </w:p>
    <w:p w:rsidR="003807A5" w:rsidRPr="00AC77DF" w:rsidRDefault="003807A5" w:rsidP="00243780">
      <w:pPr>
        <w:pStyle w:val="1----"/>
        <w:ind w:left="600" w:hanging="360"/>
      </w:pPr>
      <w:r w:rsidRPr="00AC77DF">
        <w:t>3</w:t>
      </w:r>
      <w:r w:rsidRPr="00AC77DF">
        <w:t>、司法院已依司法改革國是會議第</w:t>
      </w:r>
      <w:r w:rsidRPr="00AC77DF">
        <w:t>5</w:t>
      </w:r>
      <w:r w:rsidRPr="00AC77DF">
        <w:t>分組決議意旨，請各法院為收容兒少決定前，應儘量尋求責付或採行其他處置可行性。於行政院兒童及少年福利與權益推動小組會議提案，建請於兒童及少年福利與權益保障法回復增訂類似舊兒童福利法第</w:t>
      </w:r>
      <w:r w:rsidRPr="00AC77DF">
        <w:t>38</w:t>
      </w:r>
      <w:r w:rsidRPr="00AC77DF">
        <w:t>條第</w:t>
      </w:r>
      <w:r w:rsidRPr="00AC77DF">
        <w:t>1</w:t>
      </w:r>
      <w:r w:rsidRPr="00AC77DF">
        <w:t>項之規範。</w:t>
      </w:r>
    </w:p>
    <w:p w:rsidR="003807A5" w:rsidRPr="00AC77DF" w:rsidRDefault="003807A5" w:rsidP="00243780">
      <w:pPr>
        <w:pStyle w:val="1----"/>
        <w:ind w:left="600" w:hanging="360"/>
      </w:pPr>
      <w:r w:rsidRPr="00AC77DF">
        <w:t>4</w:t>
      </w:r>
      <w:r w:rsidRPr="00AC77DF">
        <w:t>、各矯正機關專業人力陳報法務部請增預算員額合計</w:t>
      </w:r>
      <w:r w:rsidRPr="00AC77DF">
        <w:t>400</w:t>
      </w:r>
      <w:r w:rsidRPr="00AC77DF">
        <w:t>名</w:t>
      </w:r>
      <w:r w:rsidRPr="00CC09BD">
        <w:rPr>
          <w:spacing w:val="-2"/>
        </w:rPr>
        <w:t>，行政</w:t>
      </w:r>
      <w:r w:rsidRPr="00CC09BD">
        <w:rPr>
          <w:spacing w:val="-8"/>
        </w:rPr>
        <w:t>院</w:t>
      </w:r>
      <w:r w:rsidRPr="00CC09BD">
        <w:rPr>
          <w:spacing w:val="-2"/>
        </w:rPr>
        <w:t>10</w:t>
      </w:r>
      <w:r w:rsidRPr="00CC09BD">
        <w:rPr>
          <w:spacing w:val="-8"/>
        </w:rPr>
        <w:t>6</w:t>
      </w:r>
      <w:r w:rsidRPr="00CC09BD">
        <w:rPr>
          <w:spacing w:val="-8"/>
        </w:rPr>
        <w:t>年</w:t>
      </w:r>
      <w:r w:rsidRPr="00CC09BD">
        <w:rPr>
          <w:spacing w:val="-8"/>
        </w:rPr>
        <w:t>7</w:t>
      </w:r>
      <w:r w:rsidRPr="00CC09BD">
        <w:rPr>
          <w:spacing w:val="-8"/>
        </w:rPr>
        <w:t>月</w:t>
      </w:r>
      <w:r w:rsidRPr="00CC09BD">
        <w:rPr>
          <w:spacing w:val="-2"/>
        </w:rPr>
        <w:t>3</w:t>
      </w:r>
      <w:r w:rsidRPr="00CC09BD">
        <w:rPr>
          <w:spacing w:val="-8"/>
        </w:rPr>
        <w:t>1</w:t>
      </w:r>
      <w:r w:rsidRPr="00CC09BD">
        <w:rPr>
          <w:spacing w:val="-2"/>
        </w:rPr>
        <w:t>日函復同意辦理，而心理、社工等</w:t>
      </w:r>
      <w:r w:rsidRPr="00AC77DF">
        <w:t>專業人力部分，則依行政院「研商法務部提獄政革新專案報告會議」結論辦理，積極爭取相關經費遴聘心理、社工等專業人力。另研修外聘治療師鐘點費支給表，以利各機關遴聘專業人員推動各項特殊收容人處遇。另矯正署要求各機關於收容少年入所時，應指定專人向收容少年充分說明收容之目的、權利義務、應遵守事項、申訴救濟管道等事項，勿流於形式，並應製作淺顯易懂生活手冊發給之。</w:t>
      </w:r>
    </w:p>
    <w:p w:rsidR="003807A5" w:rsidRPr="00AC77DF" w:rsidRDefault="003807A5" w:rsidP="00243780">
      <w:pPr>
        <w:pStyle w:val="1----"/>
        <w:ind w:left="600" w:hanging="360"/>
      </w:pPr>
      <w:r w:rsidRPr="00AC77DF">
        <w:t>5</w:t>
      </w:r>
      <w:r w:rsidRPr="00AC77DF">
        <w:t>、矯正署</w:t>
      </w:r>
      <w:r w:rsidRPr="00AC77DF">
        <w:t>106</w:t>
      </w:r>
      <w:r w:rsidRPr="00AC77DF">
        <w:t>年</w:t>
      </w:r>
      <w:r w:rsidRPr="00AC77DF">
        <w:t>5</w:t>
      </w:r>
      <w:r w:rsidRPr="00AC77DF">
        <w:t>月</w:t>
      </w:r>
      <w:r w:rsidRPr="00AC77DF">
        <w:t>3</w:t>
      </w:r>
      <w:r w:rsidRPr="00AC77DF">
        <w:t>日召開會議並參採專家學者之建議，分別於</w:t>
      </w:r>
      <w:r w:rsidRPr="00AC77DF">
        <w:t>106</w:t>
      </w:r>
      <w:r w:rsidRPr="00AC77DF">
        <w:t>年</w:t>
      </w:r>
      <w:r w:rsidRPr="00AC77DF">
        <w:t>6</w:t>
      </w:r>
      <w:r w:rsidRPr="00AC77DF">
        <w:t>月</w:t>
      </w:r>
      <w:r w:rsidRPr="00AC77DF">
        <w:t>5</w:t>
      </w:r>
      <w:r w:rsidRPr="00AC77DF">
        <w:t>日及</w:t>
      </w:r>
      <w:r w:rsidRPr="00AC77DF">
        <w:t>107</w:t>
      </w:r>
      <w:r w:rsidRPr="00AC77DF">
        <w:t>年</w:t>
      </w:r>
      <w:r w:rsidRPr="00AC77DF">
        <w:t>2</w:t>
      </w:r>
      <w:r w:rsidRPr="00AC77DF">
        <w:t>月</w:t>
      </w:r>
      <w:r w:rsidRPr="00AC77DF">
        <w:t>5</w:t>
      </w:r>
      <w:r w:rsidRPr="00AC77DF">
        <w:t>日函請明陽中學就</w:t>
      </w:r>
      <w:r w:rsidRPr="00AC77DF">
        <w:lastRenderedPageBreak/>
        <w:t>屆滿</w:t>
      </w:r>
      <w:r w:rsidRPr="00AC77DF">
        <w:t>23</w:t>
      </w:r>
      <w:r w:rsidRPr="00AC77DF">
        <w:t>歲未能完成該學程者，如評估學生確有學習動機及留校意願，經報署審查核准後，即得續留明陽中學完成學業。另為明確法源依據，該署已於監獄行刑法修正草案中，修正受刑人滿</w:t>
      </w:r>
      <w:r w:rsidRPr="00AC77DF">
        <w:t>23</w:t>
      </w:r>
      <w:r w:rsidRPr="00AC77DF">
        <w:t>歲未完成該級教育階段，得報請同意收容至完成該級教育階段之規定。</w:t>
      </w:r>
    </w:p>
    <w:p w:rsidR="003807A5" w:rsidRPr="00AC77DF" w:rsidRDefault="00816ED5" w:rsidP="00E5718D">
      <w:pPr>
        <w:pStyle w:val="afff1"/>
        <w:spacing w:before="360" w:after="360"/>
      </w:pPr>
      <w:bookmarkStart w:id="240" w:name="_Toc527731074"/>
      <w:r>
        <w:rPr>
          <w:rFonts w:hint="eastAsia"/>
        </w:rPr>
        <w:t>(四)</w:t>
      </w:r>
      <w:r w:rsidR="003807A5" w:rsidRPr="00AC77DF">
        <w:rPr>
          <w:lang w:eastAsia="zh-HK"/>
        </w:rPr>
        <w:t>案件進展</w:t>
      </w:r>
      <w:bookmarkEnd w:id="240"/>
    </w:p>
    <w:p w:rsidR="003807A5" w:rsidRDefault="003807A5" w:rsidP="00B7222B">
      <w:pPr>
        <w:pStyle w:val="1---"/>
        <w:ind w:firstLine="480"/>
        <w:rPr>
          <w:lang w:eastAsia="zh-TW"/>
        </w:rPr>
      </w:pPr>
      <w:r w:rsidRPr="00AC77DF">
        <w:t>本案</w:t>
      </w:r>
      <w:r w:rsidR="00885631">
        <w:rPr>
          <w:rFonts w:hint="eastAsia"/>
        </w:rPr>
        <w:t>已結案</w:t>
      </w:r>
      <w:r w:rsidRPr="00AC77DF">
        <w:t>。</w:t>
      </w:r>
    </w:p>
    <w:p w:rsidR="00816ED5" w:rsidRDefault="00816ED5" w:rsidP="00B7222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4248"/>
      </w:tblGrid>
      <w:tr w:rsidR="00816ED5" w:rsidTr="00CC09BD">
        <w:tc>
          <w:tcPr>
            <w:tcW w:w="4248" w:type="dxa"/>
            <w:shd w:val="clear" w:color="auto" w:fill="D9D9D9" w:themeFill="background1" w:themeFillShade="D9"/>
          </w:tcPr>
          <w:p w:rsidR="00816ED5" w:rsidRDefault="00816ED5" w:rsidP="00CC09BD">
            <w:pPr>
              <w:pStyle w:val="11-"/>
              <w:spacing w:before="72" w:after="108"/>
              <w:rPr>
                <w:lang w:eastAsia="zh-TW"/>
              </w:rPr>
            </w:pPr>
            <w:bookmarkStart w:id="241" w:name="_Toc527731115"/>
            <w:bookmarkStart w:id="242" w:name="_Toc535228358"/>
            <w:bookmarkStart w:id="243" w:name="_Toc4058769"/>
            <w:r w:rsidRPr="00AC77DF">
              <w:t>陳訴人移監及戒具使用不當案</w:t>
            </w:r>
            <w:bookmarkEnd w:id="241"/>
            <w:bookmarkEnd w:id="242"/>
            <w:bookmarkEnd w:id="243"/>
          </w:p>
        </w:tc>
      </w:tr>
    </w:tbl>
    <w:p w:rsidR="003807A5" w:rsidRPr="00AC77DF" w:rsidRDefault="003807A5" w:rsidP="00816ED5">
      <w:pPr>
        <w:pStyle w:val="1---"/>
        <w:ind w:firstLine="480"/>
      </w:pPr>
    </w:p>
    <w:tbl>
      <w:tblPr>
        <w:tblW w:w="4756" w:type="pct"/>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16"/>
      </w:tblGrid>
      <w:tr w:rsidR="003807A5" w:rsidRPr="00AC77DF" w:rsidTr="001C3F38">
        <w:trPr>
          <w:trHeight w:val="804"/>
        </w:trPr>
        <w:tc>
          <w:tcPr>
            <w:tcW w:w="5000" w:type="pct"/>
          </w:tcPr>
          <w:p w:rsidR="003807A5" w:rsidRPr="00AC77DF" w:rsidRDefault="003807A5" w:rsidP="00CC09BD">
            <w:pPr>
              <w:spacing w:line="360" w:lineRule="exact"/>
              <w:jc w:val="both"/>
              <w:rPr>
                <w:lang w:val="x-none"/>
              </w:rPr>
            </w:pPr>
            <w:r w:rsidRPr="00AC77DF">
              <w:rPr>
                <w:b/>
                <w:lang w:val="x-none"/>
              </w:rPr>
              <w:t>相關國際人權公約：</w:t>
            </w:r>
            <w:r w:rsidRPr="00AC77DF">
              <w:t>公民與政治權利國際公約第</w:t>
            </w:r>
            <w:r w:rsidRPr="00AC77DF">
              <w:t>10</w:t>
            </w:r>
            <w:r w:rsidRPr="00AC77DF">
              <w:t>條第</w:t>
            </w:r>
            <w:r w:rsidRPr="00AC77DF">
              <w:t>1</w:t>
            </w:r>
            <w:r w:rsidRPr="00AC77DF">
              <w:t>項及第</w:t>
            </w:r>
            <w:r w:rsidRPr="00AC77DF">
              <w:t>3</w:t>
            </w:r>
            <w:r w:rsidRPr="00AC77DF">
              <w:t>項</w:t>
            </w:r>
          </w:p>
        </w:tc>
      </w:tr>
    </w:tbl>
    <w:p w:rsidR="003807A5" w:rsidRPr="00AC77DF" w:rsidRDefault="00816ED5" w:rsidP="00E5718D">
      <w:pPr>
        <w:pStyle w:val="afff1"/>
        <w:spacing w:before="360" w:after="360"/>
      </w:pPr>
      <w:bookmarkStart w:id="244" w:name="_Toc527731116"/>
      <w:r>
        <w:rPr>
          <w:rFonts w:hint="eastAsia"/>
        </w:rPr>
        <w:t>(一)</w:t>
      </w:r>
      <w:r w:rsidR="003807A5" w:rsidRPr="00AC77DF">
        <w:t>案情簡述</w:t>
      </w:r>
      <w:bookmarkEnd w:id="244"/>
    </w:p>
    <w:p w:rsidR="003807A5" w:rsidRDefault="003807A5" w:rsidP="00B7222B">
      <w:pPr>
        <w:pStyle w:val="1---"/>
        <w:ind w:firstLine="480"/>
        <w:rPr>
          <w:lang w:eastAsia="zh-TW"/>
        </w:rPr>
      </w:pPr>
      <w:r w:rsidRPr="00AC77DF">
        <w:t>法務部矯正署臺北監獄（簡稱臺北監獄）管理人員辦理受刑人申請保外醫治作業，疑不當要求受刑人修改報告日期；未考量其尚有訴訟進行及保外醫治等事由，即率予移監執行。又進行移監作業，疑使用非法戒具及遲延移轉保管金，爰經監察委員立案調查。</w:t>
      </w:r>
    </w:p>
    <w:p w:rsidR="00CC09BD" w:rsidRPr="00AC77DF" w:rsidRDefault="00CC09BD" w:rsidP="00B7222B">
      <w:pPr>
        <w:pStyle w:val="1---"/>
        <w:ind w:firstLine="480"/>
        <w:rPr>
          <w:b/>
          <w:lang w:eastAsia="zh-TW"/>
        </w:rPr>
      </w:pPr>
    </w:p>
    <w:p w:rsidR="003807A5" w:rsidRPr="00AC77DF" w:rsidRDefault="00816ED5" w:rsidP="00E5718D">
      <w:pPr>
        <w:pStyle w:val="afff1"/>
        <w:spacing w:before="360" w:after="360"/>
      </w:pPr>
      <w:bookmarkStart w:id="245" w:name="_Toc527731117"/>
      <w:r>
        <w:rPr>
          <w:rFonts w:hint="eastAsia"/>
        </w:rPr>
        <w:lastRenderedPageBreak/>
        <w:t>(二)</w:t>
      </w:r>
      <w:r w:rsidR="003807A5" w:rsidRPr="00AC77DF">
        <w:t>監察院調查發現與建議</w:t>
      </w:r>
      <w:bookmarkEnd w:id="245"/>
    </w:p>
    <w:p w:rsidR="003807A5" w:rsidRPr="00AC77DF" w:rsidRDefault="00383BEE" w:rsidP="00D92DAE">
      <w:pPr>
        <w:pStyle w:val="1--13"/>
        <w:spacing w:before="180" w:after="180"/>
      </w:pPr>
      <w:r w:rsidRPr="008E1832">
        <w:rPr>
          <w:rFonts w:hint="eastAsia"/>
        </w:rPr>
        <w:t>˙</w:t>
      </w:r>
      <w:r w:rsidR="003807A5" w:rsidRPr="00AC77DF">
        <w:t>移監程序未盡周延</w:t>
      </w:r>
    </w:p>
    <w:p w:rsidR="003807A5" w:rsidRPr="00AC77DF" w:rsidRDefault="003807A5" w:rsidP="00B7222B">
      <w:pPr>
        <w:pStyle w:val="1---"/>
        <w:ind w:firstLine="480"/>
      </w:pPr>
      <w:r w:rsidRPr="00AC77DF">
        <w:t>臺北監獄明知受刑人如有其他案件在偵查審理中者，依「監獄受刑人移監作業要點」第</w:t>
      </w:r>
      <w:r w:rsidRPr="00AC77DF">
        <w:t>2</w:t>
      </w:r>
      <w:r w:rsidRPr="00AC77DF">
        <w:t>點第</w:t>
      </w:r>
      <w:r w:rsidRPr="00AC77DF">
        <w:t>1</w:t>
      </w:r>
      <w:r w:rsidRPr="00AC77DF">
        <w:t>項第</w:t>
      </w:r>
      <w:r w:rsidRPr="00AC77DF">
        <w:t>7</w:t>
      </w:r>
      <w:r w:rsidRPr="00AC77DF">
        <w:t>款規定不得移監，且明知受刑</w:t>
      </w:r>
      <w:r w:rsidRPr="00222A4E">
        <w:rPr>
          <w:rFonts w:asciiTheme="majorEastAsia" w:eastAsiaTheme="majorEastAsia" w:hAnsiTheme="majorEastAsia"/>
        </w:rPr>
        <w:t>人</w:t>
      </w:r>
      <w:r w:rsidR="00222A4E" w:rsidRPr="00222A4E">
        <w:rPr>
          <w:rFonts w:asciiTheme="majorEastAsia" w:eastAsiaTheme="majorEastAsia" w:hAnsiTheme="majorEastAsia"/>
        </w:rPr>
        <w:t>何○○</w:t>
      </w:r>
      <w:r w:rsidRPr="00AC77DF">
        <w:t>於</w:t>
      </w:r>
      <w:r w:rsidRPr="00AC77DF">
        <w:t>104</w:t>
      </w:r>
      <w:r w:rsidRPr="00AC77DF">
        <w:t>年</w:t>
      </w:r>
      <w:r w:rsidRPr="00AC77DF">
        <w:t>1</w:t>
      </w:r>
      <w:r w:rsidRPr="00AC77DF">
        <w:t>月</w:t>
      </w:r>
      <w:r w:rsidRPr="00AC77DF">
        <w:t>6</w:t>
      </w:r>
      <w:r w:rsidRPr="00AC77DF">
        <w:t>日具狀向桃園地檢署提起業務過失傷害罪之刑事告訴，其在矯正署於</w:t>
      </w:r>
      <w:r w:rsidRPr="00AC77DF">
        <w:t>105</w:t>
      </w:r>
      <w:r w:rsidRPr="00AC77DF">
        <w:t>年</w:t>
      </w:r>
      <w:r w:rsidRPr="00AC77DF">
        <w:t>1</w:t>
      </w:r>
      <w:r w:rsidRPr="00AC77DF">
        <w:t>月</w:t>
      </w:r>
      <w:r w:rsidRPr="00AC77DF">
        <w:t>7</w:t>
      </w:r>
      <w:r w:rsidRPr="00AC77DF">
        <w:t>日函請其遴選受刑人移監時，卻未查明</w:t>
      </w:r>
      <w:r w:rsidR="00222A4E" w:rsidRPr="00222A4E">
        <w:rPr>
          <w:rFonts w:asciiTheme="majorEastAsia" w:eastAsiaTheme="majorEastAsia" w:hAnsiTheme="majorEastAsia"/>
        </w:rPr>
        <w:t>何○○</w:t>
      </w:r>
      <w:r w:rsidRPr="00AC77DF">
        <w:t>尚有上開刑事案件在桃園地檢署偵查中，即草率於</w:t>
      </w:r>
      <w:r w:rsidRPr="00AC77DF">
        <w:t>105</w:t>
      </w:r>
      <w:r w:rsidRPr="00AC77DF">
        <w:t>年</w:t>
      </w:r>
      <w:r w:rsidRPr="00AC77DF">
        <w:t>2</w:t>
      </w:r>
      <w:r w:rsidRPr="00AC77DF">
        <w:t>月</w:t>
      </w:r>
      <w:r w:rsidRPr="00AC77DF">
        <w:t>25</w:t>
      </w:r>
      <w:r w:rsidRPr="00AC77DF">
        <w:t>日將</w:t>
      </w:r>
      <w:r w:rsidR="00222A4E" w:rsidRPr="00222A4E">
        <w:rPr>
          <w:rFonts w:asciiTheme="majorEastAsia" w:eastAsiaTheme="majorEastAsia" w:hAnsiTheme="majorEastAsia"/>
        </w:rPr>
        <w:t>何○○</w:t>
      </w:r>
      <w:r w:rsidRPr="00AC77DF">
        <w:t>移送法務部矯正署屏東監獄（簡稱屏東監獄）執行，不僅違反上開規定，而且對</w:t>
      </w:r>
      <w:r w:rsidR="00222A4E" w:rsidRPr="00222A4E">
        <w:rPr>
          <w:rFonts w:asciiTheme="majorEastAsia" w:eastAsiaTheme="majorEastAsia" w:hAnsiTheme="majorEastAsia"/>
        </w:rPr>
        <w:t>何○○</w:t>
      </w:r>
      <w:r w:rsidRPr="00AC77DF">
        <w:t>及其家屬之探視會面權益造成極大影響。法務部及矯正署宜檢討相關法令及作業程序未盡周延之處，並研議建立移監遴選標準作業機制，以昭公信。</w:t>
      </w:r>
    </w:p>
    <w:p w:rsidR="003807A5" w:rsidRPr="00AC77DF" w:rsidRDefault="00383BEE" w:rsidP="00D92DAE">
      <w:pPr>
        <w:pStyle w:val="1--13"/>
        <w:spacing w:before="180" w:after="180"/>
      </w:pPr>
      <w:r w:rsidRPr="008E1832">
        <w:rPr>
          <w:rFonts w:hint="eastAsia"/>
        </w:rPr>
        <w:t>˙</w:t>
      </w:r>
      <w:r w:rsidR="003807A5" w:rsidRPr="00AC77DF">
        <w:t>未深入調查保管責任</w:t>
      </w:r>
    </w:p>
    <w:p w:rsidR="003807A5" w:rsidRPr="00AC77DF" w:rsidRDefault="00222A4E" w:rsidP="00B7222B">
      <w:pPr>
        <w:pStyle w:val="1---"/>
        <w:ind w:firstLine="480"/>
        <w:rPr>
          <w:lang w:eastAsia="zh-TW"/>
        </w:rPr>
      </w:pPr>
      <w:r w:rsidRPr="00222A4E">
        <w:rPr>
          <w:rFonts w:asciiTheme="majorEastAsia" w:eastAsiaTheme="majorEastAsia" w:hAnsiTheme="majorEastAsia"/>
        </w:rPr>
        <w:t>何○○</w:t>
      </w:r>
      <w:r w:rsidR="003807A5" w:rsidRPr="00AC77DF">
        <w:t>於</w:t>
      </w:r>
      <w:r w:rsidR="003807A5" w:rsidRPr="00AC77DF">
        <w:t>105</w:t>
      </w:r>
      <w:r w:rsidR="003807A5" w:rsidRPr="00AC77DF">
        <w:t>年</w:t>
      </w:r>
      <w:r w:rsidR="003807A5" w:rsidRPr="00AC77DF">
        <w:t>2</w:t>
      </w:r>
      <w:r w:rsidR="003807A5" w:rsidRPr="00AC77DF">
        <w:t>月</w:t>
      </w:r>
      <w:r w:rsidR="003807A5" w:rsidRPr="00AC77DF">
        <w:t>25</w:t>
      </w:r>
      <w:r w:rsidR="003807A5" w:rsidRPr="00AC77DF">
        <w:t>日被移至屏東監獄前，曾於同月</w:t>
      </w:r>
      <w:r w:rsidR="003807A5" w:rsidRPr="00AC77DF">
        <w:t>23</w:t>
      </w:r>
      <w:r w:rsidR="003807A5" w:rsidRPr="00AC77DF">
        <w:t>日向臺北監獄提出報告單及醫師開立電腦斷層掃描檢查單以申請自費戒護外醫檢查，</w:t>
      </w:r>
      <w:r w:rsidRPr="00222A4E">
        <w:rPr>
          <w:rFonts w:asciiTheme="majorEastAsia" w:eastAsiaTheme="majorEastAsia" w:hAnsiTheme="majorEastAsia"/>
        </w:rPr>
        <w:t>何○○</w:t>
      </w:r>
      <w:r w:rsidR="003807A5" w:rsidRPr="00AC77DF">
        <w:t>質疑臺北監獄管理人員要求其將報告單之日期由</w:t>
      </w:r>
      <w:r w:rsidR="003807A5" w:rsidRPr="00AC77DF">
        <w:t>23</w:t>
      </w:r>
      <w:r w:rsidR="003807A5" w:rsidRPr="00AC77DF">
        <w:t>日改為</w:t>
      </w:r>
      <w:r w:rsidR="003807A5" w:rsidRPr="00AC77DF">
        <w:t>24</w:t>
      </w:r>
      <w:r w:rsidR="003807A5" w:rsidRPr="00AC77DF">
        <w:t>日而影響其外醫檢查權益。法務部、矯正署及臺北監獄均坦承上開報告單及檢查單均因該監相關人員未依法陳核與歸檔或轉送屏東監獄而遺失之事實，卻未能深入調查係何人未依法保管而遺失、是否出於故意而構成毀損或隱匿公文書罪等事實，亦未追究相關人員之行政責任，竟以該監業務量龐雜人力不足，遺失並未造成</w:t>
      </w:r>
      <w:r w:rsidRPr="00222A4E">
        <w:rPr>
          <w:rFonts w:asciiTheme="majorEastAsia" w:eastAsiaTheme="majorEastAsia" w:hAnsiTheme="majorEastAsia"/>
        </w:rPr>
        <w:t>何○○</w:t>
      </w:r>
      <w:r w:rsidR="003807A5" w:rsidRPr="00AC77DF">
        <w:t>醫療銜接</w:t>
      </w:r>
      <w:r w:rsidR="003807A5" w:rsidRPr="00AC77DF">
        <w:lastRenderedPageBreak/>
        <w:t>缺失為由，僅對業務相關人員給予口頭告誡及列入年終考績參考，迄今未為任何懲處，輕忽文書保管之重要性。</w:t>
      </w:r>
    </w:p>
    <w:p w:rsidR="003807A5" w:rsidRPr="00AC77DF" w:rsidRDefault="00383BEE" w:rsidP="00D92DAE">
      <w:pPr>
        <w:pStyle w:val="1--13"/>
        <w:spacing w:before="180" w:after="180"/>
      </w:pPr>
      <w:r w:rsidRPr="008E1832">
        <w:rPr>
          <w:rFonts w:hint="eastAsia"/>
        </w:rPr>
        <w:t>˙</w:t>
      </w:r>
      <w:r w:rsidR="003807A5" w:rsidRPr="00AC77DF">
        <w:t>銀行漏未入帳</w:t>
      </w:r>
    </w:p>
    <w:p w:rsidR="003807A5" w:rsidRPr="00AC77DF" w:rsidRDefault="003807A5" w:rsidP="00B7222B">
      <w:pPr>
        <w:pStyle w:val="1---"/>
        <w:ind w:firstLine="480"/>
        <w:rPr>
          <w:b/>
        </w:rPr>
      </w:pPr>
      <w:r w:rsidRPr="00AC77DF">
        <w:t>臺北監獄進行</w:t>
      </w:r>
      <w:r w:rsidR="00222A4E" w:rsidRPr="00222A4E">
        <w:rPr>
          <w:rFonts w:asciiTheme="majorEastAsia" w:eastAsiaTheme="majorEastAsia" w:hAnsiTheme="majorEastAsia"/>
        </w:rPr>
        <w:t>何○○</w:t>
      </w:r>
      <w:r w:rsidRPr="00AC77DF">
        <w:t>等人移監作業時，戒護人員使用鐵線固定</w:t>
      </w:r>
      <w:r w:rsidR="00222A4E">
        <w:rPr>
          <w:rFonts w:hint="eastAsia"/>
        </w:rPr>
        <w:t>聯</w:t>
      </w:r>
      <w:r w:rsidRPr="00AC77DF">
        <w:t>鎖時未以膠帶纏覆鐵線末端尖銳處，易造成受刑人受傷，且易使受刑人誤解管理人員有挾怨報復之嫌。又</w:t>
      </w:r>
      <w:r w:rsidR="00222A4E" w:rsidRPr="00222A4E">
        <w:rPr>
          <w:rFonts w:asciiTheme="majorEastAsia" w:eastAsiaTheme="majorEastAsia" w:hAnsiTheme="majorEastAsia"/>
        </w:rPr>
        <w:t>何○○</w:t>
      </w:r>
      <w:r w:rsidRPr="00AC77DF">
        <w:t>於</w:t>
      </w:r>
      <w:r w:rsidRPr="00AC77DF">
        <w:t>105</w:t>
      </w:r>
      <w:r w:rsidRPr="00AC77DF">
        <w:t>年</w:t>
      </w:r>
      <w:r w:rsidRPr="00AC77DF">
        <w:t>2</w:t>
      </w:r>
      <w:r w:rsidRPr="00AC77DF">
        <w:t>月</w:t>
      </w:r>
      <w:r w:rsidRPr="00AC77DF">
        <w:t>25</w:t>
      </w:r>
      <w:r w:rsidRPr="00AC77DF">
        <w:t>日移送屏東監獄，臺北監獄於</w:t>
      </w:r>
      <w:r w:rsidRPr="00AC77DF">
        <w:rPr>
          <w:lang w:eastAsia="zh-TW"/>
        </w:rPr>
        <w:t>105</w:t>
      </w:r>
      <w:r w:rsidRPr="00AC77DF">
        <w:t>年</w:t>
      </w:r>
      <w:r w:rsidRPr="00AC77DF">
        <w:t>3</w:t>
      </w:r>
      <w:r w:rsidRPr="00AC77DF">
        <w:t>月</w:t>
      </w:r>
      <w:r w:rsidRPr="00AC77DF">
        <w:t>2</w:t>
      </w:r>
      <w:r w:rsidRPr="00AC77DF">
        <w:t>日將</w:t>
      </w:r>
      <w:r w:rsidR="00222A4E" w:rsidRPr="00222A4E">
        <w:rPr>
          <w:rFonts w:asciiTheme="majorEastAsia" w:eastAsiaTheme="majorEastAsia" w:hAnsiTheme="majorEastAsia"/>
        </w:rPr>
        <w:t>何○○</w:t>
      </w:r>
      <w:r w:rsidRPr="00AC77DF">
        <w:t>保管金匯入屏東監獄華南銀行</w:t>
      </w:r>
      <w:r w:rsidRPr="00AC77DF">
        <w:t>303</w:t>
      </w:r>
      <w:r w:rsidRPr="00AC77DF">
        <w:t>專戶後，華南銀行本應於</w:t>
      </w:r>
      <w:r w:rsidRPr="00AC77DF">
        <w:t>3</w:t>
      </w:r>
      <w:r w:rsidRPr="00AC77DF">
        <w:t>月</w:t>
      </w:r>
      <w:r w:rsidRPr="00AC77DF">
        <w:t>4</w:t>
      </w:r>
      <w:r w:rsidRPr="00AC77DF">
        <w:t>日將匯款通知單攜至屏東監獄辦理入帳事宜，因該銀行是日漏未攜帶入帳單，遲至</w:t>
      </w:r>
      <w:r w:rsidRPr="00AC77DF">
        <w:t>3</w:t>
      </w:r>
      <w:r w:rsidRPr="00AC77DF">
        <w:t>月</w:t>
      </w:r>
      <w:r w:rsidRPr="00AC77DF">
        <w:t>7</w:t>
      </w:r>
      <w:r w:rsidRPr="00AC77DF">
        <w:t>日始通知屏東監獄出納入帳，對遲延利息之處理易滋爭議，造成受刑人在監購買日常生活必需用品之不便。</w:t>
      </w:r>
    </w:p>
    <w:p w:rsidR="003807A5" w:rsidRPr="00AC77DF" w:rsidRDefault="003807A5" w:rsidP="00B7222B">
      <w:pPr>
        <w:pStyle w:val="1---"/>
        <w:ind w:firstLine="480"/>
      </w:pPr>
      <w:r w:rsidRPr="00AC77DF">
        <w:t>依據本案調查意見</w:t>
      </w:r>
      <w:r w:rsidRPr="00AC77DF">
        <w:rPr>
          <w:rStyle w:val="aff2"/>
          <w:rFonts w:eastAsiaTheme="minorEastAsia"/>
        </w:rPr>
        <w:footnoteReference w:id="74"/>
      </w:r>
      <w:r w:rsidRPr="00AC77DF">
        <w:t>，監察院糾正法務部、矯正署及臺北監獄，並請該部議處失職人員及督同該監確實檢討改善見復。</w:t>
      </w:r>
    </w:p>
    <w:p w:rsidR="003807A5" w:rsidRPr="00AC77DF" w:rsidRDefault="00816ED5" w:rsidP="00E5718D">
      <w:pPr>
        <w:pStyle w:val="afff1"/>
        <w:spacing w:before="360" w:after="360"/>
      </w:pPr>
      <w:bookmarkStart w:id="246" w:name="_Toc527731118"/>
      <w:r>
        <w:rPr>
          <w:rFonts w:hint="eastAsia"/>
        </w:rPr>
        <w:t>(三)</w:t>
      </w:r>
      <w:r w:rsidR="003807A5" w:rsidRPr="00AC77DF">
        <w:t>政府機關改善情形</w:t>
      </w:r>
      <w:bookmarkEnd w:id="246"/>
    </w:p>
    <w:p w:rsidR="003807A5" w:rsidRPr="00AC77DF" w:rsidRDefault="003807A5" w:rsidP="00243780">
      <w:pPr>
        <w:pStyle w:val="1----"/>
        <w:ind w:left="600" w:hanging="360"/>
      </w:pPr>
      <w:r w:rsidRPr="00AC77DF">
        <w:t>1</w:t>
      </w:r>
      <w:r w:rsidRPr="00AC77DF">
        <w:t>、議處臺北監獄戒護科負責公文管理之承辦人員申誡一次。</w:t>
      </w:r>
    </w:p>
    <w:p w:rsidR="003807A5" w:rsidRPr="00AC77DF" w:rsidRDefault="003807A5" w:rsidP="00243780">
      <w:pPr>
        <w:pStyle w:val="1----"/>
        <w:ind w:left="600" w:hanging="360"/>
      </w:pPr>
      <w:r w:rsidRPr="00AC77DF">
        <w:t>2</w:t>
      </w:r>
      <w:r w:rsidRPr="00AC77DF">
        <w:t>、該監辦理移監作業施用聯鎖時，改以塑膠製束帶取代鐵線固定，以免鐵線末端尖銳處，造成受刑人受傷。</w:t>
      </w:r>
    </w:p>
    <w:p w:rsidR="003807A5" w:rsidRPr="00AC77DF" w:rsidRDefault="003807A5" w:rsidP="00243780">
      <w:pPr>
        <w:pStyle w:val="1----"/>
        <w:ind w:left="600" w:hanging="360"/>
      </w:pPr>
      <w:r w:rsidRPr="00AC77DF">
        <w:t>3</w:t>
      </w:r>
      <w:r w:rsidRPr="00AC77DF">
        <w:t>、為避免類此情事發生，該部矯正署再次宣達各矯正機關特別注意移監保管款之移轉及相關入帳作業流程，以保障收</w:t>
      </w:r>
      <w:r w:rsidRPr="00AC77DF">
        <w:lastRenderedPageBreak/>
        <w:t>容人權益及提高行政效率。</w:t>
      </w:r>
    </w:p>
    <w:p w:rsidR="003807A5" w:rsidRPr="00AC77DF" w:rsidRDefault="003807A5" w:rsidP="00442B7E">
      <w:pPr>
        <w:pStyle w:val="1----"/>
        <w:ind w:left="600" w:hanging="360"/>
        <w:jc w:val="distribute"/>
      </w:pPr>
      <w:r w:rsidRPr="00AC77DF">
        <w:t>4</w:t>
      </w:r>
      <w:r w:rsidRPr="00AC77DF">
        <w:t>、針對戒護外醫實際作業，設計「收容人報告收受章」及製</w:t>
      </w:r>
      <w:r w:rsidRPr="00442B7E">
        <w:rPr>
          <w:spacing w:val="-10"/>
        </w:rPr>
        <w:t>作</w:t>
      </w:r>
      <w:r w:rsidRPr="00442B7E">
        <w:rPr>
          <w:spacing w:val="-2"/>
        </w:rPr>
        <w:t>「收容人申</w:t>
      </w:r>
      <w:r w:rsidRPr="00442B7E">
        <w:rPr>
          <w:spacing w:val="-10"/>
        </w:rPr>
        <w:t>請</w:t>
      </w:r>
      <w:r w:rsidRPr="00442B7E">
        <w:rPr>
          <w:spacing w:val="-2"/>
        </w:rPr>
        <w:t>（報告</w:t>
      </w:r>
      <w:r w:rsidRPr="00442B7E">
        <w:rPr>
          <w:spacing w:val="-10"/>
        </w:rPr>
        <w:t>）</w:t>
      </w:r>
      <w:r w:rsidRPr="00442B7E">
        <w:rPr>
          <w:spacing w:val="-2"/>
        </w:rPr>
        <w:t>單處理登記簿</w:t>
      </w:r>
      <w:r w:rsidRPr="00442B7E">
        <w:rPr>
          <w:spacing w:val="-10"/>
        </w:rPr>
        <w:t>」等</w:t>
      </w:r>
      <w:r w:rsidRPr="00442B7E">
        <w:rPr>
          <w:spacing w:val="-10"/>
        </w:rPr>
        <w:t>5</w:t>
      </w:r>
      <w:r w:rsidRPr="00442B7E">
        <w:rPr>
          <w:spacing w:val="-2"/>
        </w:rPr>
        <w:t>項策進作</w:t>
      </w:r>
      <w:r w:rsidRPr="00442B7E">
        <w:rPr>
          <w:spacing w:val="-10"/>
        </w:rPr>
        <w:t>為</w:t>
      </w:r>
      <w:r w:rsidRPr="00442B7E">
        <w:rPr>
          <w:spacing w:val="-2"/>
        </w:rPr>
        <w:t>。</w:t>
      </w:r>
    </w:p>
    <w:p w:rsidR="003807A5" w:rsidRPr="00AC77DF" w:rsidRDefault="00816ED5" w:rsidP="00E5718D">
      <w:pPr>
        <w:pStyle w:val="afff1"/>
        <w:spacing w:before="360" w:after="360"/>
      </w:pPr>
      <w:bookmarkStart w:id="247" w:name="_Toc527731119"/>
      <w:r w:rsidRPr="00E5718D">
        <w:rPr>
          <w:rFonts w:hint="eastAsia"/>
        </w:rPr>
        <w:t>(</w:t>
      </w:r>
      <w:r w:rsidR="00E5718D" w:rsidRPr="00E5718D">
        <w:rPr>
          <w:rFonts w:hint="eastAsia"/>
        </w:rPr>
        <w:t>四</w:t>
      </w:r>
      <w:r w:rsidRPr="00E5718D">
        <w:rPr>
          <w:rFonts w:hint="eastAsia"/>
        </w:rPr>
        <w:t>)</w:t>
      </w:r>
      <w:r w:rsidR="003807A5" w:rsidRPr="00AC77DF">
        <w:t>案件進展</w:t>
      </w:r>
      <w:bookmarkEnd w:id="247"/>
    </w:p>
    <w:p w:rsidR="003807A5" w:rsidRDefault="003807A5" w:rsidP="00B7222B">
      <w:pPr>
        <w:pStyle w:val="1---"/>
        <w:ind w:firstLine="480"/>
        <w:rPr>
          <w:lang w:eastAsia="zh-TW"/>
        </w:rPr>
      </w:pPr>
      <w:r w:rsidRPr="00AC77DF">
        <w:t>本案在監察院監督及追蹤下，已產生具體成果，後續將由法務部督促所屬自行追蹤列管。</w:t>
      </w:r>
    </w:p>
    <w:p w:rsidR="00816ED5" w:rsidRDefault="00816ED5" w:rsidP="00B7222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5127"/>
      </w:tblGrid>
      <w:tr w:rsidR="00816ED5" w:rsidTr="00442B7E">
        <w:tc>
          <w:tcPr>
            <w:tcW w:w="5127" w:type="dxa"/>
            <w:shd w:val="clear" w:color="auto" w:fill="D9D9D9" w:themeFill="background1" w:themeFillShade="D9"/>
          </w:tcPr>
          <w:p w:rsidR="00816ED5" w:rsidRDefault="00816ED5" w:rsidP="00816ED5">
            <w:pPr>
              <w:pStyle w:val="11-"/>
              <w:spacing w:before="72" w:after="108"/>
              <w:rPr>
                <w:lang w:eastAsia="zh-TW"/>
              </w:rPr>
            </w:pPr>
            <w:bookmarkStart w:id="248" w:name="_Toc527731125"/>
            <w:bookmarkStart w:id="249" w:name="_Toc535228359"/>
            <w:bookmarkStart w:id="250" w:name="_Toc4058770"/>
            <w:r w:rsidRPr="00AC77DF">
              <w:t>觀察勒戒處分執行</w:t>
            </w:r>
            <w:r w:rsidRPr="00AC77DF">
              <w:rPr>
                <w:lang w:eastAsia="zh-HK"/>
              </w:rPr>
              <w:t>之合憲性與適法性</w:t>
            </w:r>
            <w:bookmarkEnd w:id="248"/>
            <w:bookmarkEnd w:id="249"/>
            <w:bookmarkEnd w:id="250"/>
          </w:p>
        </w:tc>
      </w:tr>
    </w:tbl>
    <w:p w:rsidR="003807A5" w:rsidRPr="00AC77DF" w:rsidRDefault="003807A5" w:rsidP="00816ED5">
      <w:pPr>
        <w:pStyle w:val="1---"/>
        <w:ind w:firstLine="480"/>
      </w:pPr>
    </w:p>
    <w:tbl>
      <w:tblPr>
        <w:tblW w:w="0" w:type="auto"/>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44"/>
      </w:tblGrid>
      <w:tr w:rsidR="003807A5" w:rsidRPr="00AC77DF" w:rsidTr="00442B7E">
        <w:tc>
          <w:tcPr>
            <w:tcW w:w="6544" w:type="dxa"/>
          </w:tcPr>
          <w:p w:rsidR="003807A5" w:rsidRPr="00AC77DF" w:rsidRDefault="003807A5" w:rsidP="00442B7E">
            <w:pPr>
              <w:spacing w:line="360" w:lineRule="exact"/>
              <w:rPr>
                <w:lang w:val="x-none"/>
              </w:rPr>
            </w:pPr>
            <w:r w:rsidRPr="00AC77DF">
              <w:rPr>
                <w:b/>
                <w:lang w:val="x-none"/>
              </w:rPr>
              <w:t>相關國際人權公約：</w:t>
            </w:r>
            <w:r w:rsidRPr="00AC77DF">
              <w:t>公民與政治權利國際公約第</w:t>
            </w:r>
            <w:r w:rsidRPr="00AC77DF">
              <w:t>9</w:t>
            </w:r>
            <w:r w:rsidRPr="00AC77DF">
              <w:t>條</w:t>
            </w:r>
          </w:p>
        </w:tc>
      </w:tr>
    </w:tbl>
    <w:p w:rsidR="003807A5" w:rsidRPr="00AC77DF" w:rsidRDefault="00816ED5" w:rsidP="00E5718D">
      <w:pPr>
        <w:pStyle w:val="afff1"/>
        <w:spacing w:before="360" w:after="360"/>
      </w:pPr>
      <w:bookmarkStart w:id="251" w:name="_Toc527731126"/>
      <w:r>
        <w:rPr>
          <w:rFonts w:hint="eastAsia"/>
        </w:rPr>
        <w:t>(一)</w:t>
      </w:r>
      <w:r w:rsidR="003807A5" w:rsidRPr="00AC77DF">
        <w:t>案情簡述</w:t>
      </w:r>
      <w:bookmarkEnd w:id="251"/>
    </w:p>
    <w:p w:rsidR="003807A5" w:rsidRPr="00AC77DF" w:rsidRDefault="003807A5" w:rsidP="00B7222B">
      <w:pPr>
        <w:pStyle w:val="1---"/>
        <w:ind w:firstLine="480"/>
        <w:rPr>
          <w:b/>
        </w:rPr>
      </w:pPr>
      <w:r w:rsidRPr="00AC77DF">
        <w:t>依據觀察勒戒處分執行條例第</w:t>
      </w:r>
      <w:r w:rsidRPr="00AC77DF">
        <w:t>8</w:t>
      </w:r>
      <w:r w:rsidRPr="00AC77DF">
        <w:t>條第</w:t>
      </w:r>
      <w:r w:rsidRPr="00AC77DF">
        <w:t>2</w:t>
      </w:r>
      <w:r w:rsidRPr="00AC77DF">
        <w:t>項後段規定，法院裁定移送強制戒治前，勒戒處所應繼續收容，該規定是否違反憲法第</w:t>
      </w:r>
      <w:r w:rsidRPr="00AC77DF">
        <w:t>23</w:t>
      </w:r>
      <w:r w:rsidRPr="00AC77DF">
        <w:t>條之比例原則？法院如得於觀察、勒戒屆滿後，隨時為強制戒治之裁定，則關於受觀察、勒戒者之人身自由保障，與法院為延長羈押裁定時，依據刑事訴訟法第</w:t>
      </w:r>
      <w:r w:rsidRPr="00AC77DF">
        <w:t>108</w:t>
      </w:r>
      <w:r w:rsidRPr="00AC77DF">
        <w:t>條第</w:t>
      </w:r>
      <w:r w:rsidRPr="00AC77DF">
        <w:t>2</w:t>
      </w:r>
      <w:r w:rsidRPr="00AC77DF">
        <w:t>項需於羈押期滿前將裁定合法送達，否則視為撤銷羈押之規定，相去甚遠。為保障人民之人身自由，實有深入探討之必要案，監察委員爰立案調查。</w:t>
      </w:r>
    </w:p>
    <w:p w:rsidR="003807A5" w:rsidRPr="00AC77DF" w:rsidRDefault="00816ED5" w:rsidP="00527678">
      <w:pPr>
        <w:pStyle w:val="afff1"/>
        <w:spacing w:before="360" w:after="360"/>
      </w:pPr>
      <w:bookmarkStart w:id="252" w:name="_Toc527731127"/>
      <w:r>
        <w:rPr>
          <w:rFonts w:hint="eastAsia"/>
        </w:rPr>
        <w:lastRenderedPageBreak/>
        <w:t>(二)</w:t>
      </w:r>
      <w:r w:rsidR="003807A5" w:rsidRPr="00AC77DF">
        <w:t>監察院調查發現與建議</w:t>
      </w:r>
      <w:bookmarkEnd w:id="252"/>
    </w:p>
    <w:p w:rsidR="003807A5" w:rsidRPr="00AC77DF" w:rsidRDefault="00FD29F8" w:rsidP="00D92DAE">
      <w:pPr>
        <w:pStyle w:val="1--13"/>
        <w:spacing w:before="180" w:after="180"/>
      </w:pPr>
      <w:r w:rsidRPr="008E1832">
        <w:rPr>
          <w:rFonts w:hint="eastAsia"/>
        </w:rPr>
        <w:t>˙</w:t>
      </w:r>
      <w:r w:rsidR="003807A5" w:rsidRPr="00AC77DF">
        <w:t>未明定法院強制戒治裁定期限</w:t>
      </w:r>
    </w:p>
    <w:p w:rsidR="003807A5" w:rsidRPr="00AC77DF" w:rsidRDefault="003807A5" w:rsidP="00B7222B">
      <w:pPr>
        <w:pStyle w:val="1---"/>
        <w:ind w:firstLine="480"/>
        <w:rPr>
          <w:b/>
        </w:rPr>
      </w:pPr>
      <w:r w:rsidRPr="00AC77DF">
        <w:t>司法院與法務部就觀察勒戒處分執行條例第</w:t>
      </w:r>
      <w:r w:rsidRPr="00AC77DF">
        <w:t>8</w:t>
      </w:r>
      <w:r w:rsidRPr="00AC77DF">
        <w:t>條第</w:t>
      </w:r>
      <w:r w:rsidRPr="00AC77DF">
        <w:t>2</w:t>
      </w:r>
      <w:r w:rsidRPr="00AC77DF">
        <w:t>項後段應繼續收容之規定，因未明定法院強制戒治裁定期限，肇致裁定日期超過觀察勒戒人執行期滿日期，構成法律漏洞，而與刑事訴訟法第</w:t>
      </w:r>
      <w:r w:rsidRPr="00AC77DF">
        <w:t>108</w:t>
      </w:r>
      <w:r w:rsidRPr="00AC77DF">
        <w:t>條第</w:t>
      </w:r>
      <w:r w:rsidRPr="00AC77DF">
        <w:t>2</w:t>
      </w:r>
      <w:r w:rsidRPr="00AC77DF">
        <w:t>項視為撤銷羈押之規定，相去甚遠，侵害人身自由等基本權利。</w:t>
      </w:r>
    </w:p>
    <w:p w:rsidR="003807A5" w:rsidRPr="00AC77DF" w:rsidRDefault="003807A5" w:rsidP="00B7222B">
      <w:pPr>
        <w:pStyle w:val="1---"/>
        <w:ind w:firstLine="480"/>
        <w:rPr>
          <w:b/>
        </w:rPr>
      </w:pPr>
      <w:r w:rsidRPr="00AC77DF">
        <w:t>我國司法實務就觀察勒戒處分之執行，因現行法律並未對有繼續施用毒品傾向者，明定法院應裁定強制戒治之期限，肇致縱使觀察勒戒執行期滿，受觀察勒戒</w:t>
      </w:r>
      <w:r w:rsidR="00F9371B">
        <w:rPr>
          <w:rFonts w:hint="eastAsia"/>
        </w:rPr>
        <w:t>者</w:t>
      </w:r>
      <w:r w:rsidRPr="00AC77DF">
        <w:t>之人身自由仍被剝奪，並未即時受到法院保護。</w:t>
      </w:r>
    </w:p>
    <w:p w:rsidR="003807A5" w:rsidRPr="00AC77DF" w:rsidRDefault="00FD29F8" w:rsidP="00D92DAE">
      <w:pPr>
        <w:pStyle w:val="1--13"/>
        <w:spacing w:before="180" w:after="180"/>
      </w:pPr>
      <w:r w:rsidRPr="008E1832">
        <w:rPr>
          <w:rFonts w:hint="eastAsia"/>
        </w:rPr>
        <w:t>˙</w:t>
      </w:r>
      <w:r w:rsidR="003807A5" w:rsidRPr="00AC77DF">
        <w:t>強制戒治採書面審理</w:t>
      </w:r>
    </w:p>
    <w:p w:rsidR="003807A5" w:rsidRPr="00AC77DF" w:rsidRDefault="003807A5" w:rsidP="00B7222B">
      <w:pPr>
        <w:pStyle w:val="1---"/>
        <w:ind w:firstLine="480"/>
        <w:rPr>
          <w:lang w:eastAsia="zh-TW"/>
        </w:rPr>
      </w:pPr>
      <w:r w:rsidRPr="00AC77DF">
        <w:t>強制戒治採書面審理，與憲法第</w:t>
      </w:r>
      <w:r w:rsidRPr="00AC77DF">
        <w:t>8</w:t>
      </w:r>
      <w:r w:rsidRPr="00AC77DF">
        <w:t>條及公民與政治權利國際公約第</w:t>
      </w:r>
      <w:r w:rsidRPr="00AC77DF">
        <w:t>9</w:t>
      </w:r>
      <w:r w:rsidRPr="00AC77DF">
        <w:t>條所揭示「適當審訊與聽證原則」未盡相符。司法院宜在司法人力、預算配置考量下，兼顧人身自由保障與正當法律程序等原則，以符法治國精神。</w:t>
      </w:r>
    </w:p>
    <w:p w:rsidR="003807A5" w:rsidRDefault="003807A5" w:rsidP="00442B7E">
      <w:pPr>
        <w:pStyle w:val="1---"/>
        <w:ind w:firstLine="480"/>
        <w:rPr>
          <w:spacing w:val="4"/>
          <w:lang w:eastAsia="zh-TW"/>
        </w:rPr>
      </w:pPr>
      <w:r w:rsidRPr="00AC77DF">
        <w:t>依據本案調查意見</w:t>
      </w:r>
      <w:r w:rsidRPr="00AC77DF">
        <w:rPr>
          <w:rStyle w:val="aff2"/>
        </w:rPr>
        <w:footnoteReference w:id="75"/>
      </w:r>
      <w:r w:rsidRPr="00AC77DF">
        <w:t>，監察院函請法務部與司法院研究改</w:t>
      </w:r>
      <w:r w:rsidRPr="00442B7E">
        <w:rPr>
          <w:spacing w:val="4"/>
        </w:rPr>
        <w:t>進見復；另函請法務部督促</w:t>
      </w:r>
      <w:r w:rsidRPr="00442B7E">
        <w:rPr>
          <w:color w:val="000000" w:themeColor="text1"/>
          <w:spacing w:val="4"/>
        </w:rPr>
        <w:t>臺中地檢署</w:t>
      </w:r>
      <w:r w:rsidRPr="00442B7E">
        <w:rPr>
          <w:spacing w:val="4"/>
        </w:rPr>
        <w:t>切實檢討改進見復。</w:t>
      </w:r>
    </w:p>
    <w:p w:rsidR="00442B7E" w:rsidRPr="00AC77DF" w:rsidRDefault="00442B7E" w:rsidP="00442B7E">
      <w:pPr>
        <w:pStyle w:val="1---"/>
        <w:ind w:firstLine="480"/>
        <w:rPr>
          <w:b/>
          <w:lang w:eastAsia="zh-TW"/>
        </w:rPr>
      </w:pPr>
    </w:p>
    <w:p w:rsidR="0046270E" w:rsidRDefault="0046270E">
      <w:pPr>
        <w:widowControl/>
        <w:snapToGrid/>
        <w:rPr>
          <w:rFonts w:ascii="華康魏碑體" w:eastAsia="華康魏碑體" w:hAnsi="細明體" w:cs="細明體"/>
          <w:kern w:val="0"/>
          <w:sz w:val="34"/>
          <w:szCs w:val="32"/>
        </w:rPr>
      </w:pPr>
      <w:bookmarkStart w:id="253" w:name="_Toc527731128"/>
      <w:r>
        <w:br w:type="page"/>
      </w:r>
    </w:p>
    <w:p w:rsidR="003807A5" w:rsidRPr="00AC77DF" w:rsidRDefault="00816ED5" w:rsidP="00527678">
      <w:pPr>
        <w:pStyle w:val="afff1"/>
        <w:spacing w:before="360" w:after="360"/>
      </w:pPr>
      <w:r>
        <w:rPr>
          <w:rFonts w:hint="eastAsia"/>
        </w:rPr>
        <w:lastRenderedPageBreak/>
        <w:t>(三)</w:t>
      </w:r>
      <w:r w:rsidR="003807A5" w:rsidRPr="00AC77DF">
        <w:t>政府機關改善情形</w:t>
      </w:r>
      <w:bookmarkEnd w:id="253"/>
    </w:p>
    <w:p w:rsidR="003807A5" w:rsidRPr="00AC77DF" w:rsidRDefault="003807A5" w:rsidP="00243780">
      <w:pPr>
        <w:pStyle w:val="1----"/>
        <w:ind w:left="600" w:hanging="360"/>
      </w:pPr>
      <w:r w:rsidRPr="00AC77DF">
        <w:t>1</w:t>
      </w:r>
      <w:r w:rsidRPr="00AC77DF">
        <w:t>、司法院</w:t>
      </w:r>
    </w:p>
    <w:p w:rsidR="003807A5" w:rsidRPr="00AC77DF" w:rsidRDefault="003807A5" w:rsidP="00455150">
      <w:pPr>
        <w:pStyle w:val="1--1"/>
        <w:ind w:left="1080" w:hanging="600"/>
        <w:rPr>
          <w:b/>
        </w:rPr>
      </w:pPr>
      <w:r w:rsidRPr="00AC77DF">
        <w:t>（</w:t>
      </w:r>
      <w:r w:rsidRPr="00AC77DF">
        <w:t>1</w:t>
      </w:r>
      <w:r w:rsidRPr="00AC77DF">
        <w:t>）</w:t>
      </w:r>
      <w:r w:rsidRPr="00AC77DF">
        <w:t>10</w:t>
      </w:r>
      <w:r w:rsidRPr="00455150">
        <w:rPr>
          <w:spacing w:val="-4"/>
        </w:rPr>
        <w:t>6</w:t>
      </w:r>
      <w:r w:rsidRPr="00455150">
        <w:rPr>
          <w:spacing w:val="-4"/>
        </w:rPr>
        <w:t>年</w:t>
      </w:r>
      <w:r w:rsidRPr="00455150">
        <w:rPr>
          <w:spacing w:val="-4"/>
        </w:rPr>
        <w:t>4</w:t>
      </w:r>
      <w:r w:rsidRPr="00455150">
        <w:rPr>
          <w:spacing w:val="-4"/>
        </w:rPr>
        <w:t>月</w:t>
      </w:r>
      <w:r w:rsidRPr="00AC77DF">
        <w:t>1</w:t>
      </w:r>
      <w:r w:rsidRPr="00455150">
        <w:rPr>
          <w:spacing w:val="-4"/>
        </w:rPr>
        <w:t>4</w:t>
      </w:r>
      <w:r w:rsidRPr="00AC77DF">
        <w:t>日函請各法院受理檢察官聲請強制戒治案件時，宜注意觀察、勒戒期滿日期，儘速裁定並完成送達。</w:t>
      </w:r>
    </w:p>
    <w:p w:rsidR="003807A5" w:rsidRPr="00AC77DF" w:rsidRDefault="003807A5" w:rsidP="00455150">
      <w:pPr>
        <w:pStyle w:val="1--1"/>
        <w:ind w:left="1080" w:hanging="600"/>
        <w:rPr>
          <w:b/>
        </w:rPr>
      </w:pPr>
      <w:r w:rsidRPr="00AC77DF">
        <w:t>（</w:t>
      </w:r>
      <w:r w:rsidRPr="00AC77DF">
        <w:t>2</w:t>
      </w:r>
      <w:r w:rsidRPr="00AC77DF">
        <w:t>）法務部前於</w:t>
      </w:r>
      <w:r w:rsidRPr="00AC77DF">
        <w:t>105</w:t>
      </w:r>
      <w:r w:rsidRPr="00AC77DF">
        <w:t>年</w:t>
      </w:r>
      <w:r w:rsidRPr="00AC77DF">
        <w:t>12</w:t>
      </w:r>
      <w:r w:rsidRPr="00AC77DF">
        <w:t>月</w:t>
      </w:r>
      <w:r w:rsidRPr="00AC77DF">
        <w:t>26</w:t>
      </w:r>
      <w:r w:rsidRPr="00AC77DF">
        <w:t>日召開研商「觀察勒戒處分執行條例第</w:t>
      </w:r>
      <w:r w:rsidRPr="00AC77DF">
        <w:t>8</w:t>
      </w:r>
      <w:r w:rsidRPr="00AC77DF">
        <w:t>條修正草案」會議，司法院出席時已表達：現行觀察勒戒處分執行條例第</w:t>
      </w:r>
      <w:r w:rsidRPr="00AC77DF">
        <w:t>8</w:t>
      </w:r>
      <w:r w:rsidRPr="00AC77DF">
        <w:t>條第</w:t>
      </w:r>
      <w:r w:rsidRPr="00AC77DF">
        <w:t>2</w:t>
      </w:r>
      <w:r w:rsidRPr="00AC77DF">
        <w:t>項關於受觀察、勒戒人有繼續施用毒品傾向者，於勒戒處所依法院裁定移送戒治處所施以強制戒治前，應繼續收容之規定，將使受觀察、勒戒人於觀察、勒戒期間屆滿後，不問法院是否裁定令入戒治處所施以強制戒治，均仍受人身自由之拘束（收容</w:t>
      </w:r>
      <w:r w:rsidRPr="00455150">
        <w:rPr>
          <w:spacing w:val="-30"/>
        </w:rPr>
        <w:t>）</w:t>
      </w:r>
      <w:r w:rsidRPr="00AC77DF">
        <w:t>，恐與令狀原則有違。</w:t>
      </w:r>
    </w:p>
    <w:p w:rsidR="003807A5" w:rsidRPr="00AC77DF" w:rsidRDefault="003807A5" w:rsidP="00243780">
      <w:pPr>
        <w:pStyle w:val="1----"/>
        <w:ind w:left="600" w:hanging="360"/>
        <w:rPr>
          <w:b/>
        </w:rPr>
      </w:pPr>
      <w:r w:rsidRPr="00AC77DF">
        <w:t>2</w:t>
      </w:r>
      <w:r w:rsidRPr="00AC77DF">
        <w:t>、法務部矯正署</w:t>
      </w:r>
      <w:r w:rsidRPr="00AC77DF">
        <w:t>105</w:t>
      </w:r>
      <w:r w:rsidRPr="00AC77DF">
        <w:t>年</w:t>
      </w:r>
      <w:r w:rsidRPr="00AC77DF">
        <w:t>8</w:t>
      </w:r>
      <w:r w:rsidRPr="00AC77DF">
        <w:t>月</w:t>
      </w:r>
      <w:r w:rsidRPr="00AC77DF">
        <w:t>3</w:t>
      </w:r>
      <w:r w:rsidRPr="00AC77DF">
        <w:t>日召開觀察勒戒處分執行條例第</w:t>
      </w:r>
      <w:r w:rsidRPr="00AC77DF">
        <w:t>8</w:t>
      </w:r>
      <w:r w:rsidRPr="00AC77DF">
        <w:t>條第</w:t>
      </w:r>
      <w:r w:rsidRPr="00AC77DF">
        <w:t>2</w:t>
      </w:r>
      <w:r w:rsidRPr="00AC77DF">
        <w:t>項後段規定之法律疑義研討會議，並依會議決議研擬觀察勒戒處分執行條例第</w:t>
      </w:r>
      <w:r w:rsidRPr="00AC77DF">
        <w:t>8</w:t>
      </w:r>
      <w:r w:rsidRPr="00AC77DF">
        <w:t>條修正草案函報法務部。該部於</w:t>
      </w:r>
      <w:r w:rsidRPr="00AC77DF">
        <w:t>105</w:t>
      </w:r>
      <w:r w:rsidRPr="00AC77DF">
        <w:t>年</w:t>
      </w:r>
      <w:r w:rsidRPr="00AC77DF">
        <w:t>12</w:t>
      </w:r>
      <w:r w:rsidRPr="00AC77DF">
        <w:t>月</w:t>
      </w:r>
      <w:r w:rsidRPr="00AC77DF">
        <w:t>26</w:t>
      </w:r>
      <w:r w:rsidRPr="00AC77DF">
        <w:t>日召開研商前揭條例第</w:t>
      </w:r>
      <w:r w:rsidRPr="00AC77DF">
        <w:t>8</w:t>
      </w:r>
      <w:r w:rsidRPr="00AC77DF">
        <w:t>條修正草案會議審議後，矯正署再依會議決議修正該草案函報法務部。另受觀察、勒戒人於強制戒治裁定宣示或送達後，至實際移送戒治處所施以強制戒治前，仍可能因移送執行之作業時間致逾觀察勒戒期滿日，其繼續收容期間，應計入戒治期間。現行條文第</w:t>
      </w:r>
      <w:r w:rsidRPr="00AC77DF">
        <w:t>2</w:t>
      </w:r>
      <w:r w:rsidRPr="00AC77DF">
        <w:t>項前段於觀察、勒戒期間屆滿，無繼續施用毒品傾向者，於未獲檢察官或少年法院（庭</w:t>
      </w:r>
      <w:r w:rsidRPr="00AC77DF">
        <w:lastRenderedPageBreak/>
        <w:t>）釋放命令、裁定時，雖已有規定逕為釋放；然對於有繼續施用毒品傾向者，現行條文第</w:t>
      </w:r>
      <w:r w:rsidRPr="00AC77DF">
        <w:t>2</w:t>
      </w:r>
      <w:r w:rsidRPr="00AC77DF">
        <w:t>項後段，係規定法院或少年法院（庭）裁定移送戒治處所前，應繼續收容。經參酌刑事訴訟法第</w:t>
      </w:r>
      <w:r w:rsidRPr="00AC77DF">
        <w:t>108</w:t>
      </w:r>
      <w:r w:rsidRPr="00AC77DF">
        <w:t>條第</w:t>
      </w:r>
      <w:r w:rsidRPr="00AC77DF">
        <w:t>2</w:t>
      </w:r>
      <w:r w:rsidRPr="00AC77DF">
        <w:t>項規定意旨，為保障人身自由，故於未經法院或少年法院（庭）宣示或送達強制戒治裁定正本者，亦逕為釋放，並同時通知檢察官、法院或少年法院（庭</w:t>
      </w:r>
      <w:r w:rsidRPr="00455150">
        <w:rPr>
          <w:spacing w:val="-30"/>
        </w:rPr>
        <w:t>）</w:t>
      </w:r>
      <w:r w:rsidRPr="00AC77DF">
        <w:t>。</w:t>
      </w:r>
    </w:p>
    <w:p w:rsidR="00426A3B" w:rsidRDefault="00816ED5" w:rsidP="00527678">
      <w:pPr>
        <w:pStyle w:val="afff1"/>
        <w:spacing w:before="360" w:after="360"/>
      </w:pPr>
      <w:r>
        <w:rPr>
          <w:rFonts w:hint="eastAsia"/>
        </w:rPr>
        <w:t>(四)</w:t>
      </w:r>
      <w:r w:rsidR="00426A3B">
        <w:t>案件進展</w:t>
      </w:r>
    </w:p>
    <w:p w:rsidR="003807A5" w:rsidRDefault="003807A5" w:rsidP="00B7222B">
      <w:pPr>
        <w:pStyle w:val="1---"/>
        <w:ind w:firstLine="480"/>
        <w:rPr>
          <w:lang w:eastAsia="zh-TW"/>
        </w:rPr>
      </w:pPr>
      <w:r w:rsidRPr="00426A3B">
        <w:t>法務部函復</w:t>
      </w:r>
      <w:r w:rsidRPr="00AC77DF">
        <w:t>「立法院已於</w:t>
      </w:r>
      <w:r w:rsidRPr="00AC77DF">
        <w:t>107</w:t>
      </w:r>
      <w:r w:rsidRPr="00AC77DF">
        <w:t>年</w:t>
      </w:r>
      <w:r w:rsidRPr="00AC77DF">
        <w:t>5</w:t>
      </w:r>
      <w:r w:rsidRPr="00AC77DF">
        <w:t>月</w:t>
      </w:r>
      <w:r w:rsidRPr="00AC77DF">
        <w:t>29</w:t>
      </w:r>
      <w:r w:rsidRPr="00AC77DF">
        <w:t>日三讀通過『觀察勒戒處分執行條例修正第</w:t>
      </w:r>
      <w:r w:rsidRPr="00AC77DF">
        <w:t>8</w:t>
      </w:r>
      <w:r w:rsidRPr="00AC77DF">
        <w:t>條』條文，總統於</w:t>
      </w:r>
      <w:r w:rsidRPr="00AC77DF">
        <w:t>107</w:t>
      </w:r>
      <w:r w:rsidRPr="00AC77DF">
        <w:t>年</w:t>
      </w:r>
      <w:r w:rsidRPr="00AC77DF">
        <w:t>6</w:t>
      </w:r>
      <w:r w:rsidRPr="00AC77DF">
        <w:t>月</w:t>
      </w:r>
      <w:r w:rsidRPr="00AC77DF">
        <w:t>13</w:t>
      </w:r>
      <w:r w:rsidRPr="00AC77DF">
        <w:t>日以總統華總一義字第</w:t>
      </w:r>
      <w:r w:rsidRPr="00AC77DF">
        <w:t>10700064041</w:t>
      </w:r>
      <w:r w:rsidRPr="00AC77DF">
        <w:t>號令公布</w:t>
      </w:r>
      <w:r w:rsidRPr="00455150">
        <w:rPr>
          <w:spacing w:val="-30"/>
        </w:rPr>
        <w:t>。</w:t>
      </w:r>
      <w:r w:rsidRPr="00AC77DF">
        <w:t>」</w:t>
      </w:r>
    </w:p>
    <w:p w:rsidR="00816ED5" w:rsidRDefault="00816ED5" w:rsidP="0046270E">
      <w:pPr>
        <w:pStyle w:val="1---"/>
        <w:spacing w:line="400" w:lineRule="exact"/>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4815"/>
      </w:tblGrid>
      <w:tr w:rsidR="00816ED5" w:rsidTr="00455150">
        <w:tc>
          <w:tcPr>
            <w:tcW w:w="4815" w:type="dxa"/>
            <w:shd w:val="clear" w:color="auto" w:fill="D9D9D9" w:themeFill="background1" w:themeFillShade="D9"/>
          </w:tcPr>
          <w:p w:rsidR="00816ED5" w:rsidRDefault="00816ED5" w:rsidP="00455150">
            <w:pPr>
              <w:pStyle w:val="11-"/>
              <w:spacing w:before="72" w:after="108"/>
              <w:rPr>
                <w:lang w:eastAsia="zh-TW"/>
              </w:rPr>
            </w:pPr>
            <w:bookmarkStart w:id="254" w:name="_Toc527731129"/>
            <w:bookmarkStart w:id="255" w:name="_Toc535228360"/>
            <w:bookmarkStart w:id="256" w:name="_Toc4058771"/>
            <w:r w:rsidRPr="00AC77DF">
              <w:t>刑後強制工作之免除處理涉有違失</w:t>
            </w:r>
            <w:bookmarkEnd w:id="254"/>
            <w:bookmarkEnd w:id="255"/>
            <w:bookmarkEnd w:id="256"/>
          </w:p>
        </w:tc>
      </w:tr>
    </w:tbl>
    <w:p w:rsidR="003807A5" w:rsidRPr="00AC77DF" w:rsidRDefault="003807A5" w:rsidP="0046270E">
      <w:pPr>
        <w:pStyle w:val="1---"/>
        <w:spacing w:line="400" w:lineRule="exact"/>
        <w:ind w:firstLine="480"/>
      </w:pPr>
    </w:p>
    <w:tbl>
      <w:tblPr>
        <w:tblW w:w="0" w:type="auto"/>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16"/>
      </w:tblGrid>
      <w:tr w:rsidR="003807A5" w:rsidRPr="00AC77DF" w:rsidTr="0046270E">
        <w:trPr>
          <w:trHeight w:val="777"/>
        </w:trPr>
        <w:tc>
          <w:tcPr>
            <w:tcW w:w="6516" w:type="dxa"/>
          </w:tcPr>
          <w:p w:rsidR="003807A5" w:rsidRPr="00AC77DF" w:rsidRDefault="003807A5" w:rsidP="00455150">
            <w:pPr>
              <w:spacing w:line="360" w:lineRule="exact"/>
              <w:jc w:val="both"/>
            </w:pPr>
            <w:r w:rsidRPr="00455150">
              <w:rPr>
                <w:b/>
                <w:spacing w:val="-2"/>
                <w:lang w:val="x-none"/>
              </w:rPr>
              <w:t>相關國際人權公約：</w:t>
            </w:r>
            <w:r w:rsidRPr="00455150">
              <w:rPr>
                <w:spacing w:val="-2"/>
              </w:rPr>
              <w:t>公民與政治權利國際公約第</w:t>
            </w:r>
            <w:r w:rsidRPr="00455150">
              <w:rPr>
                <w:spacing w:val="-2"/>
              </w:rPr>
              <w:t>9</w:t>
            </w:r>
            <w:r w:rsidRPr="00455150">
              <w:rPr>
                <w:spacing w:val="-2"/>
              </w:rPr>
              <w:t>條、第</w:t>
            </w:r>
            <w:r w:rsidRPr="00455150">
              <w:rPr>
                <w:spacing w:val="-2"/>
              </w:rPr>
              <w:t>10</w:t>
            </w:r>
            <w:r w:rsidRPr="00AC77DF">
              <w:t>條</w:t>
            </w:r>
          </w:p>
        </w:tc>
      </w:tr>
    </w:tbl>
    <w:p w:rsidR="003807A5" w:rsidRPr="00AC77DF" w:rsidRDefault="00816ED5" w:rsidP="0046270E">
      <w:pPr>
        <w:pStyle w:val="afff1"/>
        <w:spacing w:beforeLines="150" w:before="540" w:after="360"/>
      </w:pPr>
      <w:bookmarkStart w:id="257" w:name="_Toc527731130"/>
      <w:r>
        <w:rPr>
          <w:rFonts w:hint="eastAsia"/>
        </w:rPr>
        <w:t>(一)</w:t>
      </w:r>
      <w:r w:rsidR="003807A5" w:rsidRPr="00AC77DF">
        <w:t>案情簡述</w:t>
      </w:r>
      <w:bookmarkEnd w:id="257"/>
    </w:p>
    <w:p w:rsidR="003807A5" w:rsidRPr="00AC77DF" w:rsidRDefault="003807A5" w:rsidP="00B7222B">
      <w:pPr>
        <w:pStyle w:val="1---"/>
        <w:ind w:firstLine="480"/>
      </w:pPr>
      <w:r w:rsidRPr="00AC77DF">
        <w:t>據郭</w:t>
      </w:r>
      <w:r w:rsidRPr="008429DA">
        <w:rPr>
          <w:rFonts w:asciiTheme="majorEastAsia" w:eastAsiaTheme="majorEastAsia" w:hAnsiTheme="majorEastAsia"/>
        </w:rPr>
        <w:t>○○</w:t>
      </w:r>
      <w:r w:rsidRPr="00AC77DF">
        <w:t>陳訴，其刑後強制工作之免除，係由</w:t>
      </w:r>
      <w:r w:rsidRPr="0025002C">
        <w:rPr>
          <w:rFonts w:hint="eastAsia"/>
        </w:rPr>
        <w:t>臺灣宜蘭地方檢察署（簡稱宜蘭地檢署）</w:t>
      </w:r>
      <w:r w:rsidRPr="00AC77DF">
        <w:t>觀護人於</w:t>
      </w:r>
      <w:r w:rsidRPr="00AC77DF">
        <w:t>105</w:t>
      </w:r>
      <w:r w:rsidRPr="00AC77DF">
        <w:t>年</w:t>
      </w:r>
      <w:r w:rsidRPr="00AC77DF">
        <w:t>12</w:t>
      </w:r>
      <w:r w:rsidRPr="00AC77DF">
        <w:t>月</w:t>
      </w:r>
      <w:r w:rsidRPr="00AC77DF">
        <w:t>17</w:t>
      </w:r>
      <w:r w:rsidRPr="00AC77DF">
        <w:t>日提出</w:t>
      </w:r>
      <w:r w:rsidRPr="00AC77DF">
        <w:lastRenderedPageBreak/>
        <w:t>聲請，該署誤認聲請人為其本人而率予否准，既經該署查明認其情況已符合免除強制工作之情形，並另函建請臺北地檢署參酌。臺北地檢署乃函請高檢署審核陳訴人是否合於聲請法院免除其強制工作之執行在案，高檢署對本案相關卷證似未詳查，仍予否准，案經監察委員立案調查。</w:t>
      </w:r>
    </w:p>
    <w:p w:rsidR="003807A5" w:rsidRPr="00AC77DF" w:rsidRDefault="00816ED5" w:rsidP="00527678">
      <w:pPr>
        <w:pStyle w:val="afff1"/>
        <w:spacing w:before="360" w:after="360"/>
      </w:pPr>
      <w:bookmarkStart w:id="258" w:name="_Toc527731131"/>
      <w:r>
        <w:rPr>
          <w:rFonts w:hint="eastAsia"/>
        </w:rPr>
        <w:t>(二)</w:t>
      </w:r>
      <w:r w:rsidR="003807A5" w:rsidRPr="00AC77DF">
        <w:t>監察院調查發現與建議</w:t>
      </w:r>
      <w:bookmarkEnd w:id="258"/>
    </w:p>
    <w:p w:rsidR="003807A5" w:rsidRPr="00AC77DF" w:rsidRDefault="00FD29F8" w:rsidP="00D92DAE">
      <w:pPr>
        <w:pStyle w:val="1--13"/>
        <w:spacing w:before="180" w:after="180"/>
      </w:pPr>
      <w:r w:rsidRPr="008E1832">
        <w:rPr>
          <w:rFonts w:hint="eastAsia"/>
        </w:rPr>
        <w:t>˙</w:t>
      </w:r>
      <w:r w:rsidR="003807A5" w:rsidRPr="00AC77DF">
        <w:t>未審酌相關事由</w:t>
      </w:r>
    </w:p>
    <w:p w:rsidR="003807A5" w:rsidRPr="00AC77DF" w:rsidRDefault="003807A5" w:rsidP="000E15FB">
      <w:pPr>
        <w:pStyle w:val="1---"/>
        <w:ind w:firstLine="480"/>
      </w:pPr>
      <w:r w:rsidRPr="00AC77DF">
        <w:t>本案陳訴人郭</w:t>
      </w:r>
      <w:r w:rsidRPr="008429DA">
        <w:rPr>
          <w:rFonts w:asciiTheme="majorEastAsia" w:eastAsiaTheme="majorEastAsia" w:hAnsiTheme="majorEastAsia"/>
        </w:rPr>
        <w:t>○○</w:t>
      </w:r>
      <w:r w:rsidRPr="00AC77DF">
        <w:t>於</w:t>
      </w:r>
      <w:r w:rsidRPr="00AC77DF">
        <w:t>105</w:t>
      </w:r>
      <w:r w:rsidRPr="00AC77DF">
        <w:t>年</w:t>
      </w:r>
      <w:r w:rsidRPr="00AC77DF">
        <w:t>12</w:t>
      </w:r>
      <w:r w:rsidRPr="00AC77DF">
        <w:t>月</w:t>
      </w:r>
      <w:r w:rsidRPr="00AC77DF">
        <w:t>6</w:t>
      </w:r>
      <w:r w:rsidRPr="00AC77DF">
        <w:t>日具狀向宜蘭地檢署陳明其有正當工作等事由，請求免除強制工作。該署檢察官不具</w:t>
      </w:r>
      <w:r w:rsidRPr="000E15FB">
        <w:rPr>
          <w:spacing w:val="-2"/>
        </w:rPr>
        <w:t>實質審核與駁回權限，卻逕以</w:t>
      </w:r>
      <w:r w:rsidRPr="000E15FB">
        <w:rPr>
          <w:spacing w:val="-2"/>
        </w:rPr>
        <w:t>105</w:t>
      </w:r>
      <w:r w:rsidRPr="000E15FB">
        <w:rPr>
          <w:spacing w:val="-2"/>
        </w:rPr>
        <w:t>年</w:t>
      </w:r>
      <w:r w:rsidRPr="000E15FB">
        <w:rPr>
          <w:spacing w:val="-2"/>
        </w:rPr>
        <w:t>12</w:t>
      </w:r>
      <w:r w:rsidRPr="000E15FB">
        <w:rPr>
          <w:spacing w:val="-2"/>
        </w:rPr>
        <w:t>月</w:t>
      </w:r>
      <w:r w:rsidRPr="000E15FB">
        <w:rPr>
          <w:spacing w:val="-2"/>
        </w:rPr>
        <w:t>21</w:t>
      </w:r>
      <w:r w:rsidRPr="000E15FB">
        <w:rPr>
          <w:spacing w:val="-2"/>
        </w:rPr>
        <w:t>日宜檢定正</w:t>
      </w:r>
      <w:r w:rsidRPr="000E15FB">
        <w:rPr>
          <w:spacing w:val="-2"/>
        </w:rPr>
        <w:t>105</w:t>
      </w:r>
      <w:r w:rsidRPr="000E15FB">
        <w:rPr>
          <w:spacing w:val="-2"/>
        </w:rPr>
        <w:t>執</w:t>
      </w:r>
      <w:r w:rsidRPr="00AC77DF">
        <w:t>更護</w:t>
      </w:r>
      <w:r w:rsidRPr="00AC77DF">
        <w:t>31</w:t>
      </w:r>
      <w:r w:rsidRPr="00AC77DF">
        <w:t>字第</w:t>
      </w:r>
      <w:r w:rsidRPr="00AC77DF">
        <w:t>024747</w:t>
      </w:r>
      <w:r w:rsidRPr="00AC77DF">
        <w:t>號函駁回陳訴人免除刑後強制工作請求。</w:t>
      </w:r>
    </w:p>
    <w:p w:rsidR="003807A5" w:rsidRPr="00AC77DF" w:rsidRDefault="003807A5" w:rsidP="00B7222B">
      <w:pPr>
        <w:pStyle w:val="1---"/>
        <w:ind w:firstLine="480"/>
        <w:rPr>
          <w:lang w:eastAsia="zh-TW"/>
        </w:rPr>
      </w:pPr>
      <w:r w:rsidRPr="00AC77DF">
        <w:t>本案應適用當時有效之組織犯罪防制條例第</w:t>
      </w:r>
      <w:r w:rsidRPr="00AC77DF">
        <w:t>3</w:t>
      </w:r>
      <w:r w:rsidRPr="00AC77DF">
        <w:t>條第</w:t>
      </w:r>
      <w:r w:rsidRPr="00AC77DF">
        <w:t>4</w:t>
      </w:r>
      <w:r w:rsidRPr="00AC77DF">
        <w:t>項，由高檢署檢察官決定是否於陳訴人刑之執行完畢後向法院提出聲請。惟宜蘭地檢署及高檢署認為陳訴人請求刑後強制工作之免除，應於執行強制工作</w:t>
      </w:r>
      <w:r w:rsidRPr="00AC77DF">
        <w:t>1</w:t>
      </w:r>
      <w:r w:rsidRPr="00AC77DF">
        <w:t>年</w:t>
      </w:r>
      <w:r w:rsidRPr="00AC77DF">
        <w:t>6</w:t>
      </w:r>
      <w:r w:rsidRPr="00AC77DF">
        <w:t>個月之後為之，顯係將組織犯罪防制條例第</w:t>
      </w:r>
      <w:r w:rsidRPr="00AC77DF">
        <w:t>3</w:t>
      </w:r>
      <w:r w:rsidRPr="00AC77DF">
        <w:t>條第</w:t>
      </w:r>
      <w:r w:rsidRPr="00AC77DF">
        <w:t>4</w:t>
      </w:r>
      <w:r w:rsidRPr="00AC77DF">
        <w:t>項之「免其執行</w:t>
      </w:r>
      <w:r w:rsidRPr="000E15FB">
        <w:rPr>
          <w:spacing w:val="-30"/>
        </w:rPr>
        <w:t>」</w:t>
      </w:r>
      <w:r w:rsidRPr="00AC77DF">
        <w:t>，誤解為同條第</w:t>
      </w:r>
      <w:r w:rsidRPr="00AC77DF">
        <w:t>5</w:t>
      </w:r>
      <w:r w:rsidRPr="00AC77DF">
        <w:t>項之「免予繼續執行</w:t>
      </w:r>
      <w:r w:rsidRPr="000E15FB">
        <w:rPr>
          <w:spacing w:val="-30"/>
        </w:rPr>
        <w:t>」</w:t>
      </w:r>
      <w:r w:rsidRPr="00AC77DF">
        <w:t>。且上開檢察署均引用臺灣高等法院</w:t>
      </w:r>
      <w:r w:rsidRPr="00AC77DF">
        <w:t>104</w:t>
      </w:r>
      <w:r w:rsidRPr="00AC77DF">
        <w:t>年度聲字第</w:t>
      </w:r>
      <w:r w:rsidRPr="00AC77DF">
        <w:t>1632</w:t>
      </w:r>
      <w:r w:rsidRPr="00AC77DF">
        <w:t>號裁定意旨，將主文宣告及援引法令完全不同之個案見解，引為本案駁回陳訴人請求之依據，引用失當。</w:t>
      </w:r>
    </w:p>
    <w:p w:rsidR="003807A5" w:rsidRPr="00AC77DF" w:rsidRDefault="00FD29F8" w:rsidP="00D92DAE">
      <w:pPr>
        <w:pStyle w:val="1--13"/>
        <w:spacing w:before="180" w:after="180"/>
      </w:pPr>
      <w:r w:rsidRPr="008E1832">
        <w:rPr>
          <w:rFonts w:hint="eastAsia"/>
        </w:rPr>
        <w:t>˙</w:t>
      </w:r>
      <w:r w:rsidR="003807A5" w:rsidRPr="00AC77DF">
        <w:t>未實質審核有利事項</w:t>
      </w:r>
    </w:p>
    <w:p w:rsidR="003807A5" w:rsidRPr="00AC77DF" w:rsidRDefault="003807A5" w:rsidP="00B7222B">
      <w:pPr>
        <w:pStyle w:val="1---"/>
        <w:ind w:firstLine="480"/>
      </w:pPr>
      <w:r w:rsidRPr="00AC77DF">
        <w:t>宜蘭地檢署及高檢署既認陳訴人刑後強制工作之免除，須</w:t>
      </w:r>
      <w:r w:rsidRPr="00AC77DF">
        <w:lastRenderedPageBreak/>
        <w:t>於強制工作執行已滿</w:t>
      </w:r>
      <w:r w:rsidRPr="00AC77DF">
        <w:t>1</w:t>
      </w:r>
      <w:r w:rsidRPr="00AC77DF">
        <w:t>年</w:t>
      </w:r>
      <w:r w:rsidRPr="00AC77DF">
        <w:t>6</w:t>
      </w:r>
      <w:r w:rsidRPr="00AC77DF">
        <w:t>個月之後始得為之，陳訴人之請求條件完全不符，則該二機關屢屢要求陳訴人提出事證，證明其</w:t>
      </w:r>
      <w:r w:rsidRPr="000E15FB">
        <w:rPr>
          <w:spacing w:val="-2"/>
        </w:rPr>
        <w:t>業已悛悔，核屬違反論理法則，不但前後矛盾，且有擾民之虞。</w:t>
      </w:r>
    </w:p>
    <w:p w:rsidR="003807A5" w:rsidRPr="00AC77DF" w:rsidRDefault="003807A5" w:rsidP="00B7222B">
      <w:pPr>
        <w:pStyle w:val="1---"/>
        <w:ind w:firstLine="480"/>
      </w:pPr>
      <w:r w:rsidRPr="00AC77DF">
        <w:t>高檢署為本案犯罪事實最後裁判之法院相對應之檢察署，應就陳訴人請求免除刑後強制工作進行實質審酌，詎其未實質審酌陳訴人有利事項，逕以臺北地檢署檢察官並未就是否符合「已無強制工作之必要等法定要件」表示意見為其否准之論據，否准之處分亦未函復陳訴人，且未載明陳訴人得為如何救濟之教示。</w:t>
      </w:r>
    </w:p>
    <w:p w:rsidR="003807A5" w:rsidRPr="00AC77DF" w:rsidRDefault="003807A5" w:rsidP="00B7222B">
      <w:pPr>
        <w:pStyle w:val="1---"/>
        <w:ind w:firstLine="480"/>
      </w:pPr>
      <w:r w:rsidRPr="00AC77DF">
        <w:t>聲請法院免除刑後強制工作之執行，係屬檢察官職權，惟倘當事人向受囑託執行檢察署提出請求，受囑託執行檢察署應如何辦理、應否對免除強制工作表示意見，及本案高檢署既為實質審核機關，卻未函復陳訴人且未教示陳訴人得聲明異議等節，均</w:t>
      </w:r>
      <w:r w:rsidR="004D0068">
        <w:t>顯示</w:t>
      </w:r>
      <w:r w:rsidRPr="00AC77DF">
        <w:t>免除強制工作相關細節仍未明確，致使相關檢察署莫衷一是，當事人無所適從。</w:t>
      </w:r>
    </w:p>
    <w:p w:rsidR="003807A5" w:rsidRPr="00AC77DF" w:rsidRDefault="003807A5" w:rsidP="00B7222B">
      <w:pPr>
        <w:pStyle w:val="1---"/>
        <w:ind w:firstLine="480"/>
      </w:pPr>
      <w:r w:rsidRPr="00AC77DF">
        <w:t>依據本案調查意見</w:t>
      </w:r>
      <w:r w:rsidRPr="00AC77DF">
        <w:rPr>
          <w:rStyle w:val="aff2"/>
          <w:color w:val="000000" w:themeColor="text1"/>
        </w:rPr>
        <w:footnoteReference w:id="76"/>
      </w:r>
      <w:r w:rsidRPr="00AC77DF">
        <w:t>，監察院函請法務部確實檢討改進見復。</w:t>
      </w:r>
    </w:p>
    <w:p w:rsidR="003807A5" w:rsidRPr="00AC77DF" w:rsidRDefault="00816ED5" w:rsidP="00527678">
      <w:pPr>
        <w:pStyle w:val="afff1"/>
        <w:spacing w:before="360" w:after="360"/>
      </w:pPr>
      <w:bookmarkStart w:id="259" w:name="_Toc527731132"/>
      <w:r>
        <w:rPr>
          <w:rFonts w:hint="eastAsia"/>
        </w:rPr>
        <w:t>(三)</w:t>
      </w:r>
      <w:r w:rsidR="003807A5" w:rsidRPr="00AC77DF">
        <w:t>政府機關改善情形</w:t>
      </w:r>
      <w:bookmarkEnd w:id="259"/>
    </w:p>
    <w:p w:rsidR="003807A5" w:rsidRPr="00AC77DF" w:rsidRDefault="003807A5" w:rsidP="00243780">
      <w:pPr>
        <w:pStyle w:val="1----"/>
        <w:ind w:left="600" w:hanging="360"/>
      </w:pPr>
      <w:r w:rsidRPr="00AC77DF">
        <w:t>1</w:t>
      </w:r>
      <w:r w:rsidRPr="00AC77DF">
        <w:t>、宜蘭地檢署表示</w:t>
      </w:r>
      <w:r w:rsidRPr="000E15FB">
        <w:rPr>
          <w:spacing w:val="-30"/>
        </w:rPr>
        <w:t>：</w:t>
      </w:r>
      <w:r w:rsidRPr="00AC77DF">
        <w:t>（</w:t>
      </w:r>
      <w:r w:rsidRPr="00AC77DF">
        <w:t>1</w:t>
      </w:r>
      <w:r w:rsidRPr="00AC77DF">
        <w:t>）檢察官僅係本於其法律上之確信告知陳訴人其請求於法似有未合，而該署函復陳訴人之請求後，仍依法將陳訴人請求書狀等相關資料轉與囑託機關</w:t>
      </w:r>
      <w:r w:rsidRPr="00AC77DF">
        <w:lastRenderedPageBreak/>
        <w:t>臺北地檢署</w:t>
      </w:r>
      <w:r w:rsidR="00460CA8">
        <w:t>處理，亦未檢附法律上之意見。上開處理方式</w:t>
      </w:r>
      <w:r w:rsidR="00460CA8">
        <w:rPr>
          <w:rFonts w:hint="eastAsia"/>
        </w:rPr>
        <w:t>易</w:t>
      </w:r>
      <w:r w:rsidRPr="00AC77DF">
        <w:t>引起陳訴人之誤解，爾後對於類此聲請，將直接轉囑託機關依法處理</w:t>
      </w:r>
      <w:r w:rsidRPr="000E15FB">
        <w:rPr>
          <w:spacing w:val="-30"/>
        </w:rPr>
        <w:t>。</w:t>
      </w:r>
      <w:r w:rsidRPr="00AC77DF">
        <w:t>（</w:t>
      </w:r>
      <w:r w:rsidRPr="00AC77DF">
        <w:t>2</w:t>
      </w:r>
      <w:r w:rsidRPr="00AC77DF">
        <w:t>）該署於函復駁回陳訴人之免除強制工作聲請時，將組織犯罪防制條例第</w:t>
      </w:r>
      <w:r w:rsidRPr="00AC77DF">
        <w:t>3</w:t>
      </w:r>
      <w:r w:rsidRPr="00AC77DF">
        <w:t>條第</w:t>
      </w:r>
      <w:r w:rsidRPr="00AC77DF">
        <w:t>4</w:t>
      </w:r>
      <w:r w:rsidRPr="00AC77DF">
        <w:t>項之「免其執行」誤解為同條第</w:t>
      </w:r>
      <w:r w:rsidRPr="00AC77DF">
        <w:t>5</w:t>
      </w:r>
      <w:r w:rsidRPr="00AC77DF">
        <w:t>項「免予繼續執行」部分，涉及法律見解之判斷，高檢署原認同宜蘭地檢署之見解，惟臺灣高等法院以</w:t>
      </w:r>
      <w:r w:rsidRPr="00AC77DF">
        <w:t>106</w:t>
      </w:r>
      <w:r w:rsidRPr="00AC77DF">
        <w:t>年度聲更（一）字第</w:t>
      </w:r>
      <w:r w:rsidRPr="00AC77DF">
        <w:t>6</w:t>
      </w:r>
      <w:r w:rsidRPr="00AC77DF">
        <w:t>號裁定撤銷臺北地檢署檢察官之執行指揮命令後，臺北地檢署認陳情人之刑後強制工作已無執行之必要，而於</w:t>
      </w:r>
      <w:r w:rsidRPr="00AC77DF">
        <w:t>106</w:t>
      </w:r>
      <w:r w:rsidRPr="00AC77DF">
        <w:t>年</w:t>
      </w:r>
      <w:r w:rsidRPr="00AC77DF">
        <w:t>11</w:t>
      </w:r>
      <w:r w:rsidRPr="00AC77DF">
        <w:t>月</w:t>
      </w:r>
      <w:r w:rsidRPr="00AC77DF">
        <w:t>9</w:t>
      </w:r>
      <w:r w:rsidRPr="00AC77DF">
        <w:t>日陳請高檢署審核，高檢署旋向</w:t>
      </w:r>
      <w:r w:rsidR="006A17F0" w:rsidRPr="00AC77DF">
        <w:t>臺灣高等法院</w:t>
      </w:r>
      <w:r w:rsidRPr="00AC77DF">
        <w:t>提出聲請，</w:t>
      </w:r>
      <w:r w:rsidR="006A17F0" w:rsidRPr="00AC77DF">
        <w:t>臺灣高等法院</w:t>
      </w:r>
      <w:r w:rsidRPr="00AC77DF">
        <w:t>以</w:t>
      </w:r>
      <w:r w:rsidRPr="00AC77DF">
        <w:t>106</w:t>
      </w:r>
      <w:r w:rsidRPr="00AC77DF">
        <w:t>年度聲字第</w:t>
      </w:r>
      <w:r w:rsidRPr="00AC77DF">
        <w:t>3428</w:t>
      </w:r>
      <w:r w:rsidRPr="00AC77DF">
        <w:t>號裁定准予免予執行。</w:t>
      </w:r>
    </w:p>
    <w:p w:rsidR="003807A5" w:rsidRPr="00AC77DF" w:rsidRDefault="003807A5" w:rsidP="00243780">
      <w:pPr>
        <w:pStyle w:val="1----"/>
        <w:ind w:left="600" w:hanging="360"/>
      </w:pPr>
      <w:r w:rsidRPr="00AC77DF">
        <w:t>2</w:t>
      </w:r>
      <w:r w:rsidRPr="00AC77DF">
        <w:t>、陳訴人所犯組織犯罪防制條例案件，最後事實審法院為</w:t>
      </w:r>
      <w:r w:rsidR="006A17F0" w:rsidRPr="00AC77DF">
        <w:t>臺灣高等法院</w:t>
      </w:r>
      <w:r w:rsidRPr="00AC77DF">
        <w:t>，應由高檢署檢察官提出聲請。又依法務部</w:t>
      </w:r>
      <w:r w:rsidRPr="00AC77DF">
        <w:t>79</w:t>
      </w:r>
      <w:r w:rsidRPr="00AC77DF">
        <w:t>年</w:t>
      </w:r>
      <w:r w:rsidRPr="00AC77DF">
        <w:t>8</w:t>
      </w:r>
      <w:r w:rsidRPr="00AC77DF">
        <w:t>月</w:t>
      </w:r>
      <w:r w:rsidRPr="00AC77DF">
        <w:t>22</w:t>
      </w:r>
      <w:r w:rsidRPr="00AC77DF">
        <w:t>日（</w:t>
      </w:r>
      <w:r w:rsidRPr="00AC77DF">
        <w:t>79</w:t>
      </w:r>
      <w:r w:rsidRPr="00AC77DF">
        <w:t>）法監字第</w:t>
      </w:r>
      <w:r w:rsidRPr="00AC77DF">
        <w:t>12318</w:t>
      </w:r>
      <w:r w:rsidRPr="00AC77DF">
        <w:t>號函「</w:t>
      </w:r>
      <w:r w:rsidRPr="000E15FB">
        <w:rPr>
          <w:rFonts w:asciiTheme="majorEastAsia" w:eastAsiaTheme="majorEastAsia" w:hAnsiTheme="majorEastAsia"/>
        </w:rPr>
        <w:t>……</w:t>
      </w:r>
      <w:r w:rsidRPr="00AC77DF">
        <w:t>將有關受刑人保護管束之考核資料併同其在監執行期間之考核資料，函送原指揮執行徒刑之檢察署檢察官，供其參酌是否聲請法院免除強制工作之執行」，須由執行檢察官提出受刑人保護管束之考核資料併同其在監執行期間之考核資料等，供高檢署檢察官參酌是否聲請法院免除強制工作之執行。本案因宜蘭地檢署前已函復陳訴人之免除強制工作聲請，且臺北地檢署未再就陳訴人是否符合「已無強制工作之必要等法定要件」表示意見，高檢署原認同宜蘭地檢署之見解，而不予准許。惟</w:t>
      </w:r>
      <w:r w:rsidR="006A17F0" w:rsidRPr="00AC77DF">
        <w:t>臺灣高等法院</w:t>
      </w:r>
      <w:r w:rsidRPr="00AC77DF">
        <w:t>撤銷臺北地檢署檢察官之執行指揮命令後，已即時向</w:t>
      </w:r>
      <w:r w:rsidR="006A17F0" w:rsidRPr="00AC77DF">
        <w:t>臺灣高等法院</w:t>
      </w:r>
      <w:r w:rsidRPr="00AC77DF">
        <w:t>聲請免除陳訴人強制工作之執行，並經該院裁定准予免予執行。至</w:t>
      </w:r>
      <w:r w:rsidRPr="00AC77DF">
        <w:lastRenderedPageBreak/>
        <w:t>高檢署未函復陳訴人部分，日後當注意將准駁情形函知受刑人，若駁回則應敘明得向法院聲明異議。</w:t>
      </w:r>
    </w:p>
    <w:p w:rsidR="003807A5" w:rsidRPr="00AC77DF" w:rsidRDefault="003807A5" w:rsidP="00243780">
      <w:pPr>
        <w:pStyle w:val="1----"/>
        <w:ind w:left="600" w:hanging="360"/>
      </w:pPr>
      <w:r w:rsidRPr="00AC77DF">
        <w:t>3</w:t>
      </w:r>
      <w:r w:rsidRPr="00AC77DF">
        <w:t>、法務部已就免除刑後強制工作流程作成流程圖，並分為（</w:t>
      </w:r>
      <w:r w:rsidRPr="00AC77DF">
        <w:t>1</w:t>
      </w:r>
      <w:r w:rsidRPr="00AC77DF">
        <w:t>）受處分人聲請免除及（</w:t>
      </w:r>
      <w:r w:rsidRPr="00AC77DF">
        <w:t>2</w:t>
      </w:r>
      <w:r w:rsidRPr="00AC77DF">
        <w:t>）執行保護管束觀護人簽請免除，俾供各檢察署及受刑人遵循辦理。</w:t>
      </w:r>
    </w:p>
    <w:p w:rsidR="003807A5" w:rsidRPr="00AC77DF" w:rsidRDefault="00816ED5" w:rsidP="00527678">
      <w:pPr>
        <w:pStyle w:val="afff1"/>
        <w:spacing w:before="360" w:after="360"/>
      </w:pPr>
      <w:bookmarkStart w:id="260" w:name="_Toc527731133"/>
      <w:r>
        <w:rPr>
          <w:rFonts w:hint="eastAsia"/>
        </w:rPr>
        <w:t>(四)</w:t>
      </w:r>
      <w:r w:rsidR="003807A5" w:rsidRPr="00AC77DF">
        <w:t>案件進展</w:t>
      </w:r>
      <w:bookmarkEnd w:id="260"/>
    </w:p>
    <w:p w:rsidR="003807A5" w:rsidRDefault="003807A5" w:rsidP="00B7222B">
      <w:pPr>
        <w:pStyle w:val="1---"/>
        <w:ind w:firstLine="480"/>
        <w:rPr>
          <w:lang w:eastAsia="zh-TW"/>
        </w:rPr>
      </w:pPr>
      <w:r w:rsidRPr="00AC77DF">
        <w:t>本案</w:t>
      </w:r>
      <w:r w:rsidR="00885631">
        <w:rPr>
          <w:rFonts w:hint="eastAsia"/>
        </w:rPr>
        <w:t>已結案</w:t>
      </w:r>
      <w:r w:rsidRPr="00AC77DF">
        <w:t>。</w:t>
      </w:r>
    </w:p>
    <w:p w:rsidR="000E15FB" w:rsidRPr="00AC77DF" w:rsidRDefault="000E15FB" w:rsidP="00B7222B">
      <w:pPr>
        <w:pStyle w:val="1---"/>
        <w:ind w:firstLine="480"/>
        <w:rPr>
          <w:lang w:eastAsia="zh-TW"/>
        </w:rPr>
      </w:pPr>
    </w:p>
    <w:p w:rsidR="003807A5" w:rsidRPr="000E15FB" w:rsidRDefault="003807A5" w:rsidP="000E15FB">
      <w:pPr>
        <w:pStyle w:val="11-"/>
        <w:spacing w:before="72" w:after="108"/>
        <w:rPr>
          <w:sz w:val="32"/>
          <w:szCs w:val="32"/>
          <w:lang w:eastAsia="zh-TW"/>
        </w:rPr>
      </w:pPr>
      <w:bookmarkStart w:id="261" w:name="_Toc535228361"/>
      <w:bookmarkStart w:id="262" w:name="_Toc4058772"/>
      <w:bookmarkStart w:id="263" w:name="_Toc527731105"/>
      <w:r w:rsidRPr="000E15FB">
        <w:rPr>
          <w:sz w:val="32"/>
          <w:szCs w:val="32"/>
        </w:rPr>
        <w:t>五、其他司法爭議</w:t>
      </w:r>
      <w:bookmarkEnd w:id="261"/>
      <w:bookmarkEnd w:id="262"/>
    </w:p>
    <w:p w:rsidR="00816ED5" w:rsidRDefault="00816ED5" w:rsidP="00816ED5">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4531"/>
      </w:tblGrid>
      <w:tr w:rsidR="00816ED5" w:rsidTr="000E15FB">
        <w:tc>
          <w:tcPr>
            <w:tcW w:w="4531" w:type="dxa"/>
            <w:shd w:val="clear" w:color="auto" w:fill="D9D9D9" w:themeFill="background1" w:themeFillShade="D9"/>
          </w:tcPr>
          <w:p w:rsidR="00816ED5" w:rsidRDefault="00816ED5" w:rsidP="000E15FB">
            <w:pPr>
              <w:pStyle w:val="11-"/>
              <w:spacing w:before="72" w:after="108"/>
              <w:rPr>
                <w:lang w:eastAsia="zh-TW"/>
              </w:rPr>
            </w:pPr>
            <w:bookmarkStart w:id="264" w:name="_Toc535228362"/>
            <w:bookmarkStart w:id="265" w:name="_Toc4058773"/>
            <w:r w:rsidRPr="00AC77DF">
              <w:t>大法官意見書公布後之更正程序</w:t>
            </w:r>
            <w:bookmarkEnd w:id="264"/>
            <w:bookmarkEnd w:id="265"/>
          </w:p>
        </w:tc>
      </w:tr>
      <w:bookmarkEnd w:id="263"/>
    </w:tbl>
    <w:p w:rsidR="003807A5" w:rsidRPr="00AC77DF" w:rsidRDefault="003807A5" w:rsidP="00816ED5">
      <w:pPr>
        <w:pStyle w:val="1---"/>
        <w:ind w:firstLine="480"/>
      </w:pPr>
    </w:p>
    <w:tbl>
      <w:tblPr>
        <w:tblW w:w="0" w:type="auto"/>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16"/>
      </w:tblGrid>
      <w:tr w:rsidR="003807A5" w:rsidRPr="00AC77DF" w:rsidTr="00B46F0D">
        <w:trPr>
          <w:trHeight w:val="469"/>
        </w:trPr>
        <w:tc>
          <w:tcPr>
            <w:tcW w:w="6516" w:type="dxa"/>
          </w:tcPr>
          <w:p w:rsidR="003807A5" w:rsidRPr="00AC77DF" w:rsidRDefault="003807A5" w:rsidP="000E15FB">
            <w:pPr>
              <w:spacing w:line="360" w:lineRule="exact"/>
              <w:rPr>
                <w:lang w:val="x-none"/>
              </w:rPr>
            </w:pPr>
            <w:r w:rsidRPr="00AC77DF">
              <w:rPr>
                <w:b/>
                <w:lang w:val="x-none"/>
              </w:rPr>
              <w:t>相關國際人權公約：</w:t>
            </w:r>
            <w:r w:rsidRPr="00AC77DF">
              <w:t>公民與政治權利國際公約第</w:t>
            </w:r>
            <w:r w:rsidRPr="00AC77DF">
              <w:t>14</w:t>
            </w:r>
            <w:r w:rsidRPr="00AC77DF">
              <w:t>條</w:t>
            </w:r>
          </w:p>
        </w:tc>
      </w:tr>
    </w:tbl>
    <w:p w:rsidR="003807A5" w:rsidRPr="00AC77DF" w:rsidRDefault="00816ED5" w:rsidP="00527678">
      <w:pPr>
        <w:pStyle w:val="afff1"/>
        <w:spacing w:before="360" w:after="360"/>
        <w:rPr>
          <w:sz w:val="36"/>
        </w:rPr>
      </w:pPr>
      <w:bookmarkStart w:id="266" w:name="_Toc527731106"/>
      <w:r>
        <w:rPr>
          <w:rFonts w:hint="eastAsia"/>
        </w:rPr>
        <w:t>(一)</w:t>
      </w:r>
      <w:r w:rsidR="003807A5" w:rsidRPr="00AC77DF">
        <w:t>案情簡述</w:t>
      </w:r>
      <w:bookmarkEnd w:id="266"/>
    </w:p>
    <w:p w:rsidR="003807A5" w:rsidRDefault="003807A5" w:rsidP="00B7222B">
      <w:pPr>
        <w:pStyle w:val="1---"/>
        <w:ind w:firstLine="480"/>
        <w:rPr>
          <w:lang w:eastAsia="zh-TW"/>
        </w:rPr>
      </w:pPr>
      <w:r w:rsidRPr="00AC77DF">
        <w:t>司法院公布釋字第</w:t>
      </w:r>
      <w:r w:rsidRPr="00AC77DF">
        <w:t>732</w:t>
      </w:r>
      <w:r w:rsidRPr="00AC77DF">
        <w:t>號解釋後，部分大法官逕行更換意見書並變更大法官外網資訊內容，相關更正程序及要件是否合法</w:t>
      </w:r>
      <w:r w:rsidR="005149E7">
        <w:t>？</w:t>
      </w:r>
      <w:r w:rsidRPr="00AC77DF">
        <w:t>監察委員</w:t>
      </w:r>
      <w:r w:rsidR="005149E7">
        <w:rPr>
          <w:rFonts w:hint="eastAsia"/>
        </w:rPr>
        <w:t>認有瞭解之必要，爰</w:t>
      </w:r>
      <w:r w:rsidRPr="00AC77DF">
        <w:t>立案調查。</w:t>
      </w:r>
    </w:p>
    <w:p w:rsidR="000E15FB" w:rsidRDefault="000E15FB" w:rsidP="00B7222B">
      <w:pPr>
        <w:pStyle w:val="1---"/>
        <w:ind w:firstLine="480"/>
        <w:rPr>
          <w:lang w:eastAsia="zh-TW"/>
        </w:rPr>
      </w:pPr>
    </w:p>
    <w:p w:rsidR="000E15FB" w:rsidRPr="00AC77DF" w:rsidRDefault="000E15FB" w:rsidP="00B7222B">
      <w:pPr>
        <w:pStyle w:val="1---"/>
        <w:ind w:firstLine="480"/>
        <w:rPr>
          <w:lang w:eastAsia="zh-TW"/>
        </w:rPr>
      </w:pPr>
    </w:p>
    <w:p w:rsidR="003807A5" w:rsidRPr="00AC77DF" w:rsidRDefault="00816ED5" w:rsidP="00527678">
      <w:pPr>
        <w:pStyle w:val="afff1"/>
        <w:spacing w:before="360" w:after="360"/>
      </w:pPr>
      <w:bookmarkStart w:id="267" w:name="_Toc527731107"/>
      <w:r>
        <w:rPr>
          <w:rFonts w:hint="eastAsia"/>
        </w:rPr>
        <w:lastRenderedPageBreak/>
        <w:t>(二)</w:t>
      </w:r>
      <w:r w:rsidR="003807A5" w:rsidRPr="00AC77DF">
        <w:t>監察院調查發現與建議</w:t>
      </w:r>
      <w:bookmarkEnd w:id="267"/>
    </w:p>
    <w:p w:rsidR="003807A5" w:rsidRPr="00AC77DF" w:rsidRDefault="00FD29F8" w:rsidP="00D92DAE">
      <w:pPr>
        <w:pStyle w:val="1--13"/>
        <w:spacing w:before="180" w:after="180"/>
      </w:pPr>
      <w:r w:rsidRPr="008E1832">
        <w:rPr>
          <w:rFonts w:hint="eastAsia"/>
        </w:rPr>
        <w:t>˙</w:t>
      </w:r>
      <w:r w:rsidR="003807A5" w:rsidRPr="00AC77DF">
        <w:t>協同或不同意見書無法律拘束力</w:t>
      </w:r>
    </w:p>
    <w:p w:rsidR="003807A5" w:rsidRPr="00AC77DF" w:rsidRDefault="003807A5" w:rsidP="00B7222B">
      <w:pPr>
        <w:pStyle w:val="1---"/>
        <w:ind w:firstLine="480"/>
        <w:rPr>
          <w:lang w:eastAsia="zh-TW"/>
        </w:rPr>
      </w:pPr>
      <w:r w:rsidRPr="00AC77DF">
        <w:t>大法官依司法院大法官審理案件法第</w:t>
      </w:r>
      <w:r w:rsidRPr="00AC77DF">
        <w:t>17</w:t>
      </w:r>
      <w:r w:rsidRPr="00AC77DF">
        <w:t>條第</w:t>
      </w:r>
      <w:r w:rsidRPr="00AC77DF">
        <w:t>1</w:t>
      </w:r>
      <w:r w:rsidRPr="00AC77DF">
        <w:t>項等規定，就司法院解釋案件提出協同或不同意見書固係對解釋內容表達其法律意見，並無法律上之拘束力。然大法官意見書既與解釋文及解釋理由一併公布，且細繹大法官之意見書可資正確理解該號解釋文及解釋理由之真意，仍有事實上效力並具一定之公信力。然司法院對大法官意見書公布後之更正程序、要件、期間、公告更正內容及通知當事人等程序事項，尚乏相關規定，宜予審慎研議，以杜爭議。</w:t>
      </w:r>
    </w:p>
    <w:p w:rsidR="003807A5" w:rsidRPr="00AC77DF" w:rsidRDefault="00FD29F8" w:rsidP="00D92DAE">
      <w:pPr>
        <w:pStyle w:val="1--13"/>
        <w:spacing w:before="180" w:after="180"/>
      </w:pPr>
      <w:r w:rsidRPr="008E1832">
        <w:rPr>
          <w:rFonts w:hint="eastAsia"/>
        </w:rPr>
        <w:t>˙</w:t>
      </w:r>
      <w:r w:rsidR="003807A5" w:rsidRPr="00AC77DF">
        <w:t>解釋文議決公布時間不予拖延</w:t>
      </w:r>
    </w:p>
    <w:p w:rsidR="003807A5" w:rsidRPr="00AC77DF" w:rsidRDefault="003807A5" w:rsidP="00B7222B">
      <w:pPr>
        <w:pStyle w:val="1---"/>
        <w:ind w:firstLine="480"/>
      </w:pPr>
      <w:r w:rsidRPr="00AC77DF">
        <w:t>司法院大法官審理案件法施行細則第</w:t>
      </w:r>
      <w:r w:rsidRPr="00AC77DF">
        <w:t>18</w:t>
      </w:r>
      <w:r w:rsidRPr="00AC77DF">
        <w:t>條第</w:t>
      </w:r>
      <w:r w:rsidRPr="00AC77DF">
        <w:t>3</w:t>
      </w:r>
      <w:r w:rsidRPr="00AC77DF">
        <w:t>項規定大法官應於大法官全體審查會議通過解釋文及解釋理由書草案後</w:t>
      </w:r>
      <w:r w:rsidRPr="00AC77DF">
        <w:t>5</w:t>
      </w:r>
      <w:r w:rsidRPr="00AC77DF">
        <w:t>日內提出協同意見書或不同意見書，其立法意旨因年代久遠而不可考。惟據監察院諮詢學者專家之意見，該</w:t>
      </w:r>
      <w:r w:rsidRPr="00AC77DF">
        <w:t>5</w:t>
      </w:r>
      <w:r w:rsidRPr="00AC77DF">
        <w:t>日期限規定似乎有侵犯司法院大法官職權的核心範圍之虞，且實務上似亦未能全然落實該</w:t>
      </w:r>
      <w:r w:rsidRPr="00AC77DF">
        <w:t>5</w:t>
      </w:r>
      <w:r w:rsidRPr="00AC77DF">
        <w:t>日期間之規定，是司法院宜研議相關規範之必要性。</w:t>
      </w:r>
    </w:p>
    <w:p w:rsidR="003807A5" w:rsidRPr="00AC77DF" w:rsidRDefault="003807A5" w:rsidP="00B7222B">
      <w:pPr>
        <w:pStyle w:val="1---"/>
        <w:ind w:firstLine="480"/>
      </w:pPr>
      <w:r w:rsidRPr="00AC77DF">
        <w:t>依據本案調查意見</w:t>
      </w:r>
      <w:r w:rsidRPr="00F85A65">
        <w:rPr>
          <w:rStyle w:val="aff2"/>
        </w:rPr>
        <w:footnoteReference w:id="77"/>
      </w:r>
      <w:r w:rsidRPr="00AC77DF">
        <w:t>，監察院函請司法院研議修正有關大法官審理案件法相關規定。</w:t>
      </w:r>
    </w:p>
    <w:p w:rsidR="003807A5" w:rsidRPr="00AC77DF" w:rsidRDefault="00816ED5" w:rsidP="00527678">
      <w:pPr>
        <w:pStyle w:val="afff1"/>
        <w:spacing w:before="360" w:after="360"/>
      </w:pPr>
      <w:bookmarkStart w:id="268" w:name="_Toc527731108"/>
      <w:r>
        <w:rPr>
          <w:rFonts w:hint="eastAsia"/>
        </w:rPr>
        <w:lastRenderedPageBreak/>
        <w:t>(三)</w:t>
      </w:r>
      <w:r w:rsidR="003807A5" w:rsidRPr="00AC77DF">
        <w:t>司法院改善情形</w:t>
      </w:r>
      <w:bookmarkEnd w:id="268"/>
    </w:p>
    <w:p w:rsidR="003807A5" w:rsidRPr="00AC77DF" w:rsidRDefault="003807A5" w:rsidP="00243780">
      <w:pPr>
        <w:pStyle w:val="1----"/>
        <w:ind w:left="600" w:hanging="360"/>
      </w:pPr>
      <w:r w:rsidRPr="00AC77DF">
        <w:t>1</w:t>
      </w:r>
      <w:r w:rsidRPr="00AC77DF">
        <w:t>、司法院刻研議司法院大法官審理案件法，俟修法程序完成，大法官意見書若有誤寫、誤算或其他顯然錯誤等情形而需修正時，須經法庭以裁判更正之；而就裁判公告後大法官意見書之更正程序、要件、期間、公告更正內容及通知當事人等程序事項，該院亦將併為研議，完整規定，以杜爭議。</w:t>
      </w:r>
    </w:p>
    <w:p w:rsidR="003807A5" w:rsidRPr="00AC77DF" w:rsidRDefault="003807A5" w:rsidP="00243780">
      <w:pPr>
        <w:pStyle w:val="1----"/>
        <w:ind w:left="600" w:hanging="360"/>
      </w:pPr>
      <w:r w:rsidRPr="00AC77DF">
        <w:t>2</w:t>
      </w:r>
      <w:r w:rsidRPr="00AC77DF">
        <w:t>、司法院推動大法官審理案件採司法化、裁判化、全面法庭化之修法方向，未來於司法院大法官審理案件法修正草案中，將配合大法官意見書與法庭裁判書一併公告之規定，就意見書提出之期間通盤考量。</w:t>
      </w:r>
    </w:p>
    <w:p w:rsidR="003807A5" w:rsidRPr="00AC77DF" w:rsidRDefault="00816ED5" w:rsidP="00527678">
      <w:pPr>
        <w:pStyle w:val="afff1"/>
        <w:spacing w:before="360" w:after="360"/>
      </w:pPr>
      <w:bookmarkStart w:id="269" w:name="_Toc527731109"/>
      <w:r>
        <w:rPr>
          <w:rFonts w:hint="eastAsia"/>
        </w:rPr>
        <w:t>(四)</w:t>
      </w:r>
      <w:r w:rsidR="003807A5" w:rsidRPr="00AC77DF">
        <w:t>案件進展</w:t>
      </w:r>
      <w:bookmarkEnd w:id="269"/>
    </w:p>
    <w:p w:rsidR="003807A5" w:rsidRDefault="00885631" w:rsidP="00816ED5">
      <w:pPr>
        <w:pStyle w:val="1---"/>
        <w:ind w:firstLine="480"/>
        <w:rPr>
          <w:lang w:eastAsia="zh-TW"/>
        </w:rPr>
      </w:pPr>
      <w:r>
        <w:rPr>
          <w:rFonts w:hint="eastAsia"/>
        </w:rPr>
        <w:t>本案已結案</w:t>
      </w:r>
      <w:r w:rsidR="003807A5" w:rsidRPr="00AC77DF">
        <w:t>。</w:t>
      </w:r>
    </w:p>
    <w:p w:rsidR="00816ED5" w:rsidRPr="00816ED5" w:rsidRDefault="00816ED5" w:rsidP="00816ED5">
      <w:pPr>
        <w:pStyle w:val="1---"/>
        <w:ind w:firstLine="480"/>
      </w:pPr>
    </w:p>
    <w:tbl>
      <w:tblPr>
        <w:tblStyle w:val="aff5"/>
        <w:tblW w:w="0" w:type="auto"/>
        <w:tblInd w:w="113" w:type="dxa"/>
        <w:shd w:val="clear" w:color="auto" w:fill="D9D9D9" w:themeFill="background1" w:themeFillShade="D9"/>
        <w:tblLook w:val="04A0" w:firstRow="1" w:lastRow="0" w:firstColumn="1" w:lastColumn="0" w:noHBand="0" w:noVBand="1"/>
      </w:tblPr>
      <w:tblGrid>
        <w:gridCol w:w="4815"/>
      </w:tblGrid>
      <w:tr w:rsidR="00816ED5" w:rsidTr="000E15FB">
        <w:tc>
          <w:tcPr>
            <w:tcW w:w="4815" w:type="dxa"/>
            <w:shd w:val="clear" w:color="auto" w:fill="D9D9D9" w:themeFill="background1" w:themeFillShade="D9"/>
          </w:tcPr>
          <w:p w:rsidR="00816ED5" w:rsidRDefault="00816ED5" w:rsidP="00816ED5">
            <w:pPr>
              <w:pStyle w:val="11-"/>
              <w:spacing w:before="72" w:after="108"/>
            </w:pPr>
            <w:bookmarkStart w:id="270" w:name="_Toc527731139"/>
            <w:bookmarkStart w:id="271" w:name="_Toc535228363"/>
            <w:bookmarkStart w:id="272" w:name="_Toc4058774"/>
            <w:r w:rsidRPr="00AC77DF">
              <w:t>土耳其副代表酒後鬧事</w:t>
            </w:r>
            <w:r w:rsidRPr="00AC77DF">
              <w:rPr>
                <w:lang w:eastAsia="zh-HK"/>
              </w:rPr>
              <w:t>潛逃出境</w:t>
            </w:r>
            <w:r w:rsidRPr="00AC77DF">
              <w:t>案</w:t>
            </w:r>
            <w:bookmarkEnd w:id="270"/>
            <w:bookmarkEnd w:id="271"/>
            <w:bookmarkEnd w:id="272"/>
          </w:p>
        </w:tc>
      </w:tr>
    </w:tbl>
    <w:p w:rsidR="00816ED5" w:rsidRPr="00816ED5" w:rsidRDefault="00816ED5" w:rsidP="00816ED5">
      <w:pPr>
        <w:pStyle w:val="1---"/>
        <w:ind w:firstLine="480"/>
      </w:pPr>
    </w:p>
    <w:tbl>
      <w:tblPr>
        <w:tblW w:w="4728" w:type="pct"/>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477"/>
      </w:tblGrid>
      <w:tr w:rsidR="003807A5" w:rsidRPr="00AC77DF" w:rsidTr="000E15FB">
        <w:tc>
          <w:tcPr>
            <w:tcW w:w="5000" w:type="pct"/>
          </w:tcPr>
          <w:p w:rsidR="003807A5" w:rsidRPr="00AC77DF" w:rsidRDefault="003807A5" w:rsidP="000E15FB">
            <w:pPr>
              <w:spacing w:line="360" w:lineRule="exact"/>
              <w:jc w:val="both"/>
              <w:rPr>
                <w:lang w:val="x-none"/>
              </w:rPr>
            </w:pPr>
            <w:r w:rsidRPr="00AC77DF">
              <w:rPr>
                <w:b/>
                <w:lang w:val="x-none"/>
              </w:rPr>
              <w:t>相關國際人權公約：</w:t>
            </w:r>
            <w:r w:rsidRPr="00AC77DF">
              <w:t>公民與政治權利國際公約第</w:t>
            </w:r>
            <w:r w:rsidRPr="00AC77DF">
              <w:t>10</w:t>
            </w:r>
            <w:r w:rsidRPr="00AC77DF">
              <w:t>條、</w:t>
            </w:r>
            <w:r w:rsidRPr="00AC77DF">
              <w:rPr>
                <w:lang w:eastAsia="zh-HK"/>
              </w:rPr>
              <w:t>第</w:t>
            </w:r>
            <w:r w:rsidRPr="00AC77DF">
              <w:rPr>
                <w:lang w:eastAsia="zh-HK"/>
              </w:rPr>
              <w:t>13</w:t>
            </w:r>
            <w:r w:rsidRPr="00AC77DF">
              <w:rPr>
                <w:lang w:eastAsia="zh-HK"/>
              </w:rPr>
              <w:t>條</w:t>
            </w:r>
          </w:p>
          <w:p w:rsidR="003807A5" w:rsidRPr="00AC77DF" w:rsidRDefault="003807A5" w:rsidP="000E15FB">
            <w:pPr>
              <w:spacing w:line="360" w:lineRule="exact"/>
              <w:jc w:val="both"/>
              <w:rPr>
                <w:b/>
                <w:lang w:val="x-none"/>
              </w:rPr>
            </w:pPr>
            <w:r w:rsidRPr="00AC77DF">
              <w:rPr>
                <w:b/>
              </w:rPr>
              <w:t>公民與政治權利國際公約</w:t>
            </w:r>
            <w:r w:rsidRPr="00AC77DF">
              <w:rPr>
                <w:b/>
                <w:lang w:val="x-none"/>
              </w:rPr>
              <w:t>第</w:t>
            </w:r>
            <w:r w:rsidRPr="00AC77DF">
              <w:rPr>
                <w:b/>
                <w:lang w:val="x-none"/>
              </w:rPr>
              <w:t>13</w:t>
            </w:r>
            <w:r w:rsidRPr="00AC77DF">
              <w:rPr>
                <w:b/>
                <w:lang w:val="x-none"/>
              </w:rPr>
              <w:t>條</w:t>
            </w:r>
          </w:p>
          <w:p w:rsidR="003807A5" w:rsidRPr="00AC77DF" w:rsidRDefault="003807A5" w:rsidP="000E15FB">
            <w:pPr>
              <w:spacing w:line="360" w:lineRule="exact"/>
              <w:jc w:val="both"/>
            </w:pPr>
            <w:r w:rsidRPr="00AC77DF">
              <w:rPr>
                <w:lang w:val="x-none"/>
              </w:rPr>
              <w:t>本公約締約國境內合法居留之外國人，非經依法判定，不得驅逐出境，且除事關國家安全必須急速處分者外，應准其提</w:t>
            </w:r>
            <w:r w:rsidRPr="00AC77DF">
              <w:rPr>
                <w:lang w:val="x-none"/>
              </w:rPr>
              <w:lastRenderedPageBreak/>
              <w:t>出不服驅逐出境之理由，及聲請主管當局或主管當局特別指定之人員予以覆判，並為此目的委託代理人到場申訴。</w:t>
            </w:r>
          </w:p>
        </w:tc>
      </w:tr>
    </w:tbl>
    <w:p w:rsidR="003807A5" w:rsidRPr="00AC77DF" w:rsidRDefault="00291E49" w:rsidP="00527678">
      <w:pPr>
        <w:pStyle w:val="afff1"/>
        <w:spacing w:before="360" w:after="360"/>
      </w:pPr>
      <w:bookmarkStart w:id="273" w:name="_Toc527731140"/>
      <w:r>
        <w:rPr>
          <w:rFonts w:hint="eastAsia"/>
        </w:rPr>
        <w:lastRenderedPageBreak/>
        <w:t>(一)</w:t>
      </w:r>
      <w:r w:rsidR="003807A5" w:rsidRPr="00AC77DF">
        <w:t>案情簡述</w:t>
      </w:r>
      <w:bookmarkEnd w:id="273"/>
    </w:p>
    <w:p w:rsidR="003807A5" w:rsidRPr="00AC77DF" w:rsidRDefault="003807A5" w:rsidP="00B7222B">
      <w:pPr>
        <w:pStyle w:val="1---"/>
        <w:ind w:firstLine="480"/>
        <w:rPr>
          <w:b/>
        </w:rPr>
      </w:pPr>
      <w:r w:rsidRPr="00AC77DF">
        <w:t>105</w:t>
      </w:r>
      <w:r w:rsidRPr="00AC77DF">
        <w:t>年</w:t>
      </w:r>
      <w:r w:rsidRPr="00AC77DF">
        <w:t>7</w:t>
      </w:r>
      <w:r w:rsidRPr="00AC77DF">
        <w:t>月初駐臺北土耳其貿易辦事處副代表都庫哈里酒後鬧事，疑因外交部及檢警機關未能及時採取適當措施致其潛逃出境，不僅損及受害人求償權益，亦影響我國司法權行使，究相關機關有無善盡職責？後續如何求償？如何避免發生類似情形？均有深入瞭解之必要，監察委員爰立案調查。</w:t>
      </w:r>
    </w:p>
    <w:p w:rsidR="003807A5" w:rsidRPr="00AC77DF" w:rsidRDefault="00291E49" w:rsidP="00527678">
      <w:pPr>
        <w:pStyle w:val="afff1"/>
        <w:spacing w:before="360" w:after="360"/>
      </w:pPr>
      <w:bookmarkStart w:id="274" w:name="_Toc527731141"/>
      <w:r>
        <w:rPr>
          <w:rFonts w:hint="eastAsia"/>
        </w:rPr>
        <w:t>(二)</w:t>
      </w:r>
      <w:r w:rsidR="003807A5" w:rsidRPr="00AC77DF">
        <w:t>監察院調查發現與建議</w:t>
      </w:r>
      <w:bookmarkEnd w:id="274"/>
    </w:p>
    <w:p w:rsidR="003807A5" w:rsidRPr="00AC77DF" w:rsidRDefault="00FD29F8" w:rsidP="00D92DAE">
      <w:pPr>
        <w:pStyle w:val="1--13"/>
        <w:spacing w:before="180" w:after="180"/>
      </w:pPr>
      <w:r w:rsidRPr="008E1832">
        <w:rPr>
          <w:rFonts w:hint="eastAsia"/>
        </w:rPr>
        <w:t>˙</w:t>
      </w:r>
      <w:r w:rsidR="003807A5" w:rsidRPr="00AC77DF">
        <w:t>未符合特權豁免相關規定</w:t>
      </w:r>
    </w:p>
    <w:p w:rsidR="003807A5" w:rsidRPr="00AC77DF" w:rsidRDefault="003807A5" w:rsidP="00B7222B">
      <w:pPr>
        <w:pStyle w:val="1---"/>
        <w:ind w:firstLine="480"/>
      </w:pPr>
      <w:r w:rsidRPr="00AC77DF">
        <w:t>我駐土耳其代表處未覈實呈報土耳其共和國給予我國駐該國人員所享之特權豁免，而主管特權禮遇業務之外交部禮賓處復未詳實查核，致令該處所製之「雙邊特權禮遇對照表」存有闕漏而不自知，遲至本案發生始發現駐處人員官員證記載與雙邊特權禮遇對照表之內容不符。</w:t>
      </w:r>
    </w:p>
    <w:p w:rsidR="003807A5" w:rsidRPr="00AC77DF" w:rsidRDefault="003807A5" w:rsidP="00025C57">
      <w:pPr>
        <w:pStyle w:val="1---"/>
        <w:ind w:firstLine="480"/>
        <w:rPr>
          <w:lang w:eastAsia="zh-TW"/>
        </w:rPr>
      </w:pPr>
      <w:r w:rsidRPr="00AC77DF">
        <w:t>依據我國豁免條例，非邦交國外交人員於我國境內之非執行職務行為不享刑事豁免待遇，故</w:t>
      </w:r>
      <w:r w:rsidRPr="00025C57">
        <w:rPr>
          <w:spacing w:val="-8"/>
        </w:rPr>
        <w:t>此</w:t>
      </w:r>
      <w:r w:rsidRPr="00025C57">
        <w:rPr>
          <w:spacing w:val="-8"/>
        </w:rPr>
        <w:t>D</w:t>
      </w:r>
      <w:r w:rsidRPr="00AC77DF">
        <w:t>副代表所為應不能享有刑事豁免待遇，惟外交部禮賓處及亞西及非洲司卻因駐處人員官員證之記載與雙邊特權禮遇對照表所載不符，又基於互惠原則，當下不能確</w:t>
      </w:r>
      <w:r w:rsidRPr="00025C57">
        <w:rPr>
          <w:spacing w:val="-8"/>
        </w:rPr>
        <w:t>定</w:t>
      </w:r>
      <w:r w:rsidRPr="00025C57">
        <w:rPr>
          <w:spacing w:val="-8"/>
        </w:rPr>
        <w:t>D</w:t>
      </w:r>
      <w:r w:rsidRPr="00AC77DF">
        <w:t>副代表是否享有刑事豁免待遇，遲至事發</w:t>
      </w:r>
      <w:r w:rsidRPr="00AC77DF">
        <w:lastRenderedPageBreak/>
        <w:t>53</w:t>
      </w:r>
      <w:r w:rsidRPr="00AC77DF">
        <w:t>日後，亦即</w:t>
      </w:r>
      <w:r w:rsidRPr="00AC77DF">
        <w:t>105</w:t>
      </w:r>
      <w:r w:rsidRPr="00AC77DF">
        <w:t>年</w:t>
      </w:r>
      <w:r w:rsidRPr="00AC77DF">
        <w:t>8</w:t>
      </w:r>
      <w:r w:rsidRPr="00AC77DF">
        <w:t>月</w:t>
      </w:r>
      <w:r w:rsidRPr="00AC77DF">
        <w:t>23</w:t>
      </w:r>
      <w:r w:rsidRPr="00AC77DF">
        <w:t>日始致函法務部說明我國與土國互不享有刑事豁免權，然而</w:t>
      </w:r>
      <w:r w:rsidRPr="00AC77DF">
        <w:t>D</w:t>
      </w:r>
      <w:r w:rsidRPr="00AC77DF">
        <w:t>副代表早於</w:t>
      </w:r>
      <w:r w:rsidRPr="00AC77DF">
        <w:t>105</w:t>
      </w:r>
      <w:r w:rsidRPr="00AC77DF">
        <w:t>年</w:t>
      </w:r>
      <w:r w:rsidRPr="00AC77DF">
        <w:t>8</w:t>
      </w:r>
      <w:r w:rsidRPr="00AC77DF">
        <w:t>月</w:t>
      </w:r>
      <w:r w:rsidRPr="00AC77DF">
        <w:t>18</w:t>
      </w:r>
      <w:r w:rsidRPr="00AC77DF">
        <w:t>日離臺返國，致執法單位無法立即採取適當措施，外交部應以此案為</w:t>
      </w:r>
      <w:r w:rsidR="002D133E">
        <w:rPr>
          <w:rFonts w:hint="eastAsia"/>
        </w:rPr>
        <w:t>鑑</w:t>
      </w:r>
      <w:r w:rsidRPr="00AC77DF">
        <w:t>，將駐臺人員所享特權豁免情形適時供權責機關參考。本案事後耗時查證而延宕檢警機關偵查取證時效，損及受害人求償權益，影響我國司法權之行使。</w:t>
      </w:r>
    </w:p>
    <w:p w:rsidR="003807A5" w:rsidRPr="00AC77DF" w:rsidRDefault="00FD29F8" w:rsidP="00D92DAE">
      <w:pPr>
        <w:pStyle w:val="1--13"/>
        <w:spacing w:before="180" w:after="180"/>
      </w:pPr>
      <w:r w:rsidRPr="008E1832">
        <w:rPr>
          <w:rFonts w:hint="eastAsia"/>
        </w:rPr>
        <w:t>˙</w:t>
      </w:r>
      <w:r w:rsidR="003807A5" w:rsidRPr="00AC77DF">
        <w:t>駐外館處注意所享權利義務</w:t>
      </w:r>
    </w:p>
    <w:p w:rsidR="003807A5" w:rsidRPr="00AC77DF" w:rsidRDefault="003807A5" w:rsidP="00B7222B">
      <w:pPr>
        <w:pStyle w:val="1---"/>
        <w:ind w:firstLine="480"/>
        <w:rPr>
          <w:b/>
        </w:rPr>
      </w:pPr>
      <w:r w:rsidRPr="00AC77DF">
        <w:t>外交部宜強調駐外館處注意所享權利義務，俾維護國家尊嚴與外交事務之推行，尤其慎防駐處人員因不諳派駐國之語言而肇生損及尊嚴或破壞平等互惠原則之情事。</w:t>
      </w:r>
    </w:p>
    <w:p w:rsidR="003807A5" w:rsidRPr="00AC77DF" w:rsidRDefault="003807A5" w:rsidP="00B7222B">
      <w:pPr>
        <w:pStyle w:val="1---"/>
        <w:ind w:firstLine="480"/>
      </w:pPr>
      <w:r w:rsidRPr="00AC77DF">
        <w:t>依據本案調查意見</w:t>
      </w:r>
      <w:r w:rsidRPr="00AC77DF">
        <w:rPr>
          <w:rStyle w:val="aff2"/>
          <w:rFonts w:eastAsiaTheme="minorEastAsia"/>
        </w:rPr>
        <w:footnoteReference w:id="78"/>
      </w:r>
      <w:r w:rsidRPr="00AC77DF">
        <w:t>，監察院函請外交部確實檢討改進，並於</w:t>
      </w:r>
      <w:r w:rsidRPr="00AC77DF">
        <w:t>2</w:t>
      </w:r>
      <w:r w:rsidRPr="00AC77DF">
        <w:t>個月內議處相關人員見復。</w:t>
      </w:r>
    </w:p>
    <w:p w:rsidR="003807A5" w:rsidRPr="00AC77DF" w:rsidRDefault="00291E49" w:rsidP="00527678">
      <w:pPr>
        <w:pStyle w:val="afff1"/>
        <w:spacing w:before="360" w:after="360"/>
      </w:pPr>
      <w:bookmarkStart w:id="275" w:name="_Toc527731142"/>
      <w:r>
        <w:rPr>
          <w:rFonts w:hint="eastAsia"/>
        </w:rPr>
        <w:t>(三)</w:t>
      </w:r>
      <w:r w:rsidR="003807A5" w:rsidRPr="00AC77DF">
        <w:t>政府機關改善情形</w:t>
      </w:r>
      <w:bookmarkEnd w:id="275"/>
    </w:p>
    <w:p w:rsidR="003807A5" w:rsidRPr="00025C57" w:rsidRDefault="003807A5" w:rsidP="00025C57">
      <w:pPr>
        <w:pStyle w:val="1----"/>
        <w:ind w:left="600" w:hanging="360"/>
        <w:rPr>
          <w:spacing w:val="2"/>
        </w:rPr>
      </w:pPr>
      <w:r w:rsidRPr="00AC77DF">
        <w:t>1</w:t>
      </w:r>
      <w:r w:rsidRPr="00AC77DF">
        <w:t>、</w:t>
      </w:r>
      <w:r w:rsidRPr="00025C57">
        <w:rPr>
          <w:spacing w:val="2"/>
        </w:rPr>
        <w:t>外交部持續辦理各種語文訓練班，加強涉外人員本職學能。</w:t>
      </w:r>
    </w:p>
    <w:p w:rsidR="003807A5" w:rsidRPr="00AC77DF" w:rsidRDefault="003807A5" w:rsidP="00243780">
      <w:pPr>
        <w:pStyle w:val="1----"/>
        <w:ind w:left="600" w:hanging="360"/>
      </w:pPr>
      <w:r w:rsidRPr="00AC77DF">
        <w:t>2</w:t>
      </w:r>
      <w:r w:rsidRPr="00AC77DF">
        <w:t>、外交部已自過去每</w:t>
      </w:r>
      <w:r w:rsidRPr="005B0CD0">
        <w:rPr>
          <w:spacing w:val="-10"/>
        </w:rPr>
        <w:t>年</w:t>
      </w:r>
      <w:r w:rsidRPr="00AC77DF">
        <w:t>1</w:t>
      </w:r>
      <w:r w:rsidRPr="005B0CD0">
        <w:rPr>
          <w:spacing w:val="-10"/>
        </w:rPr>
        <w:t>0</w:t>
      </w:r>
      <w:r w:rsidRPr="00AC77DF">
        <w:t>月調查特權豁免改為每半年檢討一次，隨時將最新待遇報外交部。</w:t>
      </w:r>
    </w:p>
    <w:p w:rsidR="003807A5" w:rsidRPr="00AC77DF" w:rsidRDefault="003807A5" w:rsidP="00243780">
      <w:pPr>
        <w:pStyle w:val="1----"/>
        <w:ind w:left="600" w:hanging="360"/>
      </w:pPr>
      <w:r w:rsidRPr="00AC77DF">
        <w:t>3</w:t>
      </w:r>
      <w:r w:rsidRPr="00AC77DF">
        <w:t>、新任館長赴任業務簡報時提供駐地「雙邊特權禮遇對照表」，詳細說明並請新任館長注意及維護所享權利義務。</w:t>
      </w:r>
    </w:p>
    <w:p w:rsidR="003807A5" w:rsidRPr="00AC77DF" w:rsidRDefault="00291E49" w:rsidP="00527678">
      <w:pPr>
        <w:pStyle w:val="afff1"/>
        <w:spacing w:before="360" w:after="360"/>
      </w:pPr>
      <w:bookmarkStart w:id="276" w:name="_Toc527731143"/>
      <w:r>
        <w:rPr>
          <w:rFonts w:hint="eastAsia"/>
        </w:rPr>
        <w:lastRenderedPageBreak/>
        <w:t>(四)</w:t>
      </w:r>
      <w:r w:rsidR="003807A5" w:rsidRPr="00AC77DF">
        <w:t>案件進展</w:t>
      </w:r>
      <w:bookmarkEnd w:id="276"/>
    </w:p>
    <w:p w:rsidR="003807A5" w:rsidRDefault="003807A5" w:rsidP="00B7222B">
      <w:pPr>
        <w:pStyle w:val="1---"/>
        <w:ind w:firstLine="480"/>
        <w:rPr>
          <w:lang w:eastAsia="zh-TW"/>
        </w:rPr>
      </w:pPr>
      <w:r w:rsidRPr="00AC77DF">
        <w:t>本案在監察院追蹤監督下，已產生具體成果</w:t>
      </w:r>
      <w:r w:rsidRPr="00AC77DF">
        <w:rPr>
          <w:lang w:eastAsia="zh-TW"/>
        </w:rPr>
        <w:t>；</w:t>
      </w:r>
      <w:r w:rsidRPr="00AC77DF">
        <w:t>另請外交部研議處置失職人員。</w:t>
      </w:r>
      <w:r w:rsidRPr="00AC77DF">
        <w:t xml:space="preserve">    </w:t>
      </w:r>
    </w:p>
    <w:p w:rsidR="00F91FB1" w:rsidRDefault="00F91FB1" w:rsidP="00B7222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3993"/>
      </w:tblGrid>
      <w:tr w:rsidR="00F91FB1" w:rsidTr="005B0CD0">
        <w:tc>
          <w:tcPr>
            <w:tcW w:w="3993" w:type="dxa"/>
            <w:shd w:val="clear" w:color="auto" w:fill="D9D9D9" w:themeFill="background1" w:themeFillShade="D9"/>
          </w:tcPr>
          <w:p w:rsidR="00F91FB1" w:rsidRDefault="00F91FB1" w:rsidP="005B0CD0">
            <w:pPr>
              <w:pStyle w:val="11-"/>
              <w:spacing w:before="72" w:after="108"/>
              <w:rPr>
                <w:lang w:eastAsia="zh-TW"/>
              </w:rPr>
            </w:pPr>
            <w:bookmarkStart w:id="277" w:name="_Toc527731154"/>
            <w:bookmarkStart w:id="278" w:name="_Toc535228364"/>
            <w:bookmarkStart w:id="279" w:name="_Toc4058775"/>
            <w:r w:rsidRPr="00AC77DF">
              <w:t>官商勾結及警員洩漏個資案</w:t>
            </w:r>
            <w:bookmarkEnd w:id="277"/>
            <w:bookmarkEnd w:id="278"/>
            <w:bookmarkEnd w:id="279"/>
          </w:p>
        </w:tc>
      </w:tr>
    </w:tbl>
    <w:p w:rsidR="003807A5" w:rsidRPr="00AC77DF" w:rsidRDefault="00F91FB1" w:rsidP="00527678">
      <w:pPr>
        <w:pStyle w:val="afff1"/>
        <w:spacing w:before="360" w:after="360"/>
      </w:pPr>
      <w:bookmarkStart w:id="280" w:name="_Toc527731155"/>
      <w:r>
        <w:rPr>
          <w:rFonts w:hint="eastAsia"/>
        </w:rPr>
        <w:t>(一)</w:t>
      </w:r>
      <w:r w:rsidR="003807A5" w:rsidRPr="00AC77DF">
        <w:t>案情簡述</w:t>
      </w:r>
      <w:bookmarkEnd w:id="280"/>
    </w:p>
    <w:p w:rsidR="003807A5" w:rsidRPr="00AC77DF" w:rsidRDefault="003807A5" w:rsidP="00B7222B">
      <w:pPr>
        <w:pStyle w:val="1---"/>
        <w:ind w:firstLine="480"/>
        <w:rPr>
          <w:b/>
        </w:rPr>
      </w:pPr>
      <w:r w:rsidRPr="00AC77DF">
        <w:t>交通部鐵路改建工程局（簡稱鐵改局）中部工程處執行「臺中都會區鐵路高架捷運計畫</w:t>
      </w:r>
      <w:r w:rsidRPr="00E73950">
        <w:rPr>
          <w:spacing w:val="-30"/>
        </w:rPr>
        <w:t>」</w:t>
      </w:r>
      <w:r w:rsidRPr="00AC77DF">
        <w:t>，疑因承包商工程延宕爭議，致發生所屬人員被迫調職、相關主管與承辦人員涉嫌圖利、官商勾結及警員洩漏個資，</w:t>
      </w:r>
      <w:r w:rsidR="00563C90" w:rsidRPr="00AC77DF">
        <w:t>爰</w:t>
      </w:r>
      <w:r w:rsidR="00563C90">
        <w:rPr>
          <w:rFonts w:hint="eastAsia"/>
        </w:rPr>
        <w:t>經</w:t>
      </w:r>
      <w:r w:rsidR="00563C90" w:rsidRPr="00AC77DF">
        <w:t>監察委員立案調查</w:t>
      </w:r>
      <w:r w:rsidRPr="00AC77DF">
        <w:t>。</w:t>
      </w:r>
    </w:p>
    <w:p w:rsidR="003807A5" w:rsidRPr="00AC77DF" w:rsidRDefault="00492E26" w:rsidP="00527678">
      <w:pPr>
        <w:pStyle w:val="afff1"/>
        <w:spacing w:before="360" w:after="360"/>
      </w:pPr>
      <w:bookmarkStart w:id="281" w:name="_Toc527731156"/>
      <w:r>
        <w:rPr>
          <w:rFonts w:hint="eastAsia"/>
        </w:rPr>
        <w:t>(二)</w:t>
      </w:r>
      <w:r w:rsidR="003807A5" w:rsidRPr="00AC77DF">
        <w:t>監察院調查發現與建議</w:t>
      </w:r>
      <w:bookmarkEnd w:id="281"/>
    </w:p>
    <w:p w:rsidR="003807A5" w:rsidRPr="00AC77DF" w:rsidRDefault="00FD29F8" w:rsidP="00D92DAE">
      <w:pPr>
        <w:pStyle w:val="1--13"/>
        <w:spacing w:before="180" w:after="180"/>
      </w:pPr>
      <w:r w:rsidRPr="008E1832">
        <w:rPr>
          <w:rFonts w:hint="eastAsia"/>
        </w:rPr>
        <w:t>˙</w:t>
      </w:r>
      <w:r w:rsidR="003807A5" w:rsidRPr="00AC77DF">
        <w:t>復工範圍大於停工範圍</w:t>
      </w:r>
    </w:p>
    <w:p w:rsidR="003807A5" w:rsidRPr="00AC77DF" w:rsidRDefault="003807A5" w:rsidP="00B7222B">
      <w:pPr>
        <w:pStyle w:val="1---"/>
        <w:ind w:firstLine="480"/>
        <w:rPr>
          <w:b/>
        </w:rPr>
      </w:pPr>
      <w:r w:rsidRPr="00AC77DF">
        <w:t>鐵改局辦理</w:t>
      </w:r>
      <w:r w:rsidRPr="00AC77DF">
        <w:t>531</w:t>
      </w:r>
      <w:r w:rsidRPr="00AC77DF">
        <w:t>標工程局部停工報核範圍為「月台層以下車站站體、景觀、路工及排水等全部工程範圍</w:t>
      </w:r>
      <w:r w:rsidRPr="00E73950">
        <w:rPr>
          <w:spacing w:val="-30"/>
        </w:rPr>
        <w:t>」</w:t>
      </w:r>
      <w:r w:rsidRPr="00AC77DF">
        <w:t>，惟嗣後奉核之各車站復工報核範圍擴大為</w:t>
      </w:r>
      <w:r w:rsidRPr="008429DA">
        <w:rPr>
          <w:rFonts w:asciiTheme="majorEastAsia" w:eastAsiaTheme="majorEastAsia" w:hAnsiTheme="majorEastAsia"/>
        </w:rPr>
        <w:t>「○○</w:t>
      </w:r>
      <w:r w:rsidRPr="00AC77DF">
        <w:t>車站第一階段結構、建築裝修、一般機電及排水等全部工程範圍</w:t>
      </w:r>
      <w:r w:rsidRPr="00E73950">
        <w:rPr>
          <w:spacing w:val="-30"/>
        </w:rPr>
        <w:t>」</w:t>
      </w:r>
      <w:r w:rsidRPr="00AC77DF">
        <w:t>，因復工大於停工範圍，除遭起訴涉有圖利承商之嫌，亦不符工程實務，有損機關權益，且恐將肇致關連工程延宕，影響整體通車期程，顯有違契約管理機關之職責。</w:t>
      </w:r>
    </w:p>
    <w:p w:rsidR="003807A5" w:rsidRPr="00AC77DF" w:rsidRDefault="00FD29F8" w:rsidP="00D92DAE">
      <w:pPr>
        <w:pStyle w:val="1--13"/>
        <w:spacing w:before="180" w:after="180"/>
      </w:pPr>
      <w:r w:rsidRPr="008E1832">
        <w:rPr>
          <w:rFonts w:hint="eastAsia"/>
        </w:rPr>
        <w:lastRenderedPageBreak/>
        <w:t>˙</w:t>
      </w:r>
      <w:r w:rsidR="003807A5" w:rsidRPr="00AC77DF">
        <w:t>未能控管工程進度</w:t>
      </w:r>
    </w:p>
    <w:p w:rsidR="003807A5" w:rsidRPr="00AC77DF" w:rsidRDefault="003807A5" w:rsidP="00B7222B">
      <w:pPr>
        <w:pStyle w:val="1---"/>
        <w:ind w:firstLine="480"/>
        <w:rPr>
          <w:b/>
        </w:rPr>
      </w:pPr>
      <w:r w:rsidRPr="00AC77DF">
        <w:t>鐵改局檢討</w:t>
      </w:r>
      <w:r w:rsidRPr="00AC77DF">
        <w:t>531</w:t>
      </w:r>
      <w:r w:rsidRPr="00AC77DF">
        <w:t>標工程逾期情形，目前仍在釐清鄰標（</w:t>
      </w:r>
      <w:r w:rsidRPr="00AC77DF">
        <w:t>331</w:t>
      </w:r>
      <w:r w:rsidRPr="00AC77DF">
        <w:t>標）交付時程延誤階段，而遲未能確認工程進度與交付情形，惟本標契約第一階段工程已於</w:t>
      </w:r>
      <w:r w:rsidRPr="00AC77DF">
        <w:t>104</w:t>
      </w:r>
      <w:r w:rsidRPr="00AC77DF">
        <w:t>年</w:t>
      </w:r>
      <w:r w:rsidRPr="00AC77DF">
        <w:t>9</w:t>
      </w:r>
      <w:r w:rsidRPr="00AC77DF">
        <w:t>月</w:t>
      </w:r>
      <w:r w:rsidRPr="00AC77DF">
        <w:t>15</w:t>
      </w:r>
      <w:r w:rsidRPr="00AC77DF">
        <w:t>日確認完成，且本案於</w:t>
      </w:r>
      <w:r w:rsidRPr="00AC77DF">
        <w:t>105</w:t>
      </w:r>
      <w:r w:rsidRPr="00AC77DF">
        <w:t>年</w:t>
      </w:r>
      <w:r w:rsidRPr="00AC77DF">
        <w:t>12</w:t>
      </w:r>
      <w:r w:rsidRPr="00AC77DF">
        <w:t>月</w:t>
      </w:r>
      <w:r w:rsidRPr="00AC77DF">
        <w:t>8</w:t>
      </w:r>
      <w:r w:rsidRPr="00AC77DF">
        <w:t>日經司法起訴及同年月</w:t>
      </w:r>
      <w:r w:rsidRPr="00AC77DF">
        <w:t>14</w:t>
      </w:r>
      <w:r w:rsidRPr="00AC77DF">
        <w:t>日媒體報導至今已逾半年，然該局仍未能釐清鄰標交付情形，顯無法落實工程進度控管。</w:t>
      </w:r>
    </w:p>
    <w:p w:rsidR="003807A5" w:rsidRPr="00AC77DF" w:rsidRDefault="003807A5" w:rsidP="00B7222B">
      <w:pPr>
        <w:pStyle w:val="1---"/>
        <w:ind w:firstLine="480"/>
        <w:rPr>
          <w:lang w:eastAsia="zh-TW"/>
        </w:rPr>
      </w:pPr>
      <w:r w:rsidRPr="00AC77DF">
        <w:t>交通部主管國內重大交通工程建設，對於執行業務之公務員應予保障人身安全，免於因依法行政而遭致危害之恐懼，又對於違法亂紀之人員，亦應毋枉毋縱，除司法相關調查外，亦應追究其適當之行政責任，以保護守法之公務員，及維護政府形象。</w:t>
      </w:r>
    </w:p>
    <w:p w:rsidR="003807A5" w:rsidRPr="00AC77DF" w:rsidRDefault="00FD29F8" w:rsidP="00D92DAE">
      <w:pPr>
        <w:pStyle w:val="1--13"/>
        <w:spacing w:before="180" w:after="180"/>
      </w:pPr>
      <w:r w:rsidRPr="008E1832">
        <w:rPr>
          <w:rFonts w:hint="eastAsia"/>
        </w:rPr>
        <w:t>˙</w:t>
      </w:r>
      <w:r w:rsidR="003807A5" w:rsidRPr="00AC77DF">
        <w:t>未如期取得相關執照</w:t>
      </w:r>
    </w:p>
    <w:p w:rsidR="003807A5" w:rsidRPr="00AC77DF" w:rsidRDefault="003807A5" w:rsidP="00B7222B">
      <w:pPr>
        <w:pStyle w:val="1---"/>
        <w:ind w:firstLine="480"/>
        <w:rPr>
          <w:lang w:eastAsia="zh-TW"/>
        </w:rPr>
      </w:pPr>
      <w:r w:rsidRPr="00AC77DF">
        <w:t>鐵改局檢核重大公共工程招標前政府應辦事項，因各車站建造執照、五大管線核可函、綠建築候選核可函未能如期取得，致部分工程開工後即需辦理停工，雖為工程會「重大公共工程開工要件注意事項」訂定前所辦理之採購，惟已導</w:t>
      </w:r>
      <w:r w:rsidRPr="00E73950">
        <w:rPr>
          <w:spacing w:val="-14"/>
        </w:rPr>
        <w:t>致</w:t>
      </w:r>
      <w:r w:rsidRPr="00AC77DF">
        <w:t>53</w:t>
      </w:r>
      <w:r w:rsidRPr="00E73950">
        <w:rPr>
          <w:spacing w:val="-14"/>
        </w:rPr>
        <w:t>1</w:t>
      </w:r>
      <w:r w:rsidRPr="00AC77DF">
        <w:t>標工程停復工範圍不符</w:t>
      </w:r>
      <w:r w:rsidRPr="00E73950">
        <w:rPr>
          <w:spacing w:val="-14"/>
        </w:rPr>
        <w:t>及</w:t>
      </w:r>
      <w:r w:rsidRPr="00AC77DF">
        <w:t>63</w:t>
      </w:r>
      <w:r w:rsidRPr="00E73950">
        <w:rPr>
          <w:spacing w:val="-14"/>
        </w:rPr>
        <w:t>1</w:t>
      </w:r>
      <w:r w:rsidRPr="00AC77DF">
        <w:t>標工程逾期天數爭議等情事，徒生履約管理之困擾。</w:t>
      </w:r>
    </w:p>
    <w:p w:rsidR="003807A5" w:rsidRPr="00AC77DF" w:rsidRDefault="00FD29F8" w:rsidP="00D92DAE">
      <w:pPr>
        <w:pStyle w:val="1--13"/>
        <w:spacing w:before="180" w:after="180"/>
      </w:pPr>
      <w:r w:rsidRPr="008E1832">
        <w:rPr>
          <w:rFonts w:hint="eastAsia"/>
        </w:rPr>
        <w:t>˙</w:t>
      </w:r>
      <w:r w:rsidR="003807A5" w:rsidRPr="00AC77DF">
        <w:t>員警洩漏個資</w:t>
      </w:r>
    </w:p>
    <w:p w:rsidR="003807A5" w:rsidRPr="00AC77DF" w:rsidRDefault="003807A5" w:rsidP="00B7222B">
      <w:pPr>
        <w:pStyle w:val="1---"/>
        <w:ind w:firstLine="480"/>
        <w:rPr>
          <w:b/>
        </w:rPr>
      </w:pPr>
      <w:r w:rsidRPr="00AC77DF">
        <w:t>郭姓員警非因公務打探及洩漏個資，濫用戶役政資訊電子閘門系統，侵犯民眾隱私案，雖尚處司法審理階段，然因公務</w:t>
      </w:r>
      <w:r w:rsidRPr="00AC77DF">
        <w:lastRenderedPageBreak/>
        <w:t>員懲戒係採刑懲併行原則，實無礙追究其行政責任</w:t>
      </w:r>
      <w:r w:rsidR="00B63888">
        <w:t>；</w:t>
      </w:r>
      <w:r w:rsidRPr="00AC77DF">
        <w:t>又倘違失情節之證據充足，內部懲處亦可啟動，以利調查該警員違規行為之行政疏失</w:t>
      </w:r>
      <w:r w:rsidR="00B53707" w:rsidRPr="00AC77DF">
        <w:t>。</w:t>
      </w:r>
      <w:r w:rsidR="00B53707">
        <w:rPr>
          <w:rFonts w:hint="eastAsia"/>
          <w:lang w:eastAsia="zh-TW"/>
        </w:rPr>
        <w:t>本案</w:t>
      </w:r>
      <w:r w:rsidRPr="00AC77DF">
        <w:t>難以尚處刑事偵審程序而怠慢其行政責任之懲處，仍應儘速嚴明處理，並予檢討改進。</w:t>
      </w:r>
    </w:p>
    <w:p w:rsidR="003807A5" w:rsidRPr="00AC77DF" w:rsidRDefault="003807A5" w:rsidP="00B7222B">
      <w:pPr>
        <w:pStyle w:val="1---"/>
        <w:ind w:firstLine="480"/>
        <w:rPr>
          <w:b/>
        </w:rPr>
      </w:pPr>
      <w:r w:rsidRPr="00AC77DF">
        <w:t>依據本案調查意見</w:t>
      </w:r>
      <w:r w:rsidRPr="00AC77DF">
        <w:rPr>
          <w:rStyle w:val="aff2"/>
        </w:rPr>
        <w:footnoteReference w:id="79"/>
      </w:r>
      <w:r w:rsidRPr="00AC77DF">
        <w:t>，監察院糾正交通部，並函請該部檢討改善見復；另函請警政署檢討改善見復。</w:t>
      </w:r>
    </w:p>
    <w:p w:rsidR="003807A5" w:rsidRPr="00AC77DF" w:rsidRDefault="00492E26" w:rsidP="00527678">
      <w:pPr>
        <w:pStyle w:val="afff1"/>
        <w:spacing w:before="360" w:after="360"/>
      </w:pPr>
      <w:bookmarkStart w:id="282" w:name="_Toc527731157"/>
      <w:r>
        <w:rPr>
          <w:rFonts w:hint="eastAsia"/>
        </w:rPr>
        <w:t>(三)</w:t>
      </w:r>
      <w:r w:rsidR="003807A5" w:rsidRPr="00AC77DF">
        <w:t>政府機關改善情形</w:t>
      </w:r>
      <w:bookmarkEnd w:id="282"/>
    </w:p>
    <w:p w:rsidR="003807A5" w:rsidRPr="00AC77DF" w:rsidRDefault="003807A5" w:rsidP="00243780">
      <w:pPr>
        <w:pStyle w:val="1----"/>
        <w:ind w:left="600" w:hanging="360"/>
      </w:pPr>
      <w:r w:rsidRPr="00AC77DF">
        <w:t>1</w:t>
      </w:r>
      <w:r w:rsidRPr="00AC77DF">
        <w:t>、鐵改局於</w:t>
      </w:r>
      <w:r w:rsidRPr="00AC77DF">
        <w:t>106</w:t>
      </w:r>
      <w:r w:rsidRPr="00AC77DF">
        <w:t>年</w:t>
      </w:r>
      <w:r w:rsidRPr="00AC77DF">
        <w:t>11</w:t>
      </w:r>
      <w:r w:rsidRPr="00AC77DF">
        <w:t>月</w:t>
      </w:r>
      <w:r w:rsidRPr="00AC77DF">
        <w:t>14</w:t>
      </w:r>
      <w:r w:rsidRPr="00AC77DF">
        <w:t>日召開中工處</w:t>
      </w:r>
      <w:r w:rsidRPr="00AC77DF">
        <w:t>106</w:t>
      </w:r>
      <w:r w:rsidRPr="00AC77DF">
        <w:t>年度機關維護會報，</w:t>
      </w:r>
      <w:r w:rsidR="003E5D8B">
        <w:rPr>
          <w:rFonts w:hint="eastAsia"/>
        </w:rPr>
        <w:t>決議</w:t>
      </w:r>
      <w:r w:rsidR="003E5D8B" w:rsidRPr="00AC77DF">
        <w:t>由秘書室會同政風室辦理</w:t>
      </w:r>
      <w:r w:rsidR="003E5D8B" w:rsidRPr="00E73950">
        <w:rPr>
          <w:spacing w:val="-30"/>
        </w:rPr>
        <w:t>：</w:t>
      </w:r>
      <w:r w:rsidRPr="00AC77DF">
        <w:t>（一）注意可疑人事物</w:t>
      </w:r>
      <w:r w:rsidRPr="00E73950">
        <w:rPr>
          <w:spacing w:val="-30"/>
        </w:rPr>
        <w:t>、</w:t>
      </w:r>
      <w:r w:rsidRPr="00AC77DF">
        <w:t>（二）充實監視設備系統</w:t>
      </w:r>
      <w:r w:rsidRPr="00E73950">
        <w:rPr>
          <w:spacing w:val="-30"/>
        </w:rPr>
        <w:t>、</w:t>
      </w:r>
      <w:r w:rsidRPr="00AC77DF">
        <w:t>（三）加強員工危機意識</w:t>
      </w:r>
      <w:r w:rsidR="003E5D8B">
        <w:rPr>
          <w:rFonts w:hint="eastAsia"/>
        </w:rPr>
        <w:t>等</w:t>
      </w:r>
      <w:r w:rsidRPr="00AC77DF">
        <w:t>檢討改善事項，並請各課、室、段、隊協助辦理。</w:t>
      </w:r>
    </w:p>
    <w:p w:rsidR="003807A5" w:rsidRPr="00AC77DF" w:rsidRDefault="003807A5" w:rsidP="00243780">
      <w:pPr>
        <w:pStyle w:val="1----"/>
        <w:ind w:left="600" w:hanging="360"/>
        <w:rPr>
          <w:b/>
        </w:rPr>
      </w:pPr>
      <w:r w:rsidRPr="00AC77DF">
        <w:t>2</w:t>
      </w:r>
      <w:r w:rsidRPr="00AC77DF">
        <w:t>、有關新竹市警察局前少年隊</w:t>
      </w:r>
      <w:r w:rsidR="00F12419" w:rsidRPr="00AC77DF">
        <w:t>郭</w:t>
      </w:r>
      <w:r w:rsidR="00F12419">
        <w:rPr>
          <w:rFonts w:hint="eastAsia"/>
        </w:rPr>
        <w:t>姓</w:t>
      </w:r>
      <w:r w:rsidRPr="00AC77DF">
        <w:t>偵查佐疑涉洩漏國防以外秘密罪等情案，該局原係依警察人員人事條例及警察機關辦理獎懲案件注意事項第</w:t>
      </w:r>
      <w:r w:rsidRPr="00AC77DF">
        <w:t>23</w:t>
      </w:r>
      <w:r w:rsidRPr="00AC77DF">
        <w:t>點規定，因其所涉瀆職罪，最重本刑</w:t>
      </w:r>
      <w:r w:rsidRPr="00AC77DF">
        <w:t>3</w:t>
      </w:r>
      <w:r w:rsidRPr="00AC77DF">
        <w:t>年以下有期徒刑，非屬停職或移付懲戒之範疇，因認事證未臻明確，</w:t>
      </w:r>
      <w:r w:rsidR="00437B51">
        <w:rPr>
          <w:rFonts w:hint="eastAsia"/>
          <w:lang w:eastAsia="zh-TW"/>
        </w:rPr>
        <w:t>原</w:t>
      </w:r>
      <w:r w:rsidRPr="00AC77DF">
        <w:t>擬</w:t>
      </w:r>
      <w:r w:rsidR="00437B51">
        <w:rPr>
          <w:rFonts w:hint="eastAsia"/>
          <w:lang w:eastAsia="zh-TW"/>
        </w:rPr>
        <w:t>視</w:t>
      </w:r>
      <w:r w:rsidRPr="00AC77DF">
        <w:t>法院判決確定情形，再行</w:t>
      </w:r>
      <w:r w:rsidR="00437B51">
        <w:rPr>
          <w:rFonts w:hint="eastAsia"/>
          <w:lang w:eastAsia="zh-TW"/>
        </w:rPr>
        <w:t>處</w:t>
      </w:r>
      <w:r w:rsidRPr="00AC77DF">
        <w:t>理相關人員行政責任。惟經監察院調查後，該員違失事證明確，該局已另擬議郭員及相關考核監督人員行政懲處責任報署核備同意在案（郭員擬予記過兩次</w:t>
      </w:r>
      <w:r w:rsidRPr="00E73950">
        <w:rPr>
          <w:spacing w:val="-30"/>
        </w:rPr>
        <w:t>）</w:t>
      </w:r>
      <w:r w:rsidRPr="00AC77DF">
        <w:t>。本案該局檢討將持續宣導警察機關加強戶役政資訊稽核實施計畫相關規定，並落實稽核工作，避免再有類似情形發生。</w:t>
      </w:r>
    </w:p>
    <w:p w:rsidR="003807A5" w:rsidRPr="00AC77DF" w:rsidRDefault="00492E26" w:rsidP="00527678">
      <w:pPr>
        <w:pStyle w:val="afff1"/>
        <w:spacing w:before="360" w:after="360"/>
      </w:pPr>
      <w:bookmarkStart w:id="283" w:name="_Toc527731158"/>
      <w:r>
        <w:rPr>
          <w:rFonts w:hint="eastAsia"/>
        </w:rPr>
        <w:lastRenderedPageBreak/>
        <w:t>(四)</w:t>
      </w:r>
      <w:r w:rsidR="003807A5" w:rsidRPr="00AC77DF">
        <w:rPr>
          <w:lang w:eastAsia="zh-HK"/>
        </w:rPr>
        <w:t>案件進展</w:t>
      </w:r>
      <w:bookmarkEnd w:id="283"/>
    </w:p>
    <w:p w:rsidR="003807A5" w:rsidRDefault="003807A5" w:rsidP="00B7222B">
      <w:pPr>
        <w:pStyle w:val="1---"/>
        <w:ind w:firstLine="480"/>
        <w:rPr>
          <w:lang w:eastAsia="zh-TW"/>
        </w:rPr>
      </w:pPr>
      <w:r w:rsidRPr="00AC77DF">
        <w:t>本案在監察院監督下，已產生具體成果</w:t>
      </w:r>
      <w:r w:rsidR="001C04CF">
        <w:rPr>
          <w:rFonts w:hint="eastAsia"/>
          <w:lang w:eastAsia="zh-TW"/>
        </w:rPr>
        <w:t>；又</w:t>
      </w:r>
      <w:r w:rsidRPr="00AC77DF">
        <w:t>警方相關失職人員亦已議處，爰予結案。</w:t>
      </w:r>
    </w:p>
    <w:p w:rsidR="00492E26" w:rsidRDefault="00492E26" w:rsidP="00B7222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3681"/>
      </w:tblGrid>
      <w:tr w:rsidR="00492E26" w:rsidTr="00E73950">
        <w:tc>
          <w:tcPr>
            <w:tcW w:w="3681" w:type="dxa"/>
            <w:shd w:val="clear" w:color="auto" w:fill="D9D9D9" w:themeFill="background1" w:themeFillShade="D9"/>
          </w:tcPr>
          <w:p w:rsidR="00492E26" w:rsidRDefault="00492E26" w:rsidP="00E73950">
            <w:pPr>
              <w:pStyle w:val="11-"/>
              <w:spacing w:before="72" w:after="108"/>
              <w:rPr>
                <w:lang w:eastAsia="zh-TW"/>
              </w:rPr>
            </w:pPr>
            <w:bookmarkStart w:id="284" w:name="_Toc527731100"/>
            <w:bookmarkStart w:id="285" w:name="_Toc535228365"/>
            <w:bookmarkStart w:id="286" w:name="_Toc4058776"/>
            <w:r w:rsidRPr="00AC77DF">
              <w:t>政風人員法定職掌與定位</w:t>
            </w:r>
            <w:bookmarkEnd w:id="284"/>
            <w:bookmarkEnd w:id="285"/>
            <w:bookmarkEnd w:id="286"/>
          </w:p>
        </w:tc>
      </w:tr>
    </w:tbl>
    <w:p w:rsidR="003807A5" w:rsidRPr="00AC77DF" w:rsidRDefault="00492E26" w:rsidP="00527678">
      <w:pPr>
        <w:pStyle w:val="afff1"/>
        <w:spacing w:before="360" w:after="360"/>
      </w:pPr>
      <w:bookmarkStart w:id="287" w:name="_Toc527731101"/>
      <w:r>
        <w:rPr>
          <w:rFonts w:hint="eastAsia"/>
        </w:rPr>
        <w:t>(一)</w:t>
      </w:r>
      <w:r w:rsidR="003807A5" w:rsidRPr="00AC77DF">
        <w:t>案情簡述</w:t>
      </w:r>
      <w:bookmarkEnd w:id="287"/>
    </w:p>
    <w:p w:rsidR="003807A5" w:rsidRPr="00AC77DF" w:rsidRDefault="003807A5" w:rsidP="00B7222B">
      <w:pPr>
        <w:pStyle w:val="1---"/>
        <w:ind w:firstLine="480"/>
      </w:pPr>
      <w:r w:rsidRPr="00AC77DF">
        <w:t>我國政風機構與人員設置，原係機關防制貪瀆內控機制，惟近期部分政風機構與人員進行內部調查所採手段，因涉逾越權限及違反比例原則，引發社會爭議。究政風機構與人員法定職掌及其定位為何？進行調查所採取之方式及措施有無逾越一般法律原則情事？事涉政風機構與人員進行內部調查權責與界限，有深入瞭解必要，爰經監察委員立案調查。</w:t>
      </w:r>
    </w:p>
    <w:p w:rsidR="003807A5" w:rsidRPr="00AC77DF" w:rsidRDefault="00BD69D7" w:rsidP="00527678">
      <w:pPr>
        <w:pStyle w:val="afff1"/>
        <w:spacing w:before="360" w:after="360"/>
      </w:pPr>
      <w:bookmarkStart w:id="288" w:name="_Toc527731102"/>
      <w:r>
        <w:rPr>
          <w:rFonts w:hint="eastAsia"/>
        </w:rPr>
        <w:t>(二)</w:t>
      </w:r>
      <w:r w:rsidR="003807A5" w:rsidRPr="00AC77DF">
        <w:t>監察院調查發現與建議</w:t>
      </w:r>
      <w:bookmarkEnd w:id="288"/>
    </w:p>
    <w:p w:rsidR="003807A5" w:rsidRPr="00AC77DF" w:rsidRDefault="00FD29F8" w:rsidP="00D92DAE">
      <w:pPr>
        <w:pStyle w:val="1--13"/>
        <w:spacing w:before="180" w:after="180"/>
      </w:pPr>
      <w:r w:rsidRPr="008E1832">
        <w:rPr>
          <w:rFonts w:hint="eastAsia"/>
        </w:rPr>
        <w:t>˙</w:t>
      </w:r>
      <w:r w:rsidR="003807A5" w:rsidRPr="00AC77DF">
        <w:t>法規未盡明確</w:t>
      </w:r>
    </w:p>
    <w:p w:rsidR="003807A5" w:rsidRDefault="003807A5" w:rsidP="00B7222B">
      <w:pPr>
        <w:pStyle w:val="1---"/>
        <w:ind w:firstLine="480"/>
        <w:rPr>
          <w:lang w:eastAsia="zh-TW"/>
        </w:rPr>
      </w:pPr>
      <w:r w:rsidRPr="00AC77DF">
        <w:t>法務部未善盡監督職責，任令現行規範政風人員權限之相關法規內容未盡明確，逾越一般人所得預見與理解，核與法律明確性原則不符，致使基層政風人員無所適從</w:t>
      </w:r>
      <w:r w:rsidRPr="00AC77DF">
        <w:rPr>
          <w:lang w:eastAsia="zh-TW"/>
        </w:rPr>
        <w:t>。</w:t>
      </w:r>
    </w:p>
    <w:p w:rsidR="00EB3878" w:rsidRPr="00AC77DF" w:rsidRDefault="00EB3878" w:rsidP="00B7222B">
      <w:pPr>
        <w:pStyle w:val="1---"/>
        <w:ind w:firstLine="480"/>
        <w:rPr>
          <w:lang w:eastAsia="zh-TW"/>
        </w:rPr>
      </w:pPr>
    </w:p>
    <w:p w:rsidR="003807A5" w:rsidRPr="00AC77DF" w:rsidRDefault="00FD29F8" w:rsidP="00D92DAE">
      <w:pPr>
        <w:pStyle w:val="1--13"/>
        <w:spacing w:before="180" w:after="180"/>
      </w:pPr>
      <w:r w:rsidRPr="008E1832">
        <w:rPr>
          <w:rFonts w:hint="eastAsia"/>
        </w:rPr>
        <w:lastRenderedPageBreak/>
        <w:t>˙</w:t>
      </w:r>
      <w:r w:rsidR="003807A5" w:rsidRPr="00AC77DF">
        <w:t>不得逾越行政調查權</w:t>
      </w:r>
    </w:p>
    <w:p w:rsidR="003807A5" w:rsidRPr="00AC77DF" w:rsidRDefault="003807A5" w:rsidP="00B7222B">
      <w:pPr>
        <w:pStyle w:val="1---"/>
        <w:ind w:firstLine="480"/>
        <w:rPr>
          <w:b/>
        </w:rPr>
      </w:pPr>
      <w:r w:rsidRPr="00AC77DF">
        <w:t>法務部未盡監督職責，致部分政風人員未能清楚辨別政風職權本質屬於行政調查權，職權之行使範疇除須符合相關法律規定與原則外，自不得超出行政權範疇，縱配置於司法或監察等機關者亦同。部分政風人員亦未能認識職權行使過程及手段須合於比例原則及權力分立原則，致使用測謊、調閱記者通聯等調查手段，逾越權限侵害人權，而引發社會質疑。</w:t>
      </w:r>
    </w:p>
    <w:p w:rsidR="003807A5" w:rsidRPr="00AC77DF" w:rsidRDefault="003807A5" w:rsidP="00B7222B">
      <w:pPr>
        <w:pStyle w:val="1---"/>
        <w:ind w:firstLine="480"/>
        <w:rPr>
          <w:lang w:eastAsia="zh-TW"/>
        </w:rPr>
      </w:pPr>
      <w:r w:rsidRPr="00AC77DF">
        <w:t>行政調查方式手段多元，廉政署宜在法治國家原則下，審慎檢討研修現有相關規定，適時完備法制推動作業，使人權保障與防貪廉政功能得以兼顧。</w:t>
      </w:r>
    </w:p>
    <w:p w:rsidR="003807A5" w:rsidRPr="00AC77DF" w:rsidRDefault="00FD29F8" w:rsidP="00D92DAE">
      <w:pPr>
        <w:pStyle w:val="1--13"/>
        <w:spacing w:before="180" w:after="180"/>
      </w:pPr>
      <w:r w:rsidRPr="008E1832">
        <w:rPr>
          <w:rFonts w:hint="eastAsia"/>
        </w:rPr>
        <w:t>˙</w:t>
      </w:r>
      <w:r w:rsidR="003807A5" w:rsidRPr="00AC77DF">
        <w:t>建構完善政風人員考訓機制</w:t>
      </w:r>
    </w:p>
    <w:p w:rsidR="003807A5" w:rsidRPr="00AC77DF" w:rsidRDefault="003807A5" w:rsidP="00B7222B">
      <w:pPr>
        <w:pStyle w:val="1---"/>
        <w:ind w:firstLine="480"/>
        <w:rPr>
          <w:b/>
        </w:rPr>
      </w:pPr>
      <w:r w:rsidRPr="00AC77DF">
        <w:t>為加強人才培育、提升政風人員專業知能，並落實考、訓、用合一精神，法務部宜建構完善之政風人員考用、培訓機制，以提升政風人員專業化、依法行政之原則，以維人民權益，並提高防貪、反貪、肅貪之行政效能。</w:t>
      </w:r>
    </w:p>
    <w:p w:rsidR="003807A5" w:rsidRPr="00AC77DF" w:rsidRDefault="003807A5" w:rsidP="00E53322">
      <w:pPr>
        <w:pStyle w:val="1---"/>
        <w:ind w:firstLine="480"/>
        <w:rPr>
          <w:b/>
          <w:lang w:eastAsia="zh-TW"/>
        </w:rPr>
      </w:pPr>
      <w:r w:rsidRPr="00AC77DF">
        <w:t>依據本案調查意見</w:t>
      </w:r>
      <w:r w:rsidRPr="005F1DE2">
        <w:rPr>
          <w:rStyle w:val="aff2"/>
        </w:rPr>
        <w:footnoteReference w:id="80"/>
      </w:r>
      <w:r w:rsidRPr="00AC77DF">
        <w:t>，監察院</w:t>
      </w:r>
      <w:r w:rsidRPr="00AC77DF">
        <w:rPr>
          <w:lang w:eastAsia="zh-TW"/>
        </w:rPr>
        <w:t>糾正法務部，</w:t>
      </w:r>
      <w:r w:rsidRPr="00AC77DF">
        <w:t>並函請</w:t>
      </w:r>
      <w:r w:rsidRPr="00AC77DF">
        <w:rPr>
          <w:lang w:eastAsia="zh-TW"/>
        </w:rPr>
        <w:t>該部</w:t>
      </w:r>
      <w:r w:rsidRPr="00AC77DF">
        <w:t>確實檢討改進見復。</w:t>
      </w:r>
    </w:p>
    <w:p w:rsidR="003807A5" w:rsidRPr="00AC77DF" w:rsidRDefault="00BD69D7" w:rsidP="00527678">
      <w:pPr>
        <w:pStyle w:val="afff1"/>
        <w:spacing w:before="360" w:after="360"/>
      </w:pPr>
      <w:bookmarkStart w:id="289" w:name="_Toc527731103"/>
      <w:r>
        <w:rPr>
          <w:rFonts w:hint="eastAsia"/>
        </w:rPr>
        <w:t>(三)</w:t>
      </w:r>
      <w:r w:rsidR="003807A5" w:rsidRPr="00AC77DF">
        <w:t>政府機關改善情形</w:t>
      </w:r>
      <w:bookmarkEnd w:id="289"/>
    </w:p>
    <w:p w:rsidR="003807A5" w:rsidRPr="00AC77DF" w:rsidRDefault="003807A5" w:rsidP="00E53322">
      <w:pPr>
        <w:pStyle w:val="1----"/>
        <w:ind w:left="600" w:hanging="360"/>
      </w:pPr>
      <w:r w:rsidRPr="00AC77DF">
        <w:t>1</w:t>
      </w:r>
      <w:r w:rsidRPr="00AC77DF">
        <w:t>、法務部廉政署刻正研訂「政風機構執行行政調查作業要點</w:t>
      </w:r>
      <w:r w:rsidRPr="000B21D6">
        <w:rPr>
          <w:spacing w:val="-30"/>
        </w:rPr>
        <w:t>」</w:t>
      </w:r>
      <w:r w:rsidRPr="00AC77DF">
        <w:t>（草案</w:t>
      </w:r>
      <w:r w:rsidRPr="000B21D6">
        <w:rPr>
          <w:spacing w:val="-30"/>
        </w:rPr>
        <w:t>）</w:t>
      </w:r>
      <w:r w:rsidRPr="00AC77DF">
        <w:t>，並於</w:t>
      </w:r>
      <w:r w:rsidRPr="00AC77DF">
        <w:t>106</w:t>
      </w:r>
      <w:r w:rsidRPr="00AC77DF">
        <w:t>年</w:t>
      </w:r>
      <w:r w:rsidRPr="00AC77DF">
        <w:t>10</w:t>
      </w:r>
      <w:r w:rsidRPr="00AC77DF">
        <w:t>月間辦理</w:t>
      </w:r>
      <w:r w:rsidRPr="00AC77DF">
        <w:t>4</w:t>
      </w:r>
      <w:r w:rsidRPr="00AC77DF">
        <w:t>場次全國性政風人</w:t>
      </w:r>
      <w:r w:rsidRPr="00AC77DF">
        <w:lastRenderedPageBreak/>
        <w:t>員分區座談會議（約</w:t>
      </w:r>
      <w:r w:rsidRPr="00AC77DF">
        <w:t>1,400</w:t>
      </w:r>
      <w:r w:rsidRPr="00AC77DF">
        <w:t>人參加）及</w:t>
      </w:r>
      <w:r w:rsidRPr="00AC77DF">
        <w:t>1</w:t>
      </w:r>
      <w:r w:rsidRPr="00AC77DF">
        <w:t>場次全國主管機關政風機構高階主管會議，同時責請各政風機構人員執行案件查察時，應嚴守法定分際及注意適當性、必要性及比例性等原則。另</w:t>
      </w:r>
      <w:r w:rsidRPr="00AC77DF">
        <w:t>106</w:t>
      </w:r>
      <w:r w:rsidRPr="00AC77DF">
        <w:t>年</w:t>
      </w:r>
      <w:r w:rsidRPr="00AC77DF">
        <w:t>3</w:t>
      </w:r>
      <w:r w:rsidRPr="00AC77DF">
        <w:t>月</w:t>
      </w:r>
      <w:r w:rsidRPr="00AC77DF">
        <w:t>20</w:t>
      </w:r>
      <w:r w:rsidRPr="00AC77DF">
        <w:t>日函頒「政風人員執行行政調查作為之原則及參考作法」，其中對於「測謊」列為項次第</w:t>
      </w:r>
      <w:r w:rsidRPr="00AC77DF">
        <w:t>24</w:t>
      </w:r>
      <w:r w:rsidRPr="00AC77DF">
        <w:t>之「針對當事人所為之行政調查作為」部分，經通盤檢討後將予刪除，藉此確保行政調查作為之妥適合法。</w:t>
      </w:r>
    </w:p>
    <w:p w:rsidR="003807A5" w:rsidRPr="00AC77DF" w:rsidRDefault="003807A5" w:rsidP="00E53322">
      <w:pPr>
        <w:pStyle w:val="1----"/>
        <w:ind w:left="600" w:hanging="360"/>
      </w:pPr>
      <w:r w:rsidRPr="00AC77DF">
        <w:t>2</w:t>
      </w:r>
      <w:r w:rsidRPr="00AC77DF">
        <w:t>、廉政署已針對「新進人員</w:t>
      </w:r>
      <w:r w:rsidRPr="000B21D6">
        <w:rPr>
          <w:spacing w:val="-30"/>
        </w:rPr>
        <w:t>」</w:t>
      </w:r>
      <w:r w:rsidRPr="00AC77DF">
        <w:t>，每年就高普考及地方特考廉政類科錄取人員施以職前學習、專業學習等訓練課程，另將規劃納入法律專題、肅貪及政風查處實務課程，以強化新進廉政人員肅貪專業知能；另針對「在職人員」部分，廉政署將不定期辦理肅貪業務專精班、廉政人員訓練班結業人員業務聯繫研習、薦任第九職等政風主管研究班、高階廉政人員研習、肅貪查處實務分區精進講習及各項業務精進等教育訓練，以提升及強化在職廉政人員專業職能。</w:t>
      </w:r>
    </w:p>
    <w:p w:rsidR="003807A5" w:rsidRPr="00AC77DF" w:rsidRDefault="003807A5" w:rsidP="00E53322">
      <w:pPr>
        <w:pStyle w:val="1----"/>
        <w:ind w:left="600" w:hanging="360"/>
      </w:pPr>
      <w:r w:rsidRPr="00AC77DF">
        <w:t>3</w:t>
      </w:r>
      <w:r w:rsidRPr="00AC77DF">
        <w:t>、法務部將加速訂定「政風機構執行行政調查作業要點」，並俟要點訂定完成，併同修正廉政署「政風人員執行行政調查作為之原則及參考作法</w:t>
      </w:r>
      <w:r w:rsidRPr="000B21D6">
        <w:rPr>
          <w:spacing w:val="-30"/>
        </w:rPr>
        <w:t>」</w:t>
      </w:r>
      <w:r w:rsidRPr="00AC77DF">
        <w:t>。</w:t>
      </w:r>
    </w:p>
    <w:p w:rsidR="003807A5" w:rsidRPr="00AC77DF" w:rsidRDefault="00BD69D7" w:rsidP="00527678">
      <w:pPr>
        <w:pStyle w:val="afff1"/>
        <w:spacing w:before="360" w:after="360"/>
      </w:pPr>
      <w:bookmarkStart w:id="290" w:name="_Toc527731104"/>
      <w:r>
        <w:rPr>
          <w:rFonts w:hint="eastAsia"/>
        </w:rPr>
        <w:t>(四)</w:t>
      </w:r>
      <w:r w:rsidR="003807A5" w:rsidRPr="00AC77DF">
        <w:t>案件進展</w:t>
      </w:r>
      <w:bookmarkEnd w:id="290"/>
    </w:p>
    <w:p w:rsidR="003807A5" w:rsidRDefault="003807A5" w:rsidP="00B7222B">
      <w:pPr>
        <w:pStyle w:val="1---"/>
        <w:ind w:firstLine="480"/>
        <w:rPr>
          <w:lang w:eastAsia="zh-TW"/>
        </w:rPr>
      </w:pPr>
      <w:r w:rsidRPr="00AC77DF">
        <w:t>本案監察院仍列管追蹤中。</w:t>
      </w:r>
    </w:p>
    <w:p w:rsidR="00BD69D7" w:rsidRDefault="00BD69D7" w:rsidP="00B7222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6464"/>
      </w:tblGrid>
      <w:tr w:rsidR="00BD69D7" w:rsidTr="000B21D6">
        <w:tc>
          <w:tcPr>
            <w:tcW w:w="6464" w:type="dxa"/>
            <w:shd w:val="clear" w:color="auto" w:fill="D9D9D9" w:themeFill="background1" w:themeFillShade="D9"/>
          </w:tcPr>
          <w:p w:rsidR="00BD69D7" w:rsidRDefault="00BD69D7" w:rsidP="00716441">
            <w:pPr>
              <w:pStyle w:val="11-"/>
              <w:spacing w:before="72" w:after="108"/>
              <w:rPr>
                <w:lang w:eastAsia="zh-TW"/>
              </w:rPr>
            </w:pPr>
            <w:bookmarkStart w:id="291" w:name="_Toc527731080"/>
            <w:bookmarkStart w:id="292" w:name="_Toc535228366"/>
            <w:bookmarkStart w:id="293" w:name="_Toc4058777"/>
            <w:r w:rsidRPr="00AC77DF">
              <w:lastRenderedPageBreak/>
              <w:t>石碇</w:t>
            </w:r>
            <w:r w:rsidRPr="00AC77DF">
              <w:rPr>
                <w:lang w:eastAsia="zh-HK"/>
              </w:rPr>
              <w:t>及</w:t>
            </w:r>
            <w:r w:rsidRPr="00AC77DF">
              <w:t>瑞芳地區共黨基地受難者司法救濟案</w:t>
            </w:r>
            <w:bookmarkEnd w:id="291"/>
            <w:bookmarkEnd w:id="292"/>
            <w:bookmarkEnd w:id="293"/>
          </w:p>
        </w:tc>
      </w:tr>
    </w:tbl>
    <w:p w:rsidR="003807A5" w:rsidRPr="00AC77DF" w:rsidRDefault="003807A5" w:rsidP="00BD69D7">
      <w:pPr>
        <w:pStyle w:val="1---"/>
        <w:ind w:firstLine="480"/>
      </w:pPr>
    </w:p>
    <w:tbl>
      <w:tblPr>
        <w:tblW w:w="4718" w:type="pct"/>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464"/>
      </w:tblGrid>
      <w:tr w:rsidR="003807A5" w:rsidRPr="00AC77DF" w:rsidTr="00EB3878">
        <w:trPr>
          <w:trHeight w:val="442"/>
        </w:trPr>
        <w:tc>
          <w:tcPr>
            <w:tcW w:w="5000" w:type="pct"/>
          </w:tcPr>
          <w:p w:rsidR="003807A5" w:rsidRPr="00AC77DF" w:rsidRDefault="003807A5" w:rsidP="000B21D6">
            <w:pPr>
              <w:spacing w:line="360" w:lineRule="exact"/>
              <w:jc w:val="both"/>
              <w:rPr>
                <w:lang w:val="x-none"/>
              </w:rPr>
            </w:pPr>
            <w:r w:rsidRPr="00AC77DF">
              <w:rPr>
                <w:b/>
                <w:lang w:val="x-none"/>
              </w:rPr>
              <w:t>相關國際人權公約：</w:t>
            </w:r>
            <w:r w:rsidRPr="00AC77DF">
              <w:t>公民與政治權利國際公約第</w:t>
            </w:r>
            <w:r w:rsidRPr="00AC77DF">
              <w:t>7</w:t>
            </w:r>
            <w:r w:rsidRPr="00AC77DF">
              <w:t>條、第</w:t>
            </w:r>
            <w:r w:rsidRPr="00AC77DF">
              <w:t>9</w:t>
            </w:r>
            <w:r w:rsidRPr="00AC77DF">
              <w:t>條、第</w:t>
            </w:r>
            <w:r w:rsidRPr="00AC77DF">
              <w:t>10</w:t>
            </w:r>
            <w:r w:rsidRPr="00AC77DF">
              <w:t>條；公民與政治權利國際公約第</w:t>
            </w:r>
            <w:r w:rsidRPr="00AC77DF">
              <w:t>7</w:t>
            </w:r>
            <w:r w:rsidRPr="00AC77DF">
              <w:t>號、第</w:t>
            </w:r>
            <w:r w:rsidRPr="00AC77DF">
              <w:t>9</w:t>
            </w:r>
            <w:r w:rsidRPr="00AC77DF">
              <w:t>號一般性意見。</w:t>
            </w:r>
          </w:p>
          <w:p w:rsidR="003807A5" w:rsidRPr="00AC77DF" w:rsidRDefault="003807A5" w:rsidP="000B21D6">
            <w:pPr>
              <w:spacing w:line="360" w:lineRule="exact"/>
              <w:jc w:val="both"/>
              <w:rPr>
                <w:b/>
                <w:lang w:val="x-none"/>
              </w:rPr>
            </w:pPr>
            <w:r w:rsidRPr="00AC77DF">
              <w:rPr>
                <w:b/>
              </w:rPr>
              <w:t>公民與政治權利國際公約</w:t>
            </w:r>
            <w:r w:rsidRPr="00AC77DF">
              <w:rPr>
                <w:b/>
                <w:lang w:val="x-none"/>
              </w:rPr>
              <w:t>第</w:t>
            </w:r>
            <w:r w:rsidRPr="00AC77DF">
              <w:rPr>
                <w:b/>
                <w:lang w:val="x-none"/>
              </w:rPr>
              <w:t>7</w:t>
            </w:r>
            <w:r w:rsidRPr="00AC77DF">
              <w:rPr>
                <w:b/>
                <w:lang w:val="x-none"/>
              </w:rPr>
              <w:t>條</w:t>
            </w:r>
          </w:p>
          <w:p w:rsidR="003807A5" w:rsidRPr="00AC77DF" w:rsidRDefault="003807A5" w:rsidP="000B21D6">
            <w:pPr>
              <w:spacing w:line="360" w:lineRule="exact"/>
              <w:jc w:val="both"/>
              <w:rPr>
                <w:lang w:val="x-none"/>
              </w:rPr>
            </w:pPr>
            <w:r w:rsidRPr="00AC77DF">
              <w:rPr>
                <w:lang w:val="x-none"/>
              </w:rPr>
              <w:t>任何人不得施以酷刑，或予以殘忍、不人道或侮辱之處遇或懲罰。非經本人自願同意，尤不得對任何人作醫學或科學試驗。</w:t>
            </w:r>
          </w:p>
          <w:p w:rsidR="003807A5" w:rsidRPr="00AC77DF" w:rsidRDefault="003807A5" w:rsidP="000B21D6">
            <w:pPr>
              <w:spacing w:line="360" w:lineRule="exact"/>
              <w:jc w:val="both"/>
              <w:rPr>
                <w:b/>
                <w:lang w:val="x-none"/>
              </w:rPr>
            </w:pPr>
            <w:r w:rsidRPr="00AC77DF">
              <w:rPr>
                <w:b/>
              </w:rPr>
              <w:t>公民與政治權利國際公約</w:t>
            </w:r>
            <w:r w:rsidRPr="00AC77DF">
              <w:rPr>
                <w:b/>
                <w:lang w:val="x-none"/>
              </w:rPr>
              <w:t>第</w:t>
            </w:r>
            <w:r w:rsidRPr="00AC77DF">
              <w:rPr>
                <w:b/>
                <w:lang w:val="x-none"/>
              </w:rPr>
              <w:t>9</w:t>
            </w:r>
            <w:r w:rsidRPr="00AC77DF">
              <w:rPr>
                <w:b/>
                <w:lang w:val="x-none"/>
              </w:rPr>
              <w:t>條</w:t>
            </w:r>
          </w:p>
          <w:p w:rsidR="003807A5" w:rsidRPr="00AC77DF" w:rsidRDefault="003807A5" w:rsidP="000B21D6">
            <w:pPr>
              <w:spacing w:line="360" w:lineRule="exact"/>
              <w:ind w:left="480" w:hangingChars="200" w:hanging="480"/>
              <w:jc w:val="both"/>
              <w:rPr>
                <w:lang w:val="x-none"/>
              </w:rPr>
            </w:pPr>
            <w:r w:rsidRPr="00AC77DF">
              <w:rPr>
                <w:lang w:val="x-none"/>
              </w:rPr>
              <w:t>一、人人有權享有身體自由及人身安全。任何人不得無理予以逮捕或拘禁。非依法定理由及程序，不得剝奪任何人之自由。</w:t>
            </w:r>
          </w:p>
          <w:p w:rsidR="003807A5" w:rsidRPr="00AC77DF" w:rsidRDefault="003807A5" w:rsidP="000B21D6">
            <w:pPr>
              <w:spacing w:line="360" w:lineRule="exact"/>
              <w:ind w:left="480" w:hangingChars="200" w:hanging="480"/>
              <w:jc w:val="both"/>
              <w:rPr>
                <w:lang w:val="x-none"/>
              </w:rPr>
            </w:pPr>
            <w:r w:rsidRPr="00AC77DF">
              <w:rPr>
                <w:lang w:val="x-none"/>
              </w:rPr>
              <w:t>二、執行逮捕時，應當場向被捕人宣告逮捕原因，並應隨即告知被控案由。</w:t>
            </w:r>
          </w:p>
          <w:p w:rsidR="003807A5" w:rsidRPr="00AC77DF" w:rsidRDefault="003807A5" w:rsidP="000B21D6">
            <w:pPr>
              <w:spacing w:line="360" w:lineRule="exact"/>
              <w:ind w:left="480" w:hangingChars="200" w:hanging="480"/>
              <w:jc w:val="both"/>
              <w:rPr>
                <w:lang w:val="x-none"/>
              </w:rPr>
            </w:pPr>
            <w:r w:rsidRPr="00AC77DF">
              <w:rPr>
                <w:lang w:val="x-none"/>
              </w:rPr>
              <w:t>三、因刑事罪名而被逮捕或拘禁之人，應迅即解送法官或依法執行司法權力之其他官員，並應於合理期間內審訊或釋放。候訊人通常不得加以羈押，但釋放得令具報，於審訊時，於司法程序之任何其他階段、並於一旦執行判決時，候傳到場。</w:t>
            </w:r>
          </w:p>
          <w:p w:rsidR="003807A5" w:rsidRPr="00AC77DF" w:rsidRDefault="003807A5" w:rsidP="000B21D6">
            <w:pPr>
              <w:spacing w:line="360" w:lineRule="exact"/>
              <w:ind w:left="480" w:hangingChars="200" w:hanging="480"/>
              <w:jc w:val="both"/>
              <w:rPr>
                <w:lang w:val="x-none"/>
              </w:rPr>
            </w:pPr>
            <w:r w:rsidRPr="00AC77DF">
              <w:rPr>
                <w:lang w:val="x-none"/>
              </w:rPr>
              <w:t>四、任何人因逮捕或拘禁而被奪自由時，有權聲請法院提審，以迅速決定其拘禁是否合法，如屬非法，應即令釋放。</w:t>
            </w:r>
          </w:p>
          <w:p w:rsidR="003807A5" w:rsidRPr="00AC77DF" w:rsidRDefault="003807A5" w:rsidP="000B21D6">
            <w:pPr>
              <w:spacing w:line="360" w:lineRule="exact"/>
              <w:ind w:left="480" w:hangingChars="200" w:hanging="480"/>
              <w:jc w:val="both"/>
              <w:rPr>
                <w:lang w:val="x-none"/>
              </w:rPr>
            </w:pPr>
            <w:r w:rsidRPr="00AC77DF">
              <w:rPr>
                <w:lang w:val="x-none"/>
              </w:rPr>
              <w:t>五、任何人受非法逮捕或拘禁者，有權要求執行損害賠償。</w:t>
            </w:r>
          </w:p>
        </w:tc>
      </w:tr>
    </w:tbl>
    <w:p w:rsidR="003807A5" w:rsidRPr="00AC77DF" w:rsidRDefault="00BD69D7" w:rsidP="00527678">
      <w:pPr>
        <w:pStyle w:val="afff1"/>
        <w:spacing w:before="360" w:after="360"/>
      </w:pPr>
      <w:bookmarkStart w:id="294" w:name="_Toc527731081"/>
      <w:r>
        <w:rPr>
          <w:rFonts w:hint="eastAsia"/>
        </w:rPr>
        <w:lastRenderedPageBreak/>
        <w:t>(一)</w:t>
      </w:r>
      <w:r w:rsidR="003807A5" w:rsidRPr="00AC77DF">
        <w:t>案情簡述</w:t>
      </w:r>
      <w:bookmarkEnd w:id="294"/>
    </w:p>
    <w:p w:rsidR="003807A5" w:rsidRPr="00AC77DF" w:rsidRDefault="003807A5" w:rsidP="00B7222B">
      <w:pPr>
        <w:pStyle w:val="1---"/>
        <w:ind w:firstLine="480"/>
      </w:pPr>
      <w:r>
        <w:t>監察院</w:t>
      </w:r>
      <w:r w:rsidRPr="00AC77DF">
        <w:t>調查「鹿窟事件</w:t>
      </w:r>
      <w:r w:rsidRPr="000B21D6">
        <w:rPr>
          <w:spacing w:val="-30"/>
        </w:rPr>
        <w:t>」</w:t>
      </w:r>
      <w:r w:rsidRPr="00AC77DF">
        <w:t>（參見第一章自由權）期間，發現另有石碇玉桂嶺地區及瑞芳地區受害者，究玉桂嶺及瑞芳地區「曉」基地是否為「武裝基地</w:t>
      </w:r>
      <w:r w:rsidRPr="000B21D6">
        <w:rPr>
          <w:spacing w:val="-30"/>
        </w:rPr>
        <w:t>」</w:t>
      </w:r>
      <w:r w:rsidRPr="00AC77DF">
        <w:t>？村民有無遭受不當逮捕、濫刑逼供及不當審判致冤死或冤獄？家屬迄今是否獲得平反、賠償或補償？有無提起再審、補償及其他救濟途徑可能？監察委員認有深入瞭解之必要，而立案調查。</w:t>
      </w:r>
    </w:p>
    <w:p w:rsidR="003807A5" w:rsidRPr="00AC77DF" w:rsidRDefault="00BD69D7" w:rsidP="00527678">
      <w:pPr>
        <w:pStyle w:val="afff1"/>
        <w:spacing w:before="360" w:after="360"/>
      </w:pPr>
      <w:bookmarkStart w:id="295" w:name="_Toc527731082"/>
      <w:r>
        <w:rPr>
          <w:rFonts w:hint="eastAsia"/>
        </w:rPr>
        <w:t>(二)</w:t>
      </w:r>
      <w:r w:rsidR="003807A5" w:rsidRPr="00AC77DF">
        <w:t>監察院調查發現與建議</w:t>
      </w:r>
      <w:bookmarkEnd w:id="295"/>
    </w:p>
    <w:p w:rsidR="003807A5" w:rsidRPr="00AC77DF" w:rsidRDefault="00FD29F8" w:rsidP="00D92DAE">
      <w:pPr>
        <w:pStyle w:val="1--13"/>
        <w:spacing w:before="180" w:after="180"/>
      </w:pPr>
      <w:r w:rsidRPr="008E1832">
        <w:rPr>
          <w:rFonts w:hint="eastAsia"/>
        </w:rPr>
        <w:t>˙</w:t>
      </w:r>
      <w:r w:rsidR="003807A5" w:rsidRPr="00AC77DF">
        <w:t>共黨幹部確曾至玉桂嶺及瑞芳發展</w:t>
      </w:r>
    </w:p>
    <w:p w:rsidR="003807A5" w:rsidRPr="00AC77DF" w:rsidRDefault="003807A5" w:rsidP="00B7222B">
      <w:pPr>
        <w:pStyle w:val="1---"/>
        <w:ind w:firstLine="480"/>
        <w:rPr>
          <w:lang w:eastAsia="zh-TW"/>
        </w:rPr>
      </w:pPr>
      <w:r w:rsidRPr="00AC77DF">
        <w:t>38</w:t>
      </w:r>
      <w:r w:rsidRPr="00AC77DF">
        <w:t>年</w:t>
      </w:r>
      <w:r w:rsidRPr="00AC77DF">
        <w:t>9</w:t>
      </w:r>
      <w:r w:rsidRPr="00AC77DF">
        <w:t>月間</w:t>
      </w:r>
      <w:r w:rsidR="000702D0">
        <w:t>陳本江</w:t>
      </w:r>
      <w:r w:rsidRPr="008429DA">
        <w:rPr>
          <w:rFonts w:asciiTheme="majorEastAsia" w:eastAsiaTheme="majorEastAsia" w:hAnsiTheme="majorEastAsia"/>
        </w:rPr>
        <w:t>及</w:t>
      </w:r>
      <w:r w:rsidR="000702D0">
        <w:rPr>
          <w:rFonts w:asciiTheme="majorEastAsia" w:eastAsiaTheme="majorEastAsia" w:hAnsiTheme="majorEastAsia"/>
        </w:rPr>
        <w:t>陳通和</w:t>
      </w:r>
      <w:r w:rsidRPr="008429DA">
        <w:rPr>
          <w:rFonts w:asciiTheme="majorEastAsia" w:eastAsiaTheme="majorEastAsia" w:hAnsiTheme="majorEastAsia"/>
        </w:rPr>
        <w:t>奉</w:t>
      </w:r>
      <w:r w:rsidR="000702D0">
        <w:rPr>
          <w:rFonts w:asciiTheme="majorEastAsia" w:eastAsiaTheme="majorEastAsia" w:hAnsiTheme="majorEastAsia"/>
        </w:rPr>
        <w:t>蔡孝乾</w:t>
      </w:r>
      <w:r w:rsidRPr="00AC77DF">
        <w:t>之命建立鹿窟基地後，</w:t>
      </w:r>
      <w:r w:rsidRPr="00AC77DF">
        <w:t>39</w:t>
      </w:r>
      <w:r w:rsidRPr="00AC77DF">
        <w:t>年</w:t>
      </w:r>
      <w:r w:rsidRPr="00AC77DF">
        <w:t>4</w:t>
      </w:r>
      <w:r w:rsidRPr="00AC77DF">
        <w:t>、</w:t>
      </w:r>
      <w:r w:rsidRPr="00AC77DF">
        <w:t>5</w:t>
      </w:r>
      <w:r w:rsidRPr="00AC77DF">
        <w:t>月間派</w:t>
      </w:r>
      <w:r w:rsidR="00C019EF" w:rsidRPr="00AB6F07">
        <w:rPr>
          <w:rFonts w:hint="eastAsia"/>
        </w:rPr>
        <w:t>陳通和、方金澤</w:t>
      </w:r>
      <w:r w:rsidRPr="008429DA">
        <w:rPr>
          <w:rFonts w:asciiTheme="majorEastAsia" w:eastAsiaTheme="majorEastAsia" w:hAnsiTheme="majorEastAsia"/>
        </w:rPr>
        <w:t>等人</w:t>
      </w:r>
      <w:r w:rsidRPr="00AC77DF">
        <w:t>到玉桂嶺地區發展群眾，</w:t>
      </w:r>
      <w:r w:rsidRPr="00AC77DF">
        <w:t>40</w:t>
      </w:r>
      <w:r w:rsidRPr="00AC77DF">
        <w:t>年</w:t>
      </w:r>
      <w:r w:rsidRPr="00AC77DF">
        <w:t>5</w:t>
      </w:r>
      <w:r w:rsidRPr="00AC77DF">
        <w:t>月間開始南征計畫，派鹿窟基地大部分指導員及基本人員</w:t>
      </w:r>
      <w:r w:rsidR="00C019EF" w:rsidRPr="00AB6F07">
        <w:rPr>
          <w:rFonts w:hint="eastAsia"/>
        </w:rPr>
        <w:t>李上甲</w:t>
      </w:r>
      <w:r w:rsidRPr="00AC77DF">
        <w:t>等十餘人至玉桂嶺發展組織。幹部以加入共黨可配土地、窮人翻身、持槍要脅、燒香宣誓保密等方式，哄騙脅迫村民參加農村自衛隊（嗣改名人民武裝保衛隊</w:t>
      </w:r>
      <w:r w:rsidRPr="000B21D6">
        <w:rPr>
          <w:spacing w:val="-30"/>
        </w:rPr>
        <w:t>）</w:t>
      </w:r>
      <w:r w:rsidRPr="00AC77DF">
        <w:t>、結拜組織，成為隊員及結拜關係者共</w:t>
      </w:r>
      <w:r w:rsidRPr="00AC77DF">
        <w:t>60</w:t>
      </w:r>
      <w:r w:rsidRPr="00AC77DF">
        <w:t>餘人，並以血親連坐法集體宣誓加以控制。隊員共同任務為掩護基本人員的安全，部分村民從事幫忙連絡、掩護共黨幹部、供應採買、搭建草寮、燒木炭、介紹可吸收村民、協助建立基地等工作。同年</w:t>
      </w:r>
      <w:r w:rsidRPr="00AC77DF">
        <w:t>12</w:t>
      </w:r>
      <w:r w:rsidRPr="00AC77DF">
        <w:t>月初，因部分幹部被打山豬獵隊發現，通報刑警人員搜山，遂將全部幹部撤返鹿窟基地，至此玉桂嶺基地並無常駐共黨幹部。玉桂嶺基地</w:t>
      </w:r>
      <w:r w:rsidRPr="00AC77DF">
        <w:lastRenderedPageBreak/>
        <w:t>雖被稱為武裝基地，但指導員證述有槍</w:t>
      </w:r>
      <w:r w:rsidRPr="00AC77DF">
        <w:t>2</w:t>
      </w:r>
      <w:r w:rsidRPr="00AC77DF">
        <w:t>支但不清楚多少子彈，村民陳述外來幹部均攜帶手槍脅迫村民，官方文件無查獲武器記載，因此，玉桂嶺基地自</w:t>
      </w:r>
      <w:r w:rsidRPr="00AC77DF">
        <w:t>40</w:t>
      </w:r>
      <w:r w:rsidRPr="00AC77DF">
        <w:t>年</w:t>
      </w:r>
      <w:r w:rsidRPr="00AC77DF">
        <w:t>12</w:t>
      </w:r>
      <w:r w:rsidRPr="00AC77DF">
        <w:t>月幹部撤退後，似乎已喪失戰鬥力。</w:t>
      </w:r>
    </w:p>
    <w:p w:rsidR="003807A5" w:rsidRPr="00AC77DF" w:rsidRDefault="003807A5" w:rsidP="00B7222B">
      <w:pPr>
        <w:pStyle w:val="1---"/>
        <w:ind w:firstLine="480"/>
      </w:pPr>
      <w:r w:rsidRPr="00AC77DF">
        <w:t>又</w:t>
      </w:r>
      <w:r w:rsidR="000702D0">
        <w:t>陳本江</w:t>
      </w:r>
      <w:r w:rsidRPr="008429DA">
        <w:rPr>
          <w:rFonts w:asciiTheme="majorEastAsia" w:eastAsiaTheme="majorEastAsia" w:hAnsiTheme="majorEastAsia"/>
        </w:rPr>
        <w:t>、</w:t>
      </w:r>
      <w:r w:rsidR="000702D0">
        <w:rPr>
          <w:rFonts w:asciiTheme="majorEastAsia" w:eastAsiaTheme="majorEastAsia" w:hAnsiTheme="majorEastAsia"/>
        </w:rPr>
        <w:t>陳通和</w:t>
      </w:r>
      <w:r w:rsidRPr="00AC77DF">
        <w:t>因鹿窟基地恐不安全及人多需要疏散，於</w:t>
      </w:r>
      <w:r w:rsidRPr="00AC77DF">
        <w:t>41</w:t>
      </w:r>
      <w:r w:rsidRPr="00AC77DF">
        <w:t>年</w:t>
      </w:r>
      <w:r w:rsidRPr="00AC77DF">
        <w:t>4</w:t>
      </w:r>
      <w:r w:rsidRPr="00AC77DF">
        <w:t>月派</w:t>
      </w:r>
      <w:r w:rsidR="00C019EF" w:rsidRPr="00AB6F07">
        <w:rPr>
          <w:rFonts w:hint="eastAsia"/>
        </w:rPr>
        <w:t>李上甲</w:t>
      </w:r>
      <w:r w:rsidRPr="00AC77DF">
        <w:t>等人至瑞芳地區發展曉基地，作為鹿窟、玉桂嶺基地發生危險時之撤退基地。同年</w:t>
      </w:r>
      <w:r w:rsidRPr="00AC77DF">
        <w:t>6</w:t>
      </w:r>
      <w:r w:rsidRPr="00AC77DF">
        <w:t>月</w:t>
      </w:r>
      <w:r w:rsidR="000702D0">
        <w:t>陳本江</w:t>
      </w:r>
      <w:r w:rsidRPr="00AC77DF">
        <w:t>派</w:t>
      </w:r>
      <w:r w:rsidR="000702D0">
        <w:t>陳通和</w:t>
      </w:r>
      <w:r w:rsidRPr="008429DA">
        <w:rPr>
          <w:rFonts w:asciiTheme="majorEastAsia" w:eastAsiaTheme="majorEastAsia" w:hAnsiTheme="majorEastAsia"/>
        </w:rPr>
        <w:t>及</w:t>
      </w:r>
      <w:r w:rsidR="00C019EF" w:rsidRPr="001037D5">
        <w:rPr>
          <w:rFonts w:hint="eastAsia"/>
        </w:rPr>
        <w:t>許再傳</w:t>
      </w:r>
      <w:r w:rsidRPr="008429DA">
        <w:rPr>
          <w:rFonts w:asciiTheme="majorEastAsia" w:eastAsiaTheme="majorEastAsia" w:hAnsiTheme="majorEastAsia"/>
        </w:rPr>
        <w:t>至曉</w:t>
      </w:r>
      <w:r w:rsidRPr="00AC77DF">
        <w:t>基地負責領導教育工作，建立「台灣地下武裝工作隊</w:t>
      </w:r>
      <w:r w:rsidRPr="000B21D6">
        <w:rPr>
          <w:spacing w:val="-30"/>
        </w:rPr>
        <w:t>」</w:t>
      </w:r>
      <w:r w:rsidRPr="00AC77DF">
        <w:t>，準備戰鬥任務及開墾農場（即勞動訓練場）做長期鬥爭。曉基地之組織分為上級、基本人員及隊員，上級為</w:t>
      </w:r>
      <w:r w:rsidR="000702D0">
        <w:t>陳本江</w:t>
      </w:r>
      <w:r w:rsidRPr="008429DA">
        <w:rPr>
          <w:rFonts w:asciiTheme="majorEastAsia" w:eastAsiaTheme="majorEastAsia" w:hAnsiTheme="majorEastAsia"/>
        </w:rPr>
        <w:t>、</w:t>
      </w:r>
      <w:r w:rsidR="000702D0">
        <w:rPr>
          <w:rFonts w:asciiTheme="majorEastAsia" w:eastAsiaTheme="majorEastAsia" w:hAnsiTheme="majorEastAsia"/>
        </w:rPr>
        <w:t>陳通和</w:t>
      </w:r>
      <w:r w:rsidRPr="008429DA">
        <w:rPr>
          <w:rFonts w:asciiTheme="majorEastAsia" w:eastAsiaTheme="majorEastAsia" w:hAnsiTheme="majorEastAsia"/>
        </w:rPr>
        <w:t>，基本人員為</w:t>
      </w:r>
      <w:r w:rsidR="00C019EF" w:rsidRPr="001037D5">
        <w:rPr>
          <w:rFonts w:hint="eastAsia"/>
        </w:rPr>
        <w:t>許再傳</w:t>
      </w:r>
      <w:r w:rsidRPr="008429DA">
        <w:rPr>
          <w:rFonts w:asciiTheme="majorEastAsia" w:eastAsiaTheme="majorEastAsia" w:hAnsiTheme="majorEastAsia"/>
        </w:rPr>
        <w:t>等</w:t>
      </w:r>
      <w:r w:rsidRPr="00AC77DF">
        <w:t>12</w:t>
      </w:r>
      <w:r w:rsidRPr="00AC77DF">
        <w:t>人，隊員為</w:t>
      </w:r>
      <w:r w:rsidRPr="00AC77DF">
        <w:t>20</w:t>
      </w:r>
      <w:r w:rsidRPr="00AC77DF">
        <w:t>餘名村民。幹部以共黨是新民主、解放後工農可以翻身、知悉共黨份子必須守密等，誘騙或要求村民加入成為隊員或結拜兄弟。隊員接受新民主主義、共黨政治經濟學、守密防特等教育訓練，參加共黨集會討論共黨主義及解放臺灣，有些人協助連絡共黨幹部、代購糧食、通報訊息。幹部陳述基地有手槍約</w:t>
      </w:r>
      <w:r w:rsidRPr="00AC77DF">
        <w:t>5</w:t>
      </w:r>
      <w:r w:rsidRPr="00AC77DF">
        <w:t>、</w:t>
      </w:r>
      <w:r w:rsidRPr="00AC77DF">
        <w:t>6</w:t>
      </w:r>
      <w:r w:rsidRPr="00AC77DF">
        <w:t>支、手榴彈約</w:t>
      </w:r>
      <w:r w:rsidRPr="00AC77DF">
        <w:t>20</w:t>
      </w:r>
      <w:r w:rsidRPr="00AC77DF">
        <w:t>餘枚、山豬刀</w:t>
      </w:r>
      <w:r w:rsidRPr="00AC77DF">
        <w:t>12</w:t>
      </w:r>
      <w:r w:rsidRPr="00AC77DF">
        <w:t>把、短刀</w:t>
      </w:r>
      <w:r w:rsidRPr="00AC77DF">
        <w:t>6-7</w:t>
      </w:r>
      <w:r w:rsidRPr="00AC77DF">
        <w:t>支、共黨文件書籍</w:t>
      </w:r>
      <w:r w:rsidRPr="00AC77DF">
        <w:t>30-40</w:t>
      </w:r>
      <w:r w:rsidRPr="00AC77DF">
        <w:t>件、五星旗</w:t>
      </w:r>
      <w:r w:rsidRPr="00AC77DF">
        <w:t>1</w:t>
      </w:r>
      <w:r w:rsidRPr="00AC77DF">
        <w:t>面。因此，曉基地雖被稱為武裝基地，但武器不多，隊員多未受軍事訓練，戰鬥力極低。</w:t>
      </w:r>
    </w:p>
    <w:p w:rsidR="003807A5" w:rsidRPr="00AC77DF" w:rsidRDefault="00FD29F8" w:rsidP="00D92DAE">
      <w:pPr>
        <w:pStyle w:val="1--13"/>
        <w:spacing w:before="180" w:after="180"/>
      </w:pPr>
      <w:r w:rsidRPr="008E1832">
        <w:rPr>
          <w:rFonts w:hint="eastAsia"/>
        </w:rPr>
        <w:t>˙</w:t>
      </w:r>
      <w:r w:rsidR="003807A5" w:rsidRPr="00AC77DF">
        <w:t>刑求逼供及不當偵審侵害人權</w:t>
      </w:r>
    </w:p>
    <w:p w:rsidR="003807A5" w:rsidRPr="00AC77DF" w:rsidRDefault="003807A5" w:rsidP="000B21D6">
      <w:pPr>
        <w:pStyle w:val="1---"/>
        <w:ind w:firstLine="480"/>
        <w:jc w:val="distribute"/>
        <w:rPr>
          <w:lang w:eastAsia="zh-TW"/>
        </w:rPr>
      </w:pPr>
      <w:r w:rsidRPr="00AC77DF">
        <w:t>據多位村民陳述，其遭保密局人員於調查時刑求，以棍棒毆打，反手銬吊起來打，以尖銳物插五根手指，或用鋤頭柄蹍跪地之小腿，有人不堪刑求而昏倒，有人被打到腳踝破掉，因被刑求而為不符事實之陳述，嚴重侵害人權。軍事檢察官及軍</w:t>
      </w:r>
      <w:r w:rsidRPr="00AC77DF">
        <w:lastRenderedPageBreak/>
        <w:t>事審判官在偵審中，對於被告所提出之遭受刑求、受調查人員稱「承認便可獲釋」所誤導、因不識字或未給閱而不知筆錄記載內容、請求對質等主張，均未予審酌，多僅憑被告之自白及共同被告之陳述而為有罪判決。其中</w:t>
      </w:r>
      <w:r w:rsidRPr="00AC77DF">
        <w:t>2</w:t>
      </w:r>
      <w:r w:rsidRPr="00AC77DF">
        <w:t>人經總統批示進行復審後，保安司令部漠視其</w:t>
      </w:r>
      <w:r w:rsidRPr="00AC77DF">
        <w:t>2</w:t>
      </w:r>
      <w:r w:rsidRPr="00AC77DF">
        <w:t>人抗辯及對質請求，未詳查案情，僅依共同被告陳述，將</w:t>
      </w:r>
      <w:r w:rsidRPr="00AC77DF">
        <w:t>1</w:t>
      </w:r>
      <w:r w:rsidRPr="00AC77DF">
        <w:t>人裁定感化改判有期徒刑</w:t>
      </w:r>
      <w:r w:rsidRPr="00AC77DF">
        <w:t>10</w:t>
      </w:r>
      <w:r w:rsidRPr="00AC77DF">
        <w:t>年後再改判</w:t>
      </w:r>
      <w:r w:rsidRPr="000B21D6">
        <w:rPr>
          <w:spacing w:val="-2"/>
        </w:rPr>
        <w:t>12</w:t>
      </w:r>
      <w:r w:rsidRPr="000B21D6">
        <w:rPr>
          <w:spacing w:val="-2"/>
        </w:rPr>
        <w:t>年；另將</w:t>
      </w:r>
      <w:r w:rsidRPr="000B21D6">
        <w:rPr>
          <w:spacing w:val="-2"/>
        </w:rPr>
        <w:t>1</w:t>
      </w:r>
      <w:r w:rsidRPr="000B21D6">
        <w:rPr>
          <w:spacing w:val="-2"/>
        </w:rPr>
        <w:t>人判決有期徒刑</w:t>
      </w:r>
      <w:r w:rsidRPr="000B21D6">
        <w:rPr>
          <w:spacing w:val="-2"/>
        </w:rPr>
        <w:t>10</w:t>
      </w:r>
      <w:r w:rsidRPr="000B21D6">
        <w:rPr>
          <w:spacing w:val="-2"/>
        </w:rPr>
        <w:t>年改判死刑，侵害被告人權。</w:t>
      </w:r>
    </w:p>
    <w:p w:rsidR="003807A5" w:rsidRPr="00AC77DF" w:rsidRDefault="003807A5" w:rsidP="00B7222B">
      <w:pPr>
        <w:pStyle w:val="1---"/>
        <w:ind w:firstLine="480"/>
      </w:pPr>
      <w:r w:rsidRPr="00AC77DF">
        <w:t>依據本案相關調查意見</w:t>
      </w:r>
      <w:r w:rsidRPr="00AC77DF">
        <w:rPr>
          <w:rStyle w:val="aff2"/>
        </w:rPr>
        <w:footnoteReference w:id="81"/>
      </w:r>
      <w:r w:rsidRPr="00AC77DF">
        <w:t>，監察院糾正國防部並請其檢討改進。</w:t>
      </w:r>
    </w:p>
    <w:p w:rsidR="003807A5" w:rsidRPr="00AC77DF" w:rsidRDefault="00BD69D7" w:rsidP="00527678">
      <w:pPr>
        <w:pStyle w:val="afff1"/>
        <w:spacing w:before="360" w:after="360"/>
      </w:pPr>
      <w:bookmarkStart w:id="296" w:name="_Toc527731083"/>
      <w:r>
        <w:rPr>
          <w:rFonts w:hint="eastAsia"/>
        </w:rPr>
        <w:t>(三)</w:t>
      </w:r>
      <w:r w:rsidR="003807A5" w:rsidRPr="00AC77DF">
        <w:t>政府機關改善情形</w:t>
      </w:r>
      <w:bookmarkEnd w:id="296"/>
    </w:p>
    <w:p w:rsidR="003807A5" w:rsidRPr="00AC77DF" w:rsidRDefault="003807A5" w:rsidP="00B7222B">
      <w:pPr>
        <w:pStyle w:val="1---"/>
        <w:ind w:firstLine="480"/>
      </w:pPr>
      <w:r w:rsidRPr="00AC77DF">
        <w:t>本案違失已是</w:t>
      </w:r>
      <w:r w:rsidRPr="00AC77DF">
        <w:t>60</w:t>
      </w:r>
      <w:r w:rsidRPr="00AC77DF">
        <w:t>幾年前當時之保密局及臺灣省保安司令部所為，現該二單位已不存在，且因軍事審判案件已由普通法院審理。惟仍請國防部引以為鑑，避免類似侵害人權情事發生。國防部表示未來將致力落實人權保障教育、貫徹依法行政作為、強化官兵法紀觀念、加強幹部本職學能。</w:t>
      </w:r>
    </w:p>
    <w:p w:rsidR="003807A5" w:rsidRPr="00AC77DF" w:rsidRDefault="00BD69D7" w:rsidP="00527678">
      <w:pPr>
        <w:pStyle w:val="afff1"/>
        <w:spacing w:before="360" w:after="360"/>
      </w:pPr>
      <w:bookmarkStart w:id="297" w:name="_Toc527731084"/>
      <w:r>
        <w:rPr>
          <w:rFonts w:hint="eastAsia"/>
        </w:rPr>
        <w:t>(四)</w:t>
      </w:r>
      <w:r w:rsidR="003807A5" w:rsidRPr="00AC77DF">
        <w:t>案件進展</w:t>
      </w:r>
      <w:bookmarkEnd w:id="297"/>
    </w:p>
    <w:p w:rsidR="003807A5" w:rsidRDefault="003807A5" w:rsidP="00B7222B">
      <w:pPr>
        <w:pStyle w:val="1---"/>
        <w:ind w:firstLine="480"/>
        <w:rPr>
          <w:lang w:eastAsia="zh-TW"/>
        </w:rPr>
      </w:pPr>
      <w:r w:rsidRPr="00AC77DF">
        <w:t>本案已結案。</w:t>
      </w:r>
    </w:p>
    <w:p w:rsidR="00716441" w:rsidRDefault="00716441" w:rsidP="00B7222B">
      <w:pPr>
        <w:pStyle w:val="1---"/>
        <w:ind w:firstLine="480"/>
        <w:rPr>
          <w:lang w:eastAsia="zh-TW"/>
        </w:rPr>
      </w:pPr>
    </w:p>
    <w:p w:rsidR="00716441" w:rsidRDefault="00716441" w:rsidP="00B7222B">
      <w:pPr>
        <w:pStyle w:val="1---"/>
        <w:ind w:firstLine="480"/>
        <w:rPr>
          <w:lang w:eastAsia="zh-TW"/>
        </w:rPr>
      </w:pPr>
    </w:p>
    <w:tbl>
      <w:tblPr>
        <w:tblStyle w:val="aff5"/>
        <w:tblW w:w="0" w:type="auto"/>
        <w:tblInd w:w="113" w:type="dxa"/>
        <w:shd w:val="clear" w:color="auto" w:fill="BFBFBF" w:themeFill="background1" w:themeFillShade="BF"/>
        <w:tblLook w:val="04A0" w:firstRow="1" w:lastRow="0" w:firstColumn="1" w:lastColumn="0" w:noHBand="0" w:noVBand="1"/>
      </w:tblPr>
      <w:tblGrid>
        <w:gridCol w:w="4560"/>
      </w:tblGrid>
      <w:tr w:rsidR="00BD69D7" w:rsidTr="000B21D6">
        <w:tc>
          <w:tcPr>
            <w:tcW w:w="4560" w:type="dxa"/>
            <w:shd w:val="clear" w:color="auto" w:fill="BFBFBF" w:themeFill="background1" w:themeFillShade="BF"/>
          </w:tcPr>
          <w:p w:rsidR="00BD69D7" w:rsidRDefault="00BD69D7" w:rsidP="00BD69D7">
            <w:pPr>
              <w:pStyle w:val="11-"/>
              <w:spacing w:before="72" w:after="108"/>
              <w:rPr>
                <w:b/>
                <w:lang w:eastAsia="zh-TW"/>
              </w:rPr>
            </w:pPr>
            <w:bookmarkStart w:id="298" w:name="_Toc527731159"/>
            <w:bookmarkStart w:id="299" w:name="_Toc535228367"/>
            <w:bookmarkStart w:id="300" w:name="_Toc4058778"/>
            <w:r w:rsidRPr="00AC77DF">
              <w:lastRenderedPageBreak/>
              <w:t>政黨財產查處</w:t>
            </w:r>
            <w:r w:rsidRPr="00AC77DF">
              <w:rPr>
                <w:lang w:eastAsia="zh-HK"/>
              </w:rPr>
              <w:t>之</w:t>
            </w:r>
            <w:r w:rsidRPr="00AC77DF">
              <w:t>行政權限</w:t>
            </w:r>
            <w:r w:rsidRPr="00AC77DF">
              <w:rPr>
                <w:lang w:eastAsia="zh-HK"/>
              </w:rPr>
              <w:t>爭議案</w:t>
            </w:r>
            <w:bookmarkEnd w:id="298"/>
            <w:bookmarkEnd w:id="299"/>
            <w:bookmarkEnd w:id="300"/>
          </w:p>
        </w:tc>
      </w:tr>
    </w:tbl>
    <w:p w:rsidR="003807A5" w:rsidRPr="00AC77DF" w:rsidRDefault="00BD69D7" w:rsidP="00FA42B3">
      <w:pPr>
        <w:pStyle w:val="afff1"/>
        <w:spacing w:before="360" w:after="360"/>
      </w:pPr>
      <w:bookmarkStart w:id="301" w:name="_Toc527731160"/>
      <w:r>
        <w:rPr>
          <w:rFonts w:hint="eastAsia"/>
        </w:rPr>
        <w:t>(一)</w:t>
      </w:r>
      <w:r w:rsidR="003807A5" w:rsidRPr="00AC77DF">
        <w:t>案情簡述</w:t>
      </w:r>
      <w:bookmarkEnd w:id="301"/>
    </w:p>
    <w:p w:rsidR="003807A5" w:rsidRPr="00AC77DF" w:rsidRDefault="003807A5" w:rsidP="00B7222B">
      <w:pPr>
        <w:pStyle w:val="1---"/>
        <w:ind w:firstLine="480"/>
        <w:rPr>
          <w:b/>
        </w:rPr>
      </w:pPr>
      <w:r w:rsidRPr="00AC77DF">
        <w:t>據訴</w:t>
      </w:r>
      <w:r w:rsidRPr="00196868">
        <w:rPr>
          <w:spacing w:val="-30"/>
        </w:rPr>
        <w:t>，</w:t>
      </w:r>
      <w:r w:rsidRPr="00AC77DF">
        <w:t>「政黨及其附隨組織不當取得財產處理條例</w:t>
      </w:r>
      <w:r w:rsidRPr="00196868">
        <w:rPr>
          <w:spacing w:val="-30"/>
        </w:rPr>
        <w:t>」</w:t>
      </w:r>
      <w:r w:rsidRPr="00AC77DF">
        <w:t>（簡稱黨產條例）於</w:t>
      </w:r>
      <w:r w:rsidRPr="00AC77DF">
        <w:t>105</w:t>
      </w:r>
      <w:r w:rsidRPr="00AC77DF">
        <w:t>年</w:t>
      </w:r>
      <w:r w:rsidRPr="00AC77DF">
        <w:t>8</w:t>
      </w:r>
      <w:r w:rsidRPr="00AC77DF">
        <w:t>月</w:t>
      </w:r>
      <w:r w:rsidRPr="00AC77DF">
        <w:t>10</w:t>
      </w:r>
      <w:r w:rsidRPr="00AC77DF">
        <w:t>日公布施行後，行政院怠於移請覆議及聲請釋憲，旋於</w:t>
      </w:r>
      <w:r w:rsidRPr="00AC77DF">
        <w:t>105</w:t>
      </w:r>
      <w:r w:rsidRPr="00AC77DF">
        <w:t>年</w:t>
      </w:r>
      <w:r w:rsidRPr="00AC77DF">
        <w:t>8</w:t>
      </w:r>
      <w:r w:rsidRPr="00AC77DF">
        <w:t>月</w:t>
      </w:r>
      <w:r w:rsidRPr="00AC77DF">
        <w:t>31</w:t>
      </w:r>
      <w:r w:rsidRPr="00AC77DF">
        <w:t>日設不當黨產處理委員會，辦理政黨、附隨組織及其受託管理人不當取得財產之調查、返還、追繳、權利回復等事項，不受「中央行政機關組織基準法」之限制，且未經調查及未踐行正當法律程序，竟命相關金融機構凍結社團法人中國國民黨帳戶款項之提領。本案是否涉有逾越行政權限等情，甚具爭議，案經監察委員立案調查。</w:t>
      </w:r>
    </w:p>
    <w:p w:rsidR="003807A5" w:rsidRPr="00AC77DF" w:rsidRDefault="00BD69D7" w:rsidP="00FA42B3">
      <w:pPr>
        <w:pStyle w:val="afff1"/>
        <w:spacing w:before="360" w:after="360"/>
      </w:pPr>
      <w:bookmarkStart w:id="302" w:name="_Toc527731161"/>
      <w:r>
        <w:rPr>
          <w:rFonts w:hint="eastAsia"/>
        </w:rPr>
        <w:t>(二)</w:t>
      </w:r>
      <w:r w:rsidR="003807A5" w:rsidRPr="00AC77DF">
        <w:t>監察院調查發現與建議</w:t>
      </w:r>
      <w:bookmarkEnd w:id="302"/>
    </w:p>
    <w:p w:rsidR="003807A5" w:rsidRPr="00AC77DF" w:rsidRDefault="00FD29F8" w:rsidP="00D92DAE">
      <w:pPr>
        <w:pStyle w:val="1--13"/>
        <w:spacing w:before="180" w:after="180"/>
      </w:pPr>
      <w:r w:rsidRPr="008E1832">
        <w:rPr>
          <w:rFonts w:hint="eastAsia"/>
        </w:rPr>
        <w:t>˙</w:t>
      </w:r>
      <w:r w:rsidR="003807A5" w:rsidRPr="00AC77DF">
        <w:t>以推定方式處理政黨財產</w:t>
      </w:r>
    </w:p>
    <w:p w:rsidR="003807A5" w:rsidRPr="00AC77DF" w:rsidRDefault="003807A5" w:rsidP="00B7222B">
      <w:pPr>
        <w:pStyle w:val="1---"/>
        <w:ind w:firstLine="480"/>
        <w:rPr>
          <w:lang w:eastAsia="zh-TW"/>
        </w:rPr>
      </w:pPr>
      <w:r w:rsidRPr="00AC77DF">
        <w:t>黨產條例係以立法權授權行政高權，設置黨產會排除包含憲法以下各普通法適用，採用推定方式，對政黨財產為各項處分行為，似已逾越德國就東德政黨黨產處理方式等各種轉型正義之方式，不符憲法第</w:t>
      </w:r>
      <w:r w:rsidRPr="00AC77DF">
        <w:t>1</w:t>
      </w:r>
      <w:r w:rsidRPr="00AC77DF">
        <w:t>條民主國及法治國原則。</w:t>
      </w:r>
    </w:p>
    <w:p w:rsidR="003807A5" w:rsidRPr="00AC77DF" w:rsidRDefault="00FD29F8" w:rsidP="00D92DAE">
      <w:pPr>
        <w:pStyle w:val="1--13"/>
        <w:spacing w:before="180" w:after="180"/>
      </w:pPr>
      <w:r w:rsidRPr="008E1832">
        <w:rPr>
          <w:rFonts w:hint="eastAsia"/>
        </w:rPr>
        <w:t>˙</w:t>
      </w:r>
      <w:r w:rsidR="003807A5" w:rsidRPr="00AC77DF">
        <w:t>法律適用甚具爭議</w:t>
      </w:r>
    </w:p>
    <w:p w:rsidR="003807A5" w:rsidRPr="00AC77DF" w:rsidRDefault="003807A5" w:rsidP="00B7222B">
      <w:pPr>
        <w:pStyle w:val="1---"/>
        <w:ind w:firstLine="480"/>
      </w:pPr>
      <w:r w:rsidRPr="00AC77DF">
        <w:t>黨產條例第</w:t>
      </w:r>
      <w:r w:rsidRPr="00AC77DF">
        <w:t>4</w:t>
      </w:r>
      <w:r w:rsidRPr="00AC77DF">
        <w:t>條第</w:t>
      </w:r>
      <w:r w:rsidRPr="00AC77DF">
        <w:t>1</w:t>
      </w:r>
      <w:r w:rsidRPr="00AC77DF">
        <w:t>款規定適用之政黨，實質上僅係規制特定政黨，乃以個別性法律剝奪特定人民或團體之權利，透過</w:t>
      </w:r>
      <w:r w:rsidRPr="00AC77DF">
        <w:lastRenderedPageBreak/>
        <w:t>立法權行使司法權力，有違權力分立與制衡原則。</w:t>
      </w:r>
    </w:p>
    <w:p w:rsidR="003807A5" w:rsidRPr="00AC77DF" w:rsidRDefault="003807A5" w:rsidP="00B7222B">
      <w:pPr>
        <w:pStyle w:val="1---"/>
        <w:ind w:firstLine="480"/>
      </w:pPr>
      <w:r w:rsidRPr="00AC77DF">
        <w:t>黨產條例第</w:t>
      </w:r>
      <w:r w:rsidRPr="00AC77DF">
        <w:t>2</w:t>
      </w:r>
      <w:r w:rsidRPr="00AC77DF">
        <w:t>條規定行政院設黨產會，不受基準法規定之限制，此與憲法增修條文第</w:t>
      </w:r>
      <w:r w:rsidRPr="00AC77DF">
        <w:t>3</w:t>
      </w:r>
      <w:r w:rsidRPr="00AC77DF">
        <w:t>條第</w:t>
      </w:r>
      <w:r w:rsidRPr="00AC77DF">
        <w:t>3</w:t>
      </w:r>
      <w:r w:rsidRPr="00AC77DF">
        <w:t>項、第</w:t>
      </w:r>
      <w:r w:rsidRPr="00AC77DF">
        <w:t>4</w:t>
      </w:r>
      <w:r w:rsidRPr="00AC77DF">
        <w:t>項規定之意旨有違。另黨產條例第</w:t>
      </w:r>
      <w:r w:rsidRPr="00AC77DF">
        <w:t>3</w:t>
      </w:r>
      <w:r w:rsidRPr="00AC77DF">
        <w:t>條規定不適用時效制度，違反法治國原則下之法安定性原則及憲法第</w:t>
      </w:r>
      <w:r w:rsidRPr="00AC77DF">
        <w:t>15</w:t>
      </w:r>
      <w:r w:rsidRPr="00AC77DF">
        <w:t>條保障人民財產權之旨。</w:t>
      </w:r>
    </w:p>
    <w:p w:rsidR="003807A5" w:rsidRPr="00AC77DF" w:rsidRDefault="003807A5" w:rsidP="00B7222B">
      <w:pPr>
        <w:pStyle w:val="1---"/>
        <w:ind w:firstLine="480"/>
      </w:pPr>
      <w:r w:rsidRPr="00AC77DF">
        <w:t>黨產條例第</w:t>
      </w:r>
      <w:r w:rsidRPr="00AC77DF">
        <w:t>4</w:t>
      </w:r>
      <w:r w:rsidRPr="00AC77DF">
        <w:t>條第</w:t>
      </w:r>
      <w:r w:rsidRPr="00AC77DF">
        <w:t>4</w:t>
      </w:r>
      <w:r w:rsidRPr="00AC77DF">
        <w:t>款規定，不當取得財產指政黨以違反政黨本質或其他悖於民主法治原則之方式，使自己或其附隨組織取得之財產。不僅為受規範者難以理解，且欠缺司法審查可能性，違反法律明確性原則。</w:t>
      </w:r>
    </w:p>
    <w:p w:rsidR="003807A5" w:rsidRPr="00AC77DF" w:rsidRDefault="00FD29F8" w:rsidP="00D92DAE">
      <w:pPr>
        <w:pStyle w:val="1--13"/>
        <w:spacing w:before="180" w:after="180"/>
      </w:pPr>
      <w:r w:rsidRPr="008E1832">
        <w:rPr>
          <w:rFonts w:hint="eastAsia"/>
        </w:rPr>
        <w:t>˙</w:t>
      </w:r>
      <w:r w:rsidR="003807A5" w:rsidRPr="00AC77DF">
        <w:t>侵害人民行使訴訟權</w:t>
      </w:r>
    </w:p>
    <w:p w:rsidR="003807A5" w:rsidRPr="00AC77DF" w:rsidRDefault="003807A5" w:rsidP="00B7222B">
      <w:pPr>
        <w:pStyle w:val="1---"/>
        <w:ind w:firstLine="480"/>
      </w:pPr>
      <w:r w:rsidRPr="00AC77DF">
        <w:t>黨產條例第</w:t>
      </w:r>
      <w:r w:rsidRPr="00AC77DF">
        <w:t>9</w:t>
      </w:r>
      <w:r w:rsidRPr="00AC77DF">
        <w:t>條規定，被推定為不當取得財產者，即受禁止處分規制，使人民權利無法經由向法院訴訟獲得適當回復，侵害憲法第</w:t>
      </w:r>
      <w:r w:rsidRPr="00AC77DF">
        <w:t>16</w:t>
      </w:r>
      <w:r w:rsidRPr="00AC77DF">
        <w:t>條保障人民之訴訟權，且該立法已侵犯司法權核心領域，違反權力分立及制衡原則。</w:t>
      </w:r>
    </w:p>
    <w:p w:rsidR="003807A5" w:rsidRPr="00AC77DF" w:rsidRDefault="003807A5" w:rsidP="00B7222B">
      <w:pPr>
        <w:pStyle w:val="1---"/>
        <w:ind w:firstLine="480"/>
      </w:pPr>
      <w:r w:rsidRPr="00AC77DF">
        <w:t>黨產條例規定黨產會行使行政調查權之手段，並對違反調查協力義務者得命罰鍰處分，其規範內容與法律明確性原則、法律保留原則、比例原則及權力分立與制衡原則顯有牴觸。</w:t>
      </w:r>
    </w:p>
    <w:p w:rsidR="003807A5" w:rsidRDefault="003807A5" w:rsidP="00B7222B">
      <w:pPr>
        <w:pStyle w:val="1---"/>
        <w:ind w:firstLine="480"/>
        <w:rPr>
          <w:lang w:eastAsia="zh-TW"/>
        </w:rPr>
      </w:pPr>
      <w:r w:rsidRPr="00AC77DF">
        <w:t>依據本案調查意見</w:t>
      </w:r>
      <w:r w:rsidRPr="00AC77DF">
        <w:rPr>
          <w:rStyle w:val="aff2"/>
        </w:rPr>
        <w:footnoteReference w:id="82"/>
      </w:r>
      <w:r w:rsidRPr="00AC77DF">
        <w:t>，監察院聲請司法院大法官解釋，並函請行政院確實檢討改進見復。</w:t>
      </w:r>
    </w:p>
    <w:p w:rsidR="00196868" w:rsidRDefault="00196868" w:rsidP="00B7222B">
      <w:pPr>
        <w:pStyle w:val="1---"/>
        <w:ind w:firstLine="480"/>
        <w:rPr>
          <w:lang w:eastAsia="zh-TW"/>
        </w:rPr>
      </w:pPr>
    </w:p>
    <w:p w:rsidR="00196868" w:rsidRPr="00AC77DF" w:rsidRDefault="00196868" w:rsidP="00B7222B">
      <w:pPr>
        <w:pStyle w:val="1---"/>
        <w:ind w:firstLine="480"/>
        <w:rPr>
          <w:b/>
          <w:lang w:eastAsia="zh-TW"/>
        </w:rPr>
      </w:pPr>
    </w:p>
    <w:p w:rsidR="003807A5" w:rsidRPr="00AC77DF" w:rsidRDefault="00BD69D7" w:rsidP="00FA42B3">
      <w:pPr>
        <w:pStyle w:val="afff1"/>
        <w:spacing w:before="360" w:after="360"/>
      </w:pPr>
      <w:bookmarkStart w:id="303" w:name="_Toc527731162"/>
      <w:r>
        <w:rPr>
          <w:rFonts w:hint="eastAsia"/>
        </w:rPr>
        <w:lastRenderedPageBreak/>
        <w:t>(三)</w:t>
      </w:r>
      <w:r w:rsidR="003807A5" w:rsidRPr="00AC77DF">
        <w:t>政府機關改善情形</w:t>
      </w:r>
      <w:bookmarkEnd w:id="303"/>
    </w:p>
    <w:p w:rsidR="003807A5" w:rsidRPr="00AC77DF" w:rsidRDefault="003807A5" w:rsidP="00B7222B">
      <w:pPr>
        <w:pStyle w:val="1---"/>
        <w:ind w:firstLine="480"/>
      </w:pPr>
      <w:r w:rsidRPr="00AC77DF">
        <w:t>行政院函復，本案宜尊重</w:t>
      </w:r>
      <w:r w:rsidR="00CD5E85">
        <w:rPr>
          <w:rFonts w:hint="eastAsia"/>
          <w:lang w:eastAsia="zh-TW"/>
        </w:rPr>
        <w:t>司法院</w:t>
      </w:r>
      <w:r w:rsidRPr="00AC77DF">
        <w:t>處理權責。</w:t>
      </w:r>
    </w:p>
    <w:p w:rsidR="003807A5" w:rsidRPr="00AC77DF" w:rsidRDefault="00BD69D7" w:rsidP="00FA42B3">
      <w:pPr>
        <w:pStyle w:val="afff1"/>
        <w:spacing w:before="360" w:after="360"/>
      </w:pPr>
      <w:bookmarkStart w:id="304" w:name="_Toc527731163"/>
      <w:r>
        <w:rPr>
          <w:rFonts w:hint="eastAsia"/>
        </w:rPr>
        <w:t>(四)</w:t>
      </w:r>
      <w:r w:rsidR="003807A5" w:rsidRPr="00AC77DF">
        <w:rPr>
          <w:lang w:eastAsia="zh-HK"/>
        </w:rPr>
        <w:t>案件進展</w:t>
      </w:r>
      <w:bookmarkEnd w:id="304"/>
    </w:p>
    <w:p w:rsidR="003807A5" w:rsidRPr="00AC77DF" w:rsidRDefault="003807A5" w:rsidP="00B7222B">
      <w:pPr>
        <w:pStyle w:val="1---"/>
        <w:ind w:firstLine="480"/>
      </w:pPr>
      <w:r w:rsidRPr="00AC77DF">
        <w:rPr>
          <w:lang w:val="en-US"/>
        </w:rPr>
        <w:t>本案</w:t>
      </w:r>
      <w:r w:rsidRPr="00AC77DF">
        <w:t>司法院大法官為審理監察院聲請釋憲案，已於</w:t>
      </w:r>
      <w:r w:rsidRPr="00AC77DF">
        <w:t>107</w:t>
      </w:r>
      <w:r w:rsidRPr="00AC77DF">
        <w:t>年</w:t>
      </w:r>
      <w:r w:rsidRPr="00AC77DF">
        <w:t>7</w:t>
      </w:r>
      <w:r w:rsidRPr="00AC77DF">
        <w:t>月</w:t>
      </w:r>
      <w:r w:rsidRPr="00AC77DF">
        <w:t>10</w:t>
      </w:r>
      <w:r w:rsidRPr="00AC77DF">
        <w:t>日舉行公開說明會，監察院仍持續追蹤後續釋憲情形。</w:t>
      </w:r>
    </w:p>
    <w:p w:rsidR="003807A5" w:rsidRPr="00AC77DF" w:rsidRDefault="001D7612" w:rsidP="00196868">
      <w:pPr>
        <w:pStyle w:val="1--16"/>
        <w:spacing w:beforeLines="100" w:before="360" w:afterLines="100" w:after="360"/>
      </w:pPr>
      <w:bookmarkStart w:id="305" w:name="_Toc535228368"/>
      <w:bookmarkStart w:id="306" w:name="_Toc4058779"/>
      <w:r>
        <w:rPr>
          <w:rFonts w:hint="eastAsia"/>
        </w:rPr>
        <w:t>◆</w:t>
      </w:r>
      <w:r w:rsidR="003807A5" w:rsidRPr="00AC77DF">
        <w:t>評析</w:t>
      </w:r>
      <w:bookmarkEnd w:id="305"/>
      <w:bookmarkEnd w:id="306"/>
    </w:p>
    <w:p w:rsidR="003807A5" w:rsidRPr="00AC77DF" w:rsidRDefault="003807A5" w:rsidP="00B7222B">
      <w:pPr>
        <w:pStyle w:val="1---"/>
        <w:ind w:firstLine="480"/>
        <w:rPr>
          <w:lang w:eastAsia="zh-TW"/>
        </w:rPr>
      </w:pPr>
      <w:r w:rsidRPr="00AC77DF">
        <w:t>本章所稱涉及司法正義之案件包含與司法檢調機關在警察調查、檢察官偵查、法官審判及監獄執行等階段之作為，故本章特別就執法人員風紀、司法偵辦、審判、執行等階段及其他司法爭議摘錄相關案件。</w:t>
      </w:r>
    </w:p>
    <w:p w:rsidR="003807A5" w:rsidRPr="00AC77DF" w:rsidRDefault="003807A5" w:rsidP="00B7222B">
      <w:pPr>
        <w:pStyle w:val="1---"/>
        <w:ind w:firstLine="480"/>
        <w:rPr>
          <w:lang w:val="en-US" w:eastAsia="zh-TW"/>
        </w:rPr>
      </w:pPr>
      <w:r w:rsidRPr="00AC77DF">
        <w:t>針對</w:t>
      </w:r>
      <w:r w:rsidRPr="00AC77DF">
        <w:rPr>
          <w:lang w:val="en-US"/>
        </w:rPr>
        <w:t>執法人員風紀部分，</w:t>
      </w:r>
      <w:r w:rsidRPr="00AC77DF">
        <w:t>按</w:t>
      </w:r>
      <w:r w:rsidRPr="00AC77DF">
        <w:t>2017</w:t>
      </w:r>
      <w:r w:rsidRPr="00AC77DF">
        <w:t>年度「各國人權報告」臺灣部分提及，</w:t>
      </w:r>
      <w:r w:rsidRPr="00387CF4">
        <w:rPr>
          <w:rFonts w:hint="eastAsia"/>
        </w:rPr>
        <w:t>警政署</w:t>
      </w:r>
      <w:r w:rsidRPr="00AC77DF">
        <w:t>對所有警察單位具行政管轄權，各縣市警察局長由縣市首長指派。文官當局對警政署維持有效的控制，當局並設置有效的機制，對濫權與貪污進行調查與懲戒</w:t>
      </w:r>
      <w:r w:rsidRPr="00AC77DF">
        <w:rPr>
          <w:rStyle w:val="aff2"/>
        </w:rPr>
        <w:footnoteReference w:id="83"/>
      </w:r>
      <w:r w:rsidRPr="00AC77DF">
        <w:t>。監察院肯認我國執法人員有許多監督與制衡機制</w:t>
      </w:r>
      <w:r w:rsidRPr="00AC77DF">
        <w:rPr>
          <w:lang w:eastAsia="zh-TW"/>
        </w:rPr>
        <w:t>，</w:t>
      </w:r>
      <w:r w:rsidRPr="00AC77DF">
        <w:t>然仍有部分執法人員濫用其權而產生違失</w:t>
      </w:r>
      <w:r w:rsidRPr="00AC77DF">
        <w:rPr>
          <w:lang w:eastAsia="zh-TW"/>
        </w:rPr>
        <w:t>。</w:t>
      </w:r>
      <w:r w:rsidRPr="00AC77DF">
        <w:t>本章特別摘錄監察委員</w:t>
      </w:r>
      <w:r w:rsidRPr="00AC77DF">
        <w:t>2017</w:t>
      </w:r>
      <w:r w:rsidRPr="00AC77DF">
        <w:t>年</w:t>
      </w:r>
      <w:r w:rsidRPr="00AC77DF">
        <w:rPr>
          <w:lang w:val="en-US"/>
        </w:rPr>
        <w:t>調查檢察官媒介少女性交易案、員警脅迫毒販栽贓取得春安績效</w:t>
      </w:r>
      <w:r w:rsidRPr="00AC77DF">
        <w:rPr>
          <w:lang w:val="en-US"/>
        </w:rPr>
        <w:lastRenderedPageBreak/>
        <w:t>案</w:t>
      </w:r>
      <w:r w:rsidR="00333A94">
        <w:rPr>
          <w:rFonts w:hint="eastAsia"/>
          <w:lang w:val="en-US"/>
        </w:rPr>
        <w:t>及</w:t>
      </w:r>
      <w:r w:rsidRPr="00AC77DF">
        <w:rPr>
          <w:lang w:val="en-US"/>
        </w:rPr>
        <w:t>檢察官辦案稽延等</w:t>
      </w:r>
      <w:r w:rsidRPr="00AC77DF">
        <w:rPr>
          <w:lang w:val="en-US"/>
        </w:rPr>
        <w:t>3</w:t>
      </w:r>
      <w:r w:rsidRPr="00AC77DF">
        <w:rPr>
          <w:lang w:val="en-US"/>
        </w:rPr>
        <w:t>案供參。該等案件雖屬個案，但違失情節嚴重，同時顯示執法人員督管功能有待強化。案經監察院調查後，</w:t>
      </w:r>
      <w:r w:rsidR="00333A94">
        <w:rPr>
          <w:rFonts w:hint="eastAsia"/>
          <w:lang w:val="en-US"/>
        </w:rPr>
        <w:t>違失</w:t>
      </w:r>
      <w:r w:rsidRPr="00AC77DF">
        <w:rPr>
          <w:lang w:val="en-US"/>
        </w:rPr>
        <w:t>人員業經彈劾，相關機關亦積極檢討並採行改善作為。</w:t>
      </w:r>
    </w:p>
    <w:p w:rsidR="003807A5" w:rsidRPr="00AC77DF" w:rsidRDefault="00790276" w:rsidP="00B7222B">
      <w:pPr>
        <w:pStyle w:val="1---"/>
        <w:ind w:firstLine="480"/>
        <w:rPr>
          <w:lang w:val="en-US" w:eastAsia="zh-TW"/>
        </w:rPr>
      </w:pPr>
      <w:r>
        <w:rPr>
          <w:rFonts w:hint="eastAsia"/>
          <w:lang w:val="en-US"/>
        </w:rPr>
        <w:t>為</w:t>
      </w:r>
      <w:r w:rsidR="003807A5" w:rsidRPr="00AC77DF">
        <w:rPr>
          <w:lang w:val="en-US"/>
        </w:rPr>
        <w:t>維護社會秩序或公共利益</w:t>
      </w:r>
      <w:r w:rsidR="003807A5" w:rsidRPr="00AC77DF">
        <w:rPr>
          <w:lang w:val="en-US" w:eastAsia="zh-TW"/>
        </w:rPr>
        <w:t>，</w:t>
      </w:r>
      <w:r w:rsidR="003807A5" w:rsidRPr="00AC77DF">
        <w:rPr>
          <w:lang w:val="en-US"/>
        </w:rPr>
        <w:t>在不得已的情況下</w:t>
      </w:r>
      <w:r w:rsidR="003807A5" w:rsidRPr="00AC77DF">
        <w:rPr>
          <w:lang w:val="en-US" w:eastAsia="zh-TW"/>
        </w:rPr>
        <w:t>，</w:t>
      </w:r>
      <w:r>
        <w:rPr>
          <w:rFonts w:hint="eastAsia"/>
          <w:lang w:val="en-US"/>
        </w:rPr>
        <w:t>偵</w:t>
      </w:r>
      <w:r>
        <w:rPr>
          <w:rFonts w:hint="eastAsia"/>
          <w:lang w:val="en-US" w:eastAsia="zh-TW"/>
        </w:rPr>
        <w:t>查</w:t>
      </w:r>
      <w:r>
        <w:rPr>
          <w:rFonts w:hint="eastAsia"/>
          <w:lang w:val="en-US"/>
        </w:rPr>
        <w:t>體系依法可能會有</w:t>
      </w:r>
      <w:r w:rsidR="003807A5" w:rsidRPr="00AC77DF">
        <w:rPr>
          <w:lang w:val="en-US"/>
        </w:rPr>
        <w:t>侵犯人民自由</w:t>
      </w:r>
      <w:r w:rsidR="003807A5" w:rsidRPr="00AC77DF">
        <w:rPr>
          <w:lang w:val="en-US" w:eastAsia="zh-TW"/>
        </w:rPr>
        <w:t>、</w:t>
      </w:r>
      <w:r w:rsidR="003807A5" w:rsidRPr="00AC77DF">
        <w:rPr>
          <w:lang w:val="en-US"/>
        </w:rPr>
        <w:t>隱私等權利</w:t>
      </w:r>
      <w:r>
        <w:rPr>
          <w:rFonts w:hint="eastAsia"/>
          <w:lang w:val="en-US"/>
        </w:rPr>
        <w:t>之行為</w:t>
      </w:r>
      <w:r w:rsidR="003807A5" w:rsidRPr="00AC77DF">
        <w:rPr>
          <w:lang w:val="en-US"/>
        </w:rPr>
        <w:t>，所以偵辦要件與程序應有詳盡規定</w:t>
      </w:r>
      <w:r w:rsidR="003807A5" w:rsidRPr="00AC77DF">
        <w:rPr>
          <w:lang w:val="en-US" w:eastAsia="zh-TW"/>
        </w:rPr>
        <w:t>，</w:t>
      </w:r>
      <w:r w:rsidR="003807A5" w:rsidRPr="00AC77DF">
        <w:rPr>
          <w:lang w:val="en-US"/>
        </w:rPr>
        <w:t>避免行政或司法等偵查機關濫用權力</w:t>
      </w:r>
      <w:r w:rsidR="003807A5" w:rsidRPr="00AC77DF">
        <w:rPr>
          <w:lang w:val="en-US" w:eastAsia="zh-TW"/>
        </w:rPr>
        <w:t>。</w:t>
      </w:r>
      <w:r w:rsidR="003807A5" w:rsidRPr="00AC77DF">
        <w:rPr>
          <w:lang w:val="en-US"/>
        </w:rPr>
        <w:t>我國</w:t>
      </w:r>
      <w:r w:rsidR="003807A5" w:rsidRPr="00AC77DF">
        <w:t>憲法第</w:t>
      </w:r>
      <w:r w:rsidR="003807A5" w:rsidRPr="00AC77DF">
        <w:t>8</w:t>
      </w:r>
      <w:r w:rsidR="003807A5" w:rsidRPr="00AC77DF">
        <w:t>條規定逮捕、拘禁、審問與處罰機關應限定於司法或警察機關；逮捕、拘禁機關應以書面告知逮捕、拘禁之理由與地點；對於非法逮捕、拘禁、審問與處罰，人民得</w:t>
      </w:r>
      <w:r w:rsidR="003807A5" w:rsidRPr="00AC77DF">
        <w:rPr>
          <w:spacing w:val="4"/>
        </w:rPr>
        <w:t>拒絕之；以及逮捕、拘禁機關應於</w:t>
      </w:r>
      <w:r w:rsidR="003807A5" w:rsidRPr="00AC77DF">
        <w:rPr>
          <w:spacing w:val="4"/>
        </w:rPr>
        <w:t>24</w:t>
      </w:r>
      <w:r w:rsidR="003807A5" w:rsidRPr="00AC77DF">
        <w:rPr>
          <w:spacing w:val="4"/>
        </w:rPr>
        <w:t>小時內移送法院之義務等</w:t>
      </w:r>
      <w:r w:rsidR="003807A5" w:rsidRPr="00AC77DF">
        <w:t>。另刑事訴訟法亦規範被告的上訴權及偵辦階段之程序正義，包括自白不得作為定罪的唯一證據等。本</w:t>
      </w:r>
      <w:r w:rsidR="00B106B7">
        <w:rPr>
          <w:rFonts w:hint="eastAsia"/>
        </w:rPr>
        <w:t>章</w:t>
      </w:r>
      <w:r w:rsidR="003807A5" w:rsidRPr="00AC77DF">
        <w:t>針對</w:t>
      </w:r>
      <w:r w:rsidR="003807A5" w:rsidRPr="00AC77DF">
        <w:t>2017</w:t>
      </w:r>
      <w:r w:rsidR="003807A5" w:rsidRPr="00AC77DF">
        <w:t>年監察院調查有關檢警軍等在案件</w:t>
      </w:r>
      <w:r w:rsidR="003807A5" w:rsidRPr="00AC77DF">
        <w:rPr>
          <w:lang w:val="en-US"/>
        </w:rPr>
        <w:t>偵辦階段相關違失案件，特別摘錄偵查期間違反不公開原則、軍方查辦機密文件不當搜索案、冒名偵訊致生爭議案、測謊結果不宜單獨作為判決依據</w:t>
      </w:r>
      <w:r w:rsidR="003807A5" w:rsidRPr="00AC77DF">
        <w:rPr>
          <w:lang w:val="en-US" w:eastAsia="zh-TW"/>
        </w:rPr>
        <w:t>、檢方偵辦賄選案件涉違法監聽</w:t>
      </w:r>
      <w:r w:rsidR="003807A5" w:rsidRPr="00AC77DF">
        <w:rPr>
          <w:lang w:val="en-US"/>
        </w:rPr>
        <w:t>及</w:t>
      </w:r>
      <w:r w:rsidR="003807A5" w:rsidRPr="00AC77DF">
        <w:rPr>
          <w:lang w:val="en-US" w:eastAsia="zh-TW"/>
        </w:rPr>
        <w:t>偵辦案件採證涉違失</w:t>
      </w:r>
      <w:r w:rsidR="003807A5" w:rsidRPr="00AC77DF">
        <w:rPr>
          <w:lang w:val="en-US"/>
        </w:rPr>
        <w:t>等</w:t>
      </w:r>
      <w:r w:rsidR="003807A5" w:rsidRPr="00AC77DF">
        <w:rPr>
          <w:lang w:val="en-US"/>
        </w:rPr>
        <w:t>6</w:t>
      </w:r>
      <w:r w:rsidR="003807A5" w:rsidRPr="00AC77DF">
        <w:rPr>
          <w:lang w:val="en-US"/>
        </w:rPr>
        <w:t>案，顯示仍有部分案件之偵辦涉有違法採證或程序瑕疵。案經監察院調查後，相關機關均已檢討</w:t>
      </w:r>
      <w:r w:rsidR="003807A5" w:rsidRPr="00AC77DF">
        <w:rPr>
          <w:lang w:val="en-US" w:eastAsia="zh-TW"/>
        </w:rPr>
        <w:t>，</w:t>
      </w:r>
      <w:r w:rsidR="003807A5" w:rsidRPr="00AC77DF">
        <w:rPr>
          <w:lang w:val="en-US"/>
        </w:rPr>
        <w:t>並改善制度或進行宣導</w:t>
      </w:r>
      <w:r w:rsidR="003807A5" w:rsidRPr="00AC77DF">
        <w:rPr>
          <w:lang w:val="en-US" w:eastAsia="zh-TW"/>
        </w:rPr>
        <w:t>。</w:t>
      </w:r>
      <w:r w:rsidR="003807A5" w:rsidRPr="00AC77DF">
        <w:rPr>
          <w:lang w:val="en-US"/>
        </w:rPr>
        <w:t>期待各機關妥善運用偵查權力，避免因濫用或誤用而損及人民權益。</w:t>
      </w:r>
    </w:p>
    <w:p w:rsidR="003807A5" w:rsidRPr="00AC77DF" w:rsidRDefault="003807A5" w:rsidP="00B7222B">
      <w:pPr>
        <w:pStyle w:val="1---"/>
        <w:ind w:firstLine="480"/>
        <w:rPr>
          <w:lang w:val="en-US" w:eastAsia="zh-TW"/>
        </w:rPr>
      </w:pPr>
      <w:r w:rsidRPr="00AC77DF">
        <w:rPr>
          <w:lang w:val="en-US"/>
        </w:rPr>
        <w:t>我國審判係以採三級三審制為原則，多數案件均保障人民上訴之權益。</w:t>
      </w:r>
      <w:r w:rsidRPr="00AC77DF">
        <w:t>在監察與司法權力分立原則下，監察院尊重司法判決</w:t>
      </w:r>
      <w:r w:rsidRPr="00AC77DF">
        <w:rPr>
          <w:lang w:eastAsia="zh-TW"/>
        </w:rPr>
        <w:t>。</w:t>
      </w:r>
      <w:r w:rsidRPr="00AC77DF">
        <w:t>惟因受理陳情及保障人權乃監察院之法定職責，部分案件經監察院調查後如認有疑義，監察院站在協助陳訴人立場，亦得就是否有再審或非常上訴之機會進行瞭解，並尊重司法機</w:t>
      </w:r>
      <w:r w:rsidRPr="00AC77DF">
        <w:lastRenderedPageBreak/>
        <w:t>關對案件審酌之最終結果。</w:t>
      </w:r>
      <w:r w:rsidRPr="00AC77DF">
        <w:rPr>
          <w:lang w:val="en-US"/>
        </w:rPr>
        <w:t>本章就審判階段之司法案件</w:t>
      </w:r>
      <w:r w:rsidRPr="00AC77DF">
        <w:rPr>
          <w:lang w:val="en-US" w:eastAsia="zh-TW"/>
        </w:rPr>
        <w:t>，</w:t>
      </w:r>
      <w:r w:rsidRPr="00AC77DF">
        <w:rPr>
          <w:lang w:val="en-US"/>
        </w:rPr>
        <w:t>摘錄</w:t>
      </w:r>
      <w:r w:rsidRPr="00AC77DF">
        <w:rPr>
          <w:spacing w:val="15"/>
          <w:kern w:val="0"/>
          <w:szCs w:val="36"/>
          <w:bdr w:val="none" w:sz="0" w:space="0" w:color="auto" w:frame="1"/>
        </w:rPr>
        <w:t>違反</w:t>
      </w:r>
      <w:r w:rsidRPr="00AC77DF">
        <w:t>程序規定證詞之證據力</w:t>
      </w:r>
      <w:r w:rsidRPr="00AC77DF">
        <w:rPr>
          <w:lang w:eastAsia="zh-TW"/>
        </w:rPr>
        <w:t>、無罪判決之上訴制度、測謊程序有瑕疵之證據力、</w:t>
      </w:r>
      <w:r w:rsidRPr="00AC77DF">
        <w:t>有罪確定判決採證違背證據法則</w:t>
      </w:r>
      <w:r w:rsidRPr="00AC77DF">
        <w:rPr>
          <w:lang w:eastAsia="zh-TW"/>
        </w:rPr>
        <w:t>、</w:t>
      </w:r>
      <w:r w:rsidRPr="00AC77DF">
        <w:t>判決不備理由或適用不當違誤等</w:t>
      </w:r>
      <w:r w:rsidRPr="00AC77DF">
        <w:t>5</w:t>
      </w:r>
      <w:r w:rsidRPr="00AC77DF">
        <w:t>案，</w:t>
      </w:r>
      <w:r w:rsidRPr="00AC77DF">
        <w:rPr>
          <w:lang w:val="en-US"/>
        </w:rPr>
        <w:t>並說明各案件之處理情形，供各界參考。</w:t>
      </w:r>
    </w:p>
    <w:p w:rsidR="003807A5" w:rsidRPr="00AC77DF" w:rsidRDefault="003807A5" w:rsidP="00B7222B">
      <w:pPr>
        <w:pStyle w:val="1---"/>
        <w:ind w:firstLine="480"/>
        <w:rPr>
          <w:szCs w:val="36"/>
          <w:lang w:eastAsia="zh-TW"/>
        </w:rPr>
      </w:pPr>
      <w:r w:rsidRPr="00AC77DF">
        <w:t>至於司法執行階段，按</w:t>
      </w:r>
      <w:r w:rsidRPr="00AC77DF">
        <w:t>2017</w:t>
      </w:r>
      <w:r w:rsidRPr="00AC77DF">
        <w:t>年度「各國人權報告」臺灣部分指出，我國監獄和拘留中心的主要問題為過度擁擠；監獄達到原設計容量</w:t>
      </w:r>
      <w:r w:rsidRPr="00196868">
        <w:rPr>
          <w:spacing w:val="-10"/>
        </w:rPr>
        <w:t>的</w:t>
      </w:r>
      <w:r w:rsidRPr="00AC77DF">
        <w:t>113%</w:t>
      </w:r>
      <w:r w:rsidRPr="00AC77DF">
        <w:t>。當受刑人指控有非人道狀況時，監獄當局就其指控展開調查，並將調查結果發布給司法當局，偶爾會向媒體公布。當局調查並監控監獄與拘留中心的情況。在法院的命令下，少數拘留人在案子仍在調查階段時會被剝奪會客的權利，但仍保有會見律師的權利。此外，當局允許獨立的非政府觀察員調查監獄的情況。針對</w:t>
      </w:r>
      <w:r w:rsidRPr="00AC77DF">
        <w:rPr>
          <w:lang w:val="en-US"/>
        </w:rPr>
        <w:t>執行階段違失</w:t>
      </w:r>
      <w:r w:rsidRPr="00AC77DF">
        <w:rPr>
          <w:lang w:val="en-US" w:eastAsia="zh-TW"/>
        </w:rPr>
        <w:t>，</w:t>
      </w:r>
      <w:r w:rsidRPr="00AC77DF">
        <w:rPr>
          <w:lang w:val="en-US"/>
        </w:rPr>
        <w:t>本章摘錄</w:t>
      </w:r>
      <w:r w:rsidRPr="00AC77DF">
        <w:t>遲延配置愛滋受刑人於收容專區</w:t>
      </w:r>
      <w:r w:rsidRPr="00AC77DF">
        <w:rPr>
          <w:lang w:eastAsia="zh-TW"/>
        </w:rPr>
        <w:t>、</w:t>
      </w:r>
      <w:r w:rsidRPr="00AC77DF">
        <w:rPr>
          <w:bdr w:val="none" w:sz="0" w:space="0" w:color="auto" w:frame="1"/>
        </w:rPr>
        <w:t>基隆看守所管理不當</w:t>
      </w:r>
      <w:r w:rsidRPr="00AC77DF">
        <w:rPr>
          <w:bdr w:val="none" w:sz="0" w:space="0" w:color="auto" w:frame="1"/>
          <w:lang w:eastAsia="zh-TW"/>
        </w:rPr>
        <w:t>、</w:t>
      </w:r>
      <w:r w:rsidRPr="00AC77DF">
        <w:t>臺北看守所收容人自殺案</w:t>
      </w:r>
      <w:r w:rsidRPr="00AC77DF">
        <w:rPr>
          <w:lang w:eastAsia="zh-TW"/>
        </w:rPr>
        <w:t>、</w:t>
      </w:r>
      <w:r w:rsidRPr="00AC77DF">
        <w:t>少觀所相關制度查究案</w:t>
      </w:r>
      <w:r w:rsidRPr="00AC77DF">
        <w:rPr>
          <w:lang w:eastAsia="zh-TW"/>
        </w:rPr>
        <w:t>、</w:t>
      </w:r>
      <w:r w:rsidRPr="00AC77DF">
        <w:rPr>
          <w:szCs w:val="36"/>
        </w:rPr>
        <w:t>陳訴人移監及戒具使用不當案</w:t>
      </w:r>
      <w:r w:rsidRPr="00AC77DF">
        <w:rPr>
          <w:szCs w:val="36"/>
          <w:lang w:eastAsia="zh-TW"/>
        </w:rPr>
        <w:t>、</w:t>
      </w:r>
      <w:r w:rsidRPr="00AC77DF">
        <w:t>觀察勒戒處分執行之合憲性與適法性</w:t>
      </w:r>
      <w:r w:rsidRPr="00AC77DF">
        <w:rPr>
          <w:lang w:eastAsia="zh-TW"/>
        </w:rPr>
        <w:t>、</w:t>
      </w:r>
      <w:r w:rsidRPr="00AC77DF">
        <w:rPr>
          <w:szCs w:val="36"/>
        </w:rPr>
        <w:t>刑後強制工作之免除處理涉有違失等</w:t>
      </w:r>
      <w:r w:rsidRPr="00AC77DF">
        <w:rPr>
          <w:szCs w:val="36"/>
        </w:rPr>
        <w:t>7</w:t>
      </w:r>
      <w:r w:rsidRPr="00AC77DF">
        <w:rPr>
          <w:szCs w:val="36"/>
        </w:rPr>
        <w:t>案。上開案件經監察院調查後，相關機關已逐步改善其作業制度與方式</w:t>
      </w:r>
      <w:r w:rsidRPr="00AC77DF">
        <w:rPr>
          <w:szCs w:val="36"/>
          <w:lang w:eastAsia="zh-TW"/>
        </w:rPr>
        <w:t>。</w:t>
      </w:r>
      <w:r w:rsidRPr="00AC77DF">
        <w:rPr>
          <w:szCs w:val="36"/>
        </w:rPr>
        <w:t>監察院關注被剝奪自由者及被告之待遇，期望被剝奪自由者能在合理處遇下被監管</w:t>
      </w:r>
      <w:r w:rsidRPr="00AC77DF">
        <w:rPr>
          <w:szCs w:val="36"/>
          <w:lang w:eastAsia="zh-TW"/>
        </w:rPr>
        <w:t>，</w:t>
      </w:r>
      <w:r w:rsidRPr="00AC77DF">
        <w:rPr>
          <w:szCs w:val="36"/>
        </w:rPr>
        <w:t>並能在將來順利回歸正常生活。</w:t>
      </w:r>
    </w:p>
    <w:p w:rsidR="003807A5" w:rsidRPr="00AC77DF" w:rsidRDefault="003807A5" w:rsidP="00B7222B">
      <w:pPr>
        <w:pStyle w:val="1---"/>
        <w:ind w:firstLine="480"/>
        <w:rPr>
          <w:lang w:eastAsia="zh-TW"/>
        </w:rPr>
      </w:pPr>
      <w:r w:rsidRPr="00AC77DF">
        <w:t>除了上開司法案件，本章另摘錄</w:t>
      </w:r>
      <w:r w:rsidR="00CD5E85">
        <w:rPr>
          <w:rFonts w:hint="eastAsia"/>
          <w:lang w:eastAsia="zh-TW"/>
        </w:rPr>
        <w:t>司法院</w:t>
      </w:r>
      <w:r w:rsidRPr="00AC77DF">
        <w:rPr>
          <w:lang w:eastAsia="zh-TW"/>
        </w:rPr>
        <w:t>大法官意見書公布後之更正程序、</w:t>
      </w:r>
      <w:r w:rsidRPr="00AC77DF">
        <w:rPr>
          <w:szCs w:val="36"/>
        </w:rPr>
        <w:t>土耳其副代表酒後鬧事潛逃出境</w:t>
      </w:r>
      <w:r w:rsidRPr="00AC77DF">
        <w:rPr>
          <w:szCs w:val="36"/>
          <w:lang w:eastAsia="zh-TW"/>
        </w:rPr>
        <w:t>、官商勾結及警員洩漏個資、</w:t>
      </w:r>
      <w:r w:rsidRPr="00AC77DF">
        <w:t>政風人員法定職掌與定位</w:t>
      </w:r>
      <w:r w:rsidRPr="00AC77DF">
        <w:rPr>
          <w:lang w:eastAsia="zh-TW"/>
        </w:rPr>
        <w:t>、</w:t>
      </w:r>
      <w:r w:rsidRPr="00AC77DF">
        <w:t>石碇玉桂嶺及瑞芳地區共黨基地受難者司法救濟</w:t>
      </w:r>
      <w:r w:rsidRPr="00AC77DF">
        <w:rPr>
          <w:lang w:eastAsia="zh-TW"/>
        </w:rPr>
        <w:t>、</w:t>
      </w:r>
      <w:r w:rsidRPr="00AC77DF">
        <w:t>政黨財產查處之行政權限爭議等</w:t>
      </w:r>
      <w:r w:rsidRPr="00AC77DF">
        <w:rPr>
          <w:lang w:eastAsia="zh-TW"/>
        </w:rPr>
        <w:t>6</w:t>
      </w:r>
      <w:r w:rsidRPr="00AC77DF">
        <w:t>件司法爭議案。這些案件或有其時空背景，或因長期有結</w:t>
      </w:r>
      <w:r w:rsidRPr="00AC77DF">
        <w:lastRenderedPageBreak/>
        <w:t>構性及制度面問題，亟待檢討。案經監察院調查並提出建議後，多已獲採納並改善違失，或思考歷史的教訓。事實上，司法正義隨時空環境變化，不斷地演進與變遷。行政與司法機關在應付日常繁重的公務之餘</w:t>
      </w:r>
      <w:r w:rsidRPr="00AC77DF">
        <w:rPr>
          <w:lang w:eastAsia="zh-TW"/>
        </w:rPr>
        <w:t>，</w:t>
      </w:r>
      <w:r w:rsidRPr="00AC77DF">
        <w:t>亦須與時俱進，時刻儆醒檢討問題，共同為司法正義與伸張</w:t>
      </w:r>
      <w:r w:rsidR="00CC4A4E" w:rsidRPr="00AC77DF">
        <w:t>人權</w:t>
      </w:r>
      <w:r w:rsidRPr="00AC77DF">
        <w:t>努力。</w:t>
      </w:r>
    </w:p>
    <w:p w:rsidR="003807A5" w:rsidRDefault="003807A5" w:rsidP="00912880">
      <w:pPr>
        <w:widowControl/>
        <w:snapToGrid/>
        <w:rPr>
          <w:rFonts w:eastAsia="新細明體"/>
          <w:color w:val="000000"/>
          <w:sz w:val="28"/>
          <w:szCs w:val="28"/>
        </w:rPr>
      </w:pPr>
    </w:p>
    <w:p w:rsidR="00196868" w:rsidRPr="00AC77DF" w:rsidRDefault="00196868" w:rsidP="00912880">
      <w:pPr>
        <w:widowControl/>
        <w:snapToGrid/>
        <w:rPr>
          <w:rFonts w:eastAsia="新細明體"/>
          <w:color w:val="000000"/>
          <w:sz w:val="28"/>
          <w:szCs w:val="28"/>
        </w:rPr>
      </w:pPr>
    </w:p>
    <w:p w:rsidR="00196868" w:rsidRDefault="00196868">
      <w:pPr>
        <w:widowControl/>
        <w:snapToGrid/>
        <w:sectPr w:rsidR="00196868" w:rsidSect="00037CD1">
          <w:headerReference w:type="default" r:id="rId22"/>
          <w:pgSz w:w="8392" w:h="11907" w:code="11"/>
          <w:pgMar w:top="1701" w:right="794" w:bottom="1134" w:left="964" w:header="624" w:footer="397" w:gutter="0"/>
          <w:cols w:space="425"/>
          <w:docGrid w:type="lines" w:linePitch="360"/>
        </w:sectPr>
      </w:pPr>
    </w:p>
    <w:p w:rsidR="003807A5" w:rsidRPr="00AC77DF" w:rsidRDefault="003807A5" w:rsidP="001D7612">
      <w:pPr>
        <w:pStyle w:val="1--"/>
        <w:spacing w:after="180"/>
      </w:pPr>
      <w:bookmarkStart w:id="307" w:name="_Toc535228369"/>
      <w:bookmarkStart w:id="308" w:name="_Toc4058780"/>
      <w:r w:rsidRPr="00AC77DF">
        <w:lastRenderedPageBreak/>
        <w:t>第五章</w:t>
      </w:r>
      <w:r w:rsidRPr="00AC77DF">
        <w:rPr>
          <w:rFonts w:ascii="細明體" w:eastAsia="細明體" w:hAnsi="細明體" w:cs="細明體" w:hint="eastAsia"/>
        </w:rPr>
        <w:t xml:space="preserve">　</w:t>
      </w:r>
      <w:r w:rsidRPr="00AC77DF">
        <w:rPr>
          <w:noProof/>
        </w:rPr>
        <mc:AlternateContent>
          <mc:Choice Requires="wps">
            <w:drawing>
              <wp:anchor distT="0" distB="0" distL="114300" distR="114300" simplePos="0" relativeHeight="251914240" behindDoc="0" locked="1" layoutInCell="1" allowOverlap="1" wp14:anchorId="6155EC2B" wp14:editId="385206F0">
                <wp:simplePos x="0" y="0"/>
                <wp:positionH relativeFrom="column">
                  <wp:posOffset>7989570</wp:posOffset>
                </wp:positionH>
                <wp:positionV relativeFrom="paragraph">
                  <wp:posOffset>-773430</wp:posOffset>
                </wp:positionV>
                <wp:extent cx="635000" cy="317500"/>
                <wp:effectExtent l="0" t="0" r="0" b="0"/>
                <wp:wrapNone/>
                <wp:docPr id="82" name="記錄"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832" w:rsidRDefault="00970832" w:rsidP="00912880">
                            <w:pPr>
                              <w:jc w:val="center"/>
                              <w:rPr>
                                <w:sz w:val="18"/>
                              </w:rPr>
                            </w:pPr>
                            <w:r>
                              <w:rPr>
                                <w:sz w:val="18"/>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7" type="#_x0000_t202" style="position:absolute;left:0;text-align:left;margin-left:629.1pt;margin-top:-60.9pt;width:50pt;height:25pt;z-index:2519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" stroked="f">
                <v:textbox>
                  <w:txbxContent>
                    <w:p w:rsidR="00895792" w:rsidRDefault="00895792" w:rsidP="00912880">
                      <w:pPr>
                        <w:jc w:val="center"/>
                        <w:rPr>
                          <w:sz w:val="18"/>
                        </w:rPr>
                      </w:pPr>
                      <w:r>
                        <w:rPr>
                          <w:sz w:val="18"/>
                        </w:rPr>
                        <w:t>00</w:t>
                      </w:r>
                    </w:p>
                  </w:txbxContent>
                </v:textbox>
                <w10:anchorlock/>
              </v:shape>
            </w:pict>
          </mc:Fallback>
        </mc:AlternateContent>
      </w:r>
      <w:r w:rsidRPr="00AC77DF">
        <w:rPr>
          <w:noProof/>
        </w:rPr>
        <mc:AlternateContent>
          <mc:Choice Requires="wpg">
            <w:drawing>
              <wp:anchor distT="0" distB="0" distL="114300" distR="114300" simplePos="0" relativeHeight="251913216" behindDoc="0" locked="1" layoutInCell="0" allowOverlap="1" wp14:anchorId="3DE0EC72" wp14:editId="78DBA149">
                <wp:simplePos x="0" y="0"/>
                <wp:positionH relativeFrom="column">
                  <wp:posOffset>-2184400</wp:posOffset>
                </wp:positionH>
                <wp:positionV relativeFrom="paragraph">
                  <wp:posOffset>-2540</wp:posOffset>
                </wp:positionV>
                <wp:extent cx="149225" cy="8839200"/>
                <wp:effectExtent l="0" t="0" r="3175" b="19050"/>
                <wp:wrapNone/>
                <wp:docPr id="83" name="裝訂線"/>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39200"/>
                          <a:chOff x="745" y="1414"/>
                          <a:chExt cx="235" cy="13920"/>
                        </a:xfrm>
                      </wpg:grpSpPr>
                      <wps:wsp>
                        <wps:cNvPr id="84" name="Line 13"/>
                        <wps:cNvCnPr/>
                        <wps:spPr bwMode="auto">
                          <a:xfrm>
                            <a:off x="851" y="1414"/>
                            <a:ext cx="0" cy="139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5" name="Text Box 14"/>
                        <wps:cNvSpPr txBox="1">
                          <a:spLocks noChangeArrowheads="1"/>
                        </wps:cNvSpPr>
                        <wps:spPr bwMode="auto">
                          <a:xfrm>
                            <a:off x="745" y="5523"/>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912880">
                              <w:pPr>
                                <w:kinsoku w:val="0"/>
                                <w:wordWrap w:val="0"/>
                                <w:overflowPunct w:val="0"/>
                                <w:rPr>
                                  <w:sz w:val="20"/>
                                </w:rPr>
                              </w:pPr>
                              <w:r>
                                <w:rPr>
                                  <w:rFonts w:hint="eastAsia"/>
                                  <w:sz w:val="20"/>
                                </w:rPr>
                                <w:t>裝</w:t>
                              </w:r>
                            </w:p>
                          </w:txbxContent>
                        </wps:txbx>
                        <wps:bodyPr rot="0" vert="horz" wrap="square" lIns="0" tIns="0" rIns="0" bIns="0" anchor="t" anchorCtr="0" upright="1">
                          <a:noAutofit/>
                        </wps:bodyPr>
                      </wps:wsp>
                      <wps:wsp>
                        <wps:cNvPr id="86" name="Text Box 15"/>
                        <wps:cNvSpPr txBox="1">
                          <a:spLocks noChangeArrowheads="1"/>
                        </wps:cNvSpPr>
                        <wps:spPr bwMode="auto">
                          <a:xfrm>
                            <a:off x="745" y="8312"/>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912880">
                              <w:pPr>
                                <w:kinsoku w:val="0"/>
                                <w:wordWrap w:val="0"/>
                                <w:overflowPunct w:val="0"/>
                                <w:rPr>
                                  <w:sz w:val="20"/>
                                </w:rPr>
                              </w:pPr>
                              <w:r>
                                <w:rPr>
                                  <w:rFonts w:hint="eastAsia"/>
                                  <w:sz w:val="20"/>
                                </w:rPr>
                                <w:t>訂</w:t>
                              </w:r>
                            </w:p>
                          </w:txbxContent>
                        </wps:txbx>
                        <wps:bodyPr rot="0" vert="horz" wrap="square" lIns="0" tIns="0" rIns="0" bIns="0" anchor="t" anchorCtr="0" upright="1">
                          <a:noAutofit/>
                        </wps:bodyPr>
                      </wps:wsp>
                      <wps:wsp>
                        <wps:cNvPr id="87" name="Text Box 16"/>
                        <wps:cNvSpPr txBox="1">
                          <a:spLocks noChangeArrowheads="1"/>
                        </wps:cNvSpPr>
                        <wps:spPr bwMode="auto">
                          <a:xfrm>
                            <a:off x="745" y="11127"/>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912880">
                              <w:pPr>
                                <w:kinsoku w:val="0"/>
                                <w:wordWrap w:val="0"/>
                                <w:overflowPunct w:val="0"/>
                                <w:rPr>
                                  <w:sz w:val="20"/>
                                </w:rPr>
                              </w:pPr>
                              <w:r>
                                <w:rPr>
                                  <w:rFonts w:hint="eastAsia"/>
                                  <w:sz w:val="20"/>
                                </w:rPr>
                                <w:t>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88" style="position:absolute;left:0;text-align:left;margin-left:-172pt;margin-top:-.2pt;width:11.75pt;height:696pt;z-index:251913216" coordorigin="745,1414" coordsize="235,1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" o:allowincell="f">
                <v:line id="Line 13" o:spid="_x0000_s1089" style="position:absolute;visibility:visible;mso-wrap-style:square" from="851,1414" to="851,1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rSUMQAAADbAAAADwAAAGRycy9kb3ducmV2LnhtbESPQWsCMRSE70L/Q3gFb5qtSLVbo1RB&#10;UGsPblvo8bF5Jks3L8sm6vbfm4LgcZiZb5jZonO1OFMbKs8KnoYZCOLS64qNgq/P9WAKIkRkjbVn&#10;UvBHARbzh94Mc+0vfKBzEY1IEA45KrAxNrmUobTkMAx9Q5y8o28dxiRbI3WLlwR3tRxl2bN0WHFa&#10;sNjQylL5W5ycgvfJpv42/FPst8ew9C+7g/wwVqn+Y/f2CiJSF+/hW3ujFUzH8P8l/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KtJQxAAAANsAAAAPAAAAAAAAAAAA&#10;AAAAAKECAABkcnMvZG93bnJldi54bWxQSwUGAAAAAAQABAD5AAAAkgMAAAAA&#10;">
                  <v:stroke dashstyle="1 1"/>
                </v:line>
                <v:shape id="Text Box 14" o:spid="_x0000_s1090" type="#_x0000_t202" style="position:absolute;left:745;top:5523;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zxqsQA&#10;AADbAAAADwAAAGRycy9kb3ducmV2LnhtbESPQWvCQBSE70L/w/IKvZmNQkSiq9RSsZVejKF4fGRf&#10;k9Ds25Bdk/Tfu0LB4zAz3zDr7Wga0VPnassKZlEMgriwuuZSQX7eT5cgnEfW2FgmBX/kYLt5mqwx&#10;1XbgE/WZL0WAsEtRQeV9m0rpiooMusi2xMH7sZ1BH2RXSt3hEOCmkfM4XkiDNYeFClt6q6j4za5G&#10;waf+lrskj0/F5aIP7/uvJJ8fE6VensfXFQhPo3+E/9sfWsEygfuX8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M8arEAAAA2wAAAA8AAAAAAAAAAAAAAAAAmAIAAGRycy9k&#10;b3ducmV2LnhtbFBLBQYAAAAABAAEAPUAAACJAwAAAAA=&#10;" filled="f" stroked="f">
                  <v:stroke dashstyle="1 1"/>
                  <v:textbox inset="0,0,0,0">
                    <w:txbxContent>
                      <w:p w:rsidR="00895792" w:rsidRDefault="00895792" w:rsidP="00912880">
                        <w:pPr>
                          <w:kinsoku w:val="0"/>
                          <w:wordWrap w:val="0"/>
                          <w:overflowPunct w:val="0"/>
                          <w:rPr>
                            <w:sz w:val="20"/>
                          </w:rPr>
                        </w:pPr>
                        <w:r>
                          <w:rPr>
                            <w:rFonts w:hint="eastAsia"/>
                            <w:sz w:val="20"/>
                          </w:rPr>
                          <w:t>裝</w:t>
                        </w:r>
                      </w:p>
                    </w:txbxContent>
                  </v:textbox>
                </v:shape>
                <v:shape id="Text Box 15" o:spid="_x0000_s1091" type="#_x0000_t202" style="position:absolute;left:745;top:8312;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5v3cMA&#10;AADbAAAADwAAAGRycy9kb3ducmV2LnhtbESPQYvCMBSE74L/IbyFvWm6QkWqUVxZWRUv1SIeH82z&#10;Ldu8lCar9d8bQfA4zMw3zGzRmVpcqXWVZQVfwwgEcW51xYWC7LgeTEA4j6yxtkwK7uRgMe/3Zpho&#10;e+OUrgdfiABhl6CC0vsmkdLlJRl0Q9sQB+9iW4M+yLaQusVbgJtajqJoLA1WHBZKbGhVUv53+DcK&#10;tvokv+MsSvPzWf/+rPdxNtrFSn1+dMspCE+df4df7Y1WMBnD80v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5v3cMAAADbAAAADwAAAAAAAAAAAAAAAACYAgAAZHJzL2Rv&#10;d25yZXYueG1sUEsFBgAAAAAEAAQA9QAAAIgDAAAAAA==&#10;" filled="f" stroked="f">
                  <v:stroke dashstyle="1 1"/>
                  <v:textbox inset="0,0,0,0">
                    <w:txbxContent>
                      <w:p w:rsidR="00895792" w:rsidRDefault="00895792" w:rsidP="00912880">
                        <w:pPr>
                          <w:kinsoku w:val="0"/>
                          <w:wordWrap w:val="0"/>
                          <w:overflowPunct w:val="0"/>
                          <w:rPr>
                            <w:sz w:val="20"/>
                          </w:rPr>
                        </w:pPr>
                        <w:r>
                          <w:rPr>
                            <w:rFonts w:hint="eastAsia"/>
                            <w:sz w:val="20"/>
                          </w:rPr>
                          <w:t>訂</w:t>
                        </w:r>
                      </w:p>
                    </w:txbxContent>
                  </v:textbox>
                </v:shape>
                <v:shape id="Text Box 16" o:spid="_x0000_s1092" type="#_x0000_t202" style="position:absolute;left:745;top:11127;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LKRsMA&#10;AADbAAAADwAAAGRycy9kb3ducmV2LnhtbESPQYvCMBSE74L/ITzBm6YK3ZVqFF1W1MWLWsTjo3m2&#10;xealNFG7/94sLHgcZuYbZrZoTSUe1LjSsoLRMAJBnFldcq4gPa0HExDOI2usLJOCX3KwmHc7M0y0&#10;ffKBHkefiwBhl6CCwvs6kdJlBRl0Q1sTB+9qG4M+yCaXusFngJtKjqPoQxosOSwUWNNXQdnteDcK&#10;dvosV3EaHbLLRW++1/s4Hf/ESvV77XIKwlPr3+H/9lYrmHzC35fwA+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LKRsMAAADbAAAADwAAAAAAAAAAAAAAAACYAgAAZHJzL2Rv&#10;d25yZXYueG1sUEsFBgAAAAAEAAQA9QAAAIgDAAAAAA==&#10;" filled="f" stroked="f">
                  <v:stroke dashstyle="1 1"/>
                  <v:textbox inset="0,0,0,0">
                    <w:txbxContent>
                      <w:p w:rsidR="00895792" w:rsidRDefault="00895792" w:rsidP="00912880">
                        <w:pPr>
                          <w:kinsoku w:val="0"/>
                          <w:wordWrap w:val="0"/>
                          <w:overflowPunct w:val="0"/>
                          <w:rPr>
                            <w:sz w:val="20"/>
                          </w:rPr>
                        </w:pPr>
                        <w:r>
                          <w:rPr>
                            <w:rFonts w:hint="eastAsia"/>
                            <w:sz w:val="20"/>
                          </w:rPr>
                          <w:t>線</w:t>
                        </w:r>
                      </w:p>
                    </w:txbxContent>
                  </v:textbox>
                </v:shape>
                <w10:anchorlock/>
              </v:group>
            </w:pict>
          </mc:Fallback>
        </mc:AlternateContent>
      </w:r>
      <w:r w:rsidRPr="00AC77DF">
        <w:rPr>
          <w:noProof/>
        </w:rPr>
        <mc:AlternateContent>
          <mc:Choice Requires="wps">
            <w:drawing>
              <wp:anchor distT="0" distB="0" distL="114300" distR="114300" simplePos="0" relativeHeight="251912192" behindDoc="0" locked="1" layoutInCell="0" allowOverlap="1" wp14:anchorId="1CC75F7D" wp14:editId="27A6FC87">
                <wp:simplePos x="0" y="0"/>
                <wp:positionH relativeFrom="column">
                  <wp:posOffset>-609600</wp:posOffset>
                </wp:positionH>
                <wp:positionV relativeFrom="page">
                  <wp:posOffset>443230</wp:posOffset>
                </wp:positionV>
                <wp:extent cx="636905" cy="396240"/>
                <wp:effectExtent l="9525" t="5080" r="10795" b="8255"/>
                <wp:wrapNone/>
                <wp:docPr id="88" name="函正本"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832" w:rsidRDefault="00970832" w:rsidP="00912880">
                            <w:pPr>
                              <w:jc w:val="center"/>
                              <w:rPr>
                                <w:color w:val="000000"/>
                                <w:sz w:val="36"/>
                              </w:rPr>
                            </w:pPr>
                            <w:r>
                              <w:rPr>
                                <w:rFonts w:hint="eastAsia"/>
                                <w:color w:val="000000"/>
                                <w:sz w:val="36"/>
                              </w:rPr>
                              <w:t>正本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3" type="#_x0000_t202" style="position:absolute;left:0;text-align:left;margin-left:-48pt;margin-top:34.9pt;width:50.15pt;height:31.2pt;z-index:251912192;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" o:allowincell="f" filled="f">
                <v:textbox inset=".5mm,,.5mm">
                  <w:txbxContent>
                    <w:p w:rsidR="00895792" w:rsidRDefault="00895792" w:rsidP="00912880">
                      <w:pPr>
                        <w:jc w:val="center"/>
                        <w:rPr>
                          <w:color w:val="000000"/>
                          <w:sz w:val="36"/>
                        </w:rPr>
                      </w:pPr>
                      <w:r>
                        <w:rPr>
                          <w:rFonts w:hint="eastAsia"/>
                          <w:color w:val="000000"/>
                          <w:sz w:val="36"/>
                        </w:rPr>
                        <w:t>正本</w:t>
                      </w:r>
                    </w:p>
                  </w:txbxContent>
                </v:textbox>
                <w10:wrap anchory="page"/>
                <w10:anchorlock/>
              </v:shape>
            </w:pict>
          </mc:Fallback>
        </mc:AlternateContent>
      </w:r>
      <w:r w:rsidRPr="00AC77DF">
        <w:rPr>
          <w:noProof/>
        </w:rPr>
        <mc:AlternateContent>
          <mc:Choice Requires="wps">
            <w:drawing>
              <wp:anchor distT="0" distB="0" distL="114300" distR="114300" simplePos="0" relativeHeight="251911168" behindDoc="0" locked="1" layoutInCell="0" allowOverlap="1" wp14:anchorId="4C3290C6" wp14:editId="4AE8CB94">
                <wp:simplePos x="0" y="0"/>
                <wp:positionH relativeFrom="column">
                  <wp:posOffset>-609600</wp:posOffset>
                </wp:positionH>
                <wp:positionV relativeFrom="page">
                  <wp:posOffset>442595</wp:posOffset>
                </wp:positionV>
                <wp:extent cx="636905" cy="396240"/>
                <wp:effectExtent l="9525" t="13970" r="10795" b="8890"/>
                <wp:wrapNone/>
                <wp:docPr id="89" name="函副本"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832" w:rsidRDefault="00970832" w:rsidP="00912880">
                            <w:pPr>
                              <w:jc w:val="center"/>
                              <w:rPr>
                                <w:color w:val="000000"/>
                                <w:sz w:val="36"/>
                              </w:rPr>
                            </w:pPr>
                            <w:r>
                              <w:rPr>
                                <w:rFonts w:hint="eastAsia"/>
                                <w:color w:val="000000"/>
                                <w:sz w:val="36"/>
                              </w:rPr>
                              <w:t>副本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4" type="#_x0000_t202" style="position:absolute;left:0;text-align:left;margin-left:-48pt;margin-top:34.85pt;width:50.15pt;height:31.2pt;z-index:251911168;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" o:allowincell="f" filled="f">
                <v:textbox inset=".5mm,,.5mm">
                  <w:txbxContent>
                    <w:p w:rsidR="00895792" w:rsidRDefault="00895792" w:rsidP="00912880">
                      <w:pPr>
                        <w:jc w:val="center"/>
                        <w:rPr>
                          <w:color w:val="000000"/>
                          <w:sz w:val="36"/>
                        </w:rPr>
                      </w:pPr>
                      <w:r>
                        <w:rPr>
                          <w:rFonts w:hint="eastAsia"/>
                          <w:color w:val="000000"/>
                          <w:sz w:val="36"/>
                        </w:rPr>
                        <w:t>副本</w:t>
                      </w:r>
                    </w:p>
                  </w:txbxContent>
                </v:textbox>
                <w10:wrap anchory="page"/>
                <w10:anchorlock/>
              </v:shape>
            </w:pict>
          </mc:Fallback>
        </mc:AlternateContent>
      </w:r>
      <w:r w:rsidRPr="00AC77DF">
        <w:rPr>
          <w:noProof/>
        </w:rPr>
        <mc:AlternateContent>
          <mc:Choice Requires="wps">
            <w:drawing>
              <wp:anchor distT="0" distB="0" distL="114300" distR="114300" simplePos="0" relativeHeight="251910144" behindDoc="0" locked="1" layoutInCell="0" allowOverlap="1" wp14:anchorId="5FD6C9D3" wp14:editId="4E09946B">
                <wp:simplePos x="0" y="0"/>
                <wp:positionH relativeFrom="column">
                  <wp:posOffset>2819400</wp:posOffset>
                </wp:positionH>
                <wp:positionV relativeFrom="page">
                  <wp:posOffset>443230</wp:posOffset>
                </wp:positionV>
                <wp:extent cx="1440180" cy="360045"/>
                <wp:effectExtent l="9525" t="5080" r="7620" b="6350"/>
                <wp:wrapNone/>
                <wp:docPr id="90" name="首長大名"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970832" w:rsidRDefault="00970832" w:rsidP="00912880">
                            <w:r>
                              <w:rPr>
                                <w:rFonts w:hint="eastAsia"/>
                              </w:rPr>
                              <w:t>院長王○○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5" type="#_x0000_t202" style="position:absolute;left:0;text-align:left;margin-left:222pt;margin-top:34.9pt;width:113.4pt;height:28.35pt;z-index:251910144;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" o:allowincell="f">
                <v:textbox>
                  <w:txbxContent>
                    <w:p w:rsidR="00895792" w:rsidRDefault="00895792" w:rsidP="00912880">
                      <w:r>
                        <w:rPr>
                          <w:rFonts w:hint="eastAsia"/>
                        </w:rPr>
                        <w:t>院長王○○</w:t>
                      </w:r>
                    </w:p>
                  </w:txbxContent>
                </v:textbox>
                <w10:wrap anchory="page"/>
                <w10:anchorlock/>
              </v:shape>
            </w:pict>
          </mc:Fallback>
        </mc:AlternateContent>
      </w:r>
      <w:r w:rsidRPr="00AC77DF">
        <w:rPr>
          <w:noProof/>
        </w:rPr>
        <mc:AlternateContent>
          <mc:Choice Requires="wps">
            <w:drawing>
              <wp:anchor distT="0" distB="0" distL="114300" distR="114300" simplePos="0" relativeHeight="251909120" behindDoc="0" locked="1" layoutInCell="0" allowOverlap="1" wp14:anchorId="608FB4DF" wp14:editId="041AAD5A">
                <wp:simplePos x="0" y="0"/>
                <wp:positionH relativeFrom="column">
                  <wp:posOffset>1381125</wp:posOffset>
                </wp:positionH>
                <wp:positionV relativeFrom="page">
                  <wp:posOffset>443230</wp:posOffset>
                </wp:positionV>
                <wp:extent cx="1440180" cy="360045"/>
                <wp:effectExtent l="9525" t="5080" r="7620" b="6350"/>
                <wp:wrapNone/>
                <wp:docPr id="91" name="文別"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970832" w:rsidRDefault="00970832" w:rsidP="00912880">
                            <w:pPr>
                              <w:rPr>
                                <w:rFonts w:ascii="標楷體"/>
                              </w:rPr>
                            </w:pPr>
                            <w:r>
                              <w:rPr>
                                <w:rFonts w:ascii="標楷體" w:hint="eastAsia"/>
                              </w:rPr>
                              <w:t>函;函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6" type="#_x0000_t202" style="position:absolute;left:0;text-align:left;margin-left:108.75pt;margin-top:34.9pt;width:113.4pt;height:28.35pt;z-index:251909120;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" o:allowincell="f">
                <v:textbox>
                  <w:txbxContent>
                    <w:p w:rsidR="00895792" w:rsidRDefault="00895792" w:rsidP="00912880">
                      <w:pPr>
                        <w:rPr>
                          <w:rFonts w:ascii="標楷體"/>
                        </w:rPr>
                      </w:pPr>
                      <w:r>
                        <w:rPr>
                          <w:rFonts w:ascii="標楷體" w:hint="eastAsia"/>
                        </w:rPr>
                        <w:t>函;函</w:t>
                      </w:r>
                    </w:p>
                  </w:txbxContent>
                </v:textbox>
                <w10:wrap anchory="page"/>
                <w10:anchorlock/>
              </v:shape>
            </w:pict>
          </mc:Fallback>
        </mc:AlternateContent>
      </w:r>
      <w:r w:rsidRPr="00AC77DF">
        <w:t>健康權</w:t>
      </w:r>
      <w:bookmarkEnd w:id="307"/>
      <w:bookmarkEnd w:id="308"/>
    </w:p>
    <w:p w:rsidR="003807A5" w:rsidRPr="00AC77DF" w:rsidRDefault="003807A5" w:rsidP="00B7222B">
      <w:pPr>
        <w:pStyle w:val="1---"/>
        <w:ind w:firstLine="480"/>
      </w:pPr>
      <w:r w:rsidRPr="00AC77DF">
        <w:t>健康乃行使其他人權所不可或缺的基本人權，而國家應儘可能讓人民享受該國所能提供最高標準的健康權。</w:t>
      </w:r>
    </w:p>
    <w:p w:rsidR="003807A5" w:rsidRPr="00AC77DF" w:rsidRDefault="003807A5" w:rsidP="00B7222B">
      <w:pPr>
        <w:pStyle w:val="1---"/>
        <w:ind w:firstLine="480"/>
        <w:rPr>
          <w:lang w:eastAsia="zh-TW"/>
        </w:rPr>
      </w:pPr>
      <w:r w:rsidRPr="00AC77DF">
        <w:t>世界人權宣言第</w:t>
      </w:r>
      <w:r w:rsidRPr="00AC77DF">
        <w:t>3</w:t>
      </w:r>
      <w:r w:rsidRPr="00AC77DF">
        <w:t>條揭示「人人有權享有生命、自由和人身安全</w:t>
      </w:r>
      <w:r w:rsidRPr="005D3186">
        <w:rPr>
          <w:spacing w:val="-30"/>
        </w:rPr>
        <w:t>。</w:t>
      </w:r>
      <w:r w:rsidRPr="00AC77DF">
        <w:t>」第</w:t>
      </w:r>
      <w:r w:rsidRPr="00AC77DF">
        <w:t>25</w:t>
      </w:r>
      <w:r w:rsidRPr="00AC77DF">
        <w:t>條第</w:t>
      </w:r>
      <w:r w:rsidRPr="00AC77DF">
        <w:t>1</w:t>
      </w:r>
      <w:r w:rsidRPr="00AC77DF">
        <w:t>項指出</w:t>
      </w:r>
      <w:r w:rsidRPr="005D3186">
        <w:rPr>
          <w:spacing w:val="-30"/>
        </w:rPr>
        <w:t>：</w:t>
      </w:r>
      <w:r w:rsidRPr="00AC77DF">
        <w:t>「人人有權享受為維持他本人和家屬的健康和福利所需的生活水準，包括食物、衣著、住房、醫療和必要的社會服務；在遭到失業、疾病、殘廢、守寡、衰老或在其他不能控制的情況下喪失謀生能力時，有權享受保障」。經濟社會文化權利國際公約在健康權上規定了國際人權法最全面的條款。根據經濟社會文化權利國際公約第</w:t>
      </w:r>
      <w:r w:rsidRPr="00AC77DF">
        <w:t>12</w:t>
      </w:r>
      <w:r w:rsidRPr="00AC77DF">
        <w:t>條第</w:t>
      </w:r>
      <w:r w:rsidRPr="00AC77DF">
        <w:t>1</w:t>
      </w:r>
      <w:r w:rsidRPr="00AC77DF">
        <w:t>項，締約國確認「人人有權享受可能達到之最高標準之身體與精神健康</w:t>
      </w:r>
      <w:r w:rsidRPr="005D3186">
        <w:rPr>
          <w:spacing w:val="-30"/>
        </w:rPr>
        <w:t>」</w:t>
      </w:r>
      <w:r w:rsidRPr="00AC77DF">
        <w:t>，第</w:t>
      </w:r>
      <w:r w:rsidRPr="00AC77DF">
        <w:t>12</w:t>
      </w:r>
      <w:r w:rsidRPr="00AC77DF">
        <w:t>條第</w:t>
      </w:r>
      <w:r w:rsidRPr="00AC77DF">
        <w:t>2</w:t>
      </w:r>
      <w:r w:rsidRPr="00AC77DF">
        <w:t>項又進一步列舉了若干締約國為實現這項權利應採取的步驟。此外，承認健康權的還有</w:t>
      </w:r>
      <w:r w:rsidRPr="00AC77DF">
        <w:t>1956</w:t>
      </w:r>
      <w:r w:rsidRPr="00AC77DF">
        <w:t>年的消除一切形式種族歧視國際公約第</w:t>
      </w:r>
      <w:r w:rsidRPr="00AC77DF">
        <w:t>5</w:t>
      </w:r>
      <w:r w:rsidRPr="00AC77DF">
        <w:t>條第</w:t>
      </w:r>
      <w:r w:rsidRPr="00AC77DF">
        <w:t>5</w:t>
      </w:r>
      <w:r w:rsidRPr="00AC77DF">
        <w:t>款第</w:t>
      </w:r>
      <w:r w:rsidRPr="00AC77DF">
        <w:t>4</w:t>
      </w:r>
      <w:r w:rsidRPr="00AC77DF">
        <w:t>目，</w:t>
      </w:r>
      <w:r w:rsidRPr="00AC77DF">
        <w:t>1979</w:t>
      </w:r>
      <w:r w:rsidRPr="00AC77DF">
        <w:t>年的消除對婦女一切形式歧視公約（</w:t>
      </w:r>
      <w:r w:rsidRPr="00AC77DF">
        <w:t>Convention on the Elimination of All Forms of Discrimination Against Women</w:t>
      </w:r>
      <w:r w:rsidRPr="00AC77DF">
        <w:t>，簡稱</w:t>
      </w:r>
      <w:r w:rsidRPr="00AC77DF">
        <w:t>CEDAW</w:t>
      </w:r>
      <w:r w:rsidRPr="00AC77DF">
        <w:t>）第</w:t>
      </w:r>
      <w:r w:rsidRPr="00AC77DF">
        <w:t>11</w:t>
      </w:r>
      <w:r w:rsidRPr="00AC77DF">
        <w:t>條第</w:t>
      </w:r>
      <w:r w:rsidRPr="00AC77DF">
        <w:t>1</w:t>
      </w:r>
      <w:r w:rsidRPr="00AC77DF">
        <w:t>項第</w:t>
      </w:r>
      <w:r w:rsidRPr="00AC77DF">
        <w:t>6</w:t>
      </w:r>
      <w:r w:rsidRPr="00AC77DF">
        <w:t>款和第</w:t>
      </w:r>
      <w:r w:rsidRPr="00AC77DF">
        <w:t>12</w:t>
      </w:r>
      <w:r w:rsidRPr="00AC77DF">
        <w:t>條，和</w:t>
      </w:r>
      <w:r w:rsidRPr="00AC77DF">
        <w:t>1989</w:t>
      </w:r>
      <w:r w:rsidRPr="00AC77DF">
        <w:t>年的兒童權利公約第</w:t>
      </w:r>
      <w:r w:rsidRPr="00AC77DF">
        <w:t>24</w:t>
      </w:r>
      <w:r w:rsidRPr="00AC77DF">
        <w:t>條。一些區域性人權文書也承認健康權，如</w:t>
      </w:r>
      <w:r w:rsidRPr="00AC77DF">
        <w:t>1961</w:t>
      </w:r>
      <w:r w:rsidRPr="00AC77DF">
        <w:t>年歐洲社會憲章（第</w:t>
      </w:r>
      <w:r w:rsidRPr="00AC77DF">
        <w:t>11</w:t>
      </w:r>
      <w:r w:rsidRPr="00AC77DF">
        <w:t>條</w:t>
      </w:r>
      <w:r w:rsidRPr="005D3186">
        <w:rPr>
          <w:spacing w:val="-30"/>
        </w:rPr>
        <w:t>）</w:t>
      </w:r>
      <w:r w:rsidRPr="00AC77DF">
        <w:t>、</w:t>
      </w:r>
      <w:r w:rsidRPr="00AC77DF">
        <w:t>1981</w:t>
      </w:r>
      <w:r w:rsidRPr="00AC77DF">
        <w:t>年的非洲人權和人民權利憲章（第</w:t>
      </w:r>
      <w:r w:rsidRPr="00AC77DF">
        <w:t>16</w:t>
      </w:r>
      <w:r w:rsidRPr="00AC77DF">
        <w:t>條</w:t>
      </w:r>
      <w:r w:rsidRPr="005D3186">
        <w:rPr>
          <w:spacing w:val="-30"/>
        </w:rPr>
        <w:t>）</w:t>
      </w:r>
      <w:r w:rsidRPr="00AC77DF">
        <w:t>，和</w:t>
      </w:r>
      <w:r w:rsidRPr="00AC77DF">
        <w:t>1988</w:t>
      </w:r>
      <w:r w:rsidRPr="00AC77DF">
        <w:t>年的美洲人權公約關於經濟、社會及文化權利領域的附加議定書（第</w:t>
      </w:r>
      <w:r w:rsidRPr="00AC77DF">
        <w:t>10</w:t>
      </w:r>
      <w:r w:rsidRPr="00AC77DF">
        <w:t>條</w:t>
      </w:r>
      <w:r w:rsidRPr="005D3186">
        <w:rPr>
          <w:spacing w:val="-30"/>
        </w:rPr>
        <w:t>）</w:t>
      </w:r>
      <w:r w:rsidRPr="00AC77DF">
        <w:t>。同樣，</w:t>
      </w:r>
      <w:r w:rsidRPr="00AC77DF">
        <w:t>1993</w:t>
      </w:r>
      <w:r w:rsidRPr="00AC77DF">
        <w:t>年的維也納宣言和行動綱領等其他國際文書，均提及健康權。</w:t>
      </w:r>
    </w:p>
    <w:p w:rsidR="003807A5" w:rsidRPr="00AC77DF" w:rsidRDefault="003807A5" w:rsidP="00B7222B">
      <w:pPr>
        <w:pStyle w:val="1---"/>
        <w:ind w:firstLine="480"/>
      </w:pPr>
      <w:r w:rsidRPr="00AC77DF">
        <w:t>健康權與實現國際人權憲章中所載的其他人權密切相關，</w:t>
      </w:r>
      <w:r w:rsidRPr="00AC77DF">
        <w:lastRenderedPageBreak/>
        <w:t>又相互依賴，包括獲得食物、住房、工作、教育和人的尊嚴的權利，以及生命權、不受歧視的權利、平等、禁止使用酷刑、隱私權、獲得資訊的權利，結社、集會和行動自由。所有這些權利及其他權利和自由都與健康權密不可分。</w:t>
      </w:r>
    </w:p>
    <w:p w:rsidR="003807A5" w:rsidRPr="00AC77DF" w:rsidRDefault="003807A5" w:rsidP="00B7222B">
      <w:pPr>
        <w:pStyle w:val="1---"/>
        <w:ind w:firstLine="480"/>
        <w:rPr>
          <w:lang w:eastAsia="zh-TW"/>
        </w:rPr>
      </w:pPr>
      <w:r w:rsidRPr="00AC77DF">
        <w:t>從國家的角度來看</w:t>
      </w:r>
      <w:r w:rsidRPr="00AC77DF">
        <w:rPr>
          <w:lang w:eastAsia="zh-TW"/>
        </w:rPr>
        <w:t>，</w:t>
      </w:r>
      <w:r w:rsidRPr="00AC77DF">
        <w:t>國家應從確保人民取得安全的飲食與醫療資源著手，強化人民健康。適當糧食權的概念係指每個人得獲取適當數量的糧食（</w:t>
      </w:r>
      <w:r w:rsidRPr="00AC77DF">
        <w:t>availability</w:t>
      </w:r>
      <w:r w:rsidRPr="00AC77DF">
        <w:t>）外，尚包含所取得之糧食應具有一定程度之品質。此外，政府對於天災受難者、生活在災害頻仍區或其他落後地區之人民，尚要特別注意其對糧食之可接近性（</w:t>
      </w:r>
      <w:r w:rsidRPr="00AC77DF">
        <w:t>accessiblity</w:t>
      </w:r>
      <w:r w:rsidRPr="00AC77DF">
        <w:t>）</w:t>
      </w:r>
      <w:r w:rsidRPr="00AC77DF">
        <w:rPr>
          <w:rStyle w:val="aff2"/>
        </w:rPr>
        <w:footnoteReference w:id="84"/>
      </w:r>
      <w:r w:rsidRPr="00AC77DF">
        <w:t>。另一方面，國家可以透過訂定健康政策，透過法令及資源分配，促進並保護人民的健康。相關措施包括公共衛生與健康照顧設施、商品與服務，並得針對特定對象，如婦女、兒少、老年人、身心障礙者、原住民等採取措施，以保障其身心健康。是以，本章特別針對確保良好的飲食與醫療品質及健康促進與保護兩</w:t>
      </w:r>
      <w:r w:rsidR="00153BE3">
        <w:rPr>
          <w:rFonts w:hint="eastAsia"/>
        </w:rPr>
        <w:t>大</w:t>
      </w:r>
      <w:r w:rsidRPr="00AC77DF">
        <w:t>面</w:t>
      </w:r>
      <w:r w:rsidR="00153BE3">
        <w:rPr>
          <w:rFonts w:hint="eastAsia"/>
        </w:rPr>
        <w:t>向</w:t>
      </w:r>
      <w:r w:rsidRPr="00AC77DF">
        <w:t>，摘錄相關調查案件。</w:t>
      </w:r>
    </w:p>
    <w:p w:rsidR="003807A5" w:rsidRPr="005D3186" w:rsidRDefault="003807A5" w:rsidP="005D3186">
      <w:pPr>
        <w:pStyle w:val="11-"/>
        <w:spacing w:beforeLines="100" w:before="360" w:afterLines="100" w:after="360"/>
        <w:rPr>
          <w:sz w:val="32"/>
          <w:szCs w:val="32"/>
        </w:rPr>
      </w:pPr>
      <w:bookmarkStart w:id="309" w:name="_Toc535228370"/>
      <w:bookmarkStart w:id="310" w:name="_Toc4058781"/>
      <w:bookmarkStart w:id="311" w:name="_Toc528942463"/>
      <w:r w:rsidRPr="005D3186">
        <w:rPr>
          <w:sz w:val="32"/>
          <w:szCs w:val="32"/>
        </w:rPr>
        <w:t>一、確保良好的飲食與醫療品質</w:t>
      </w:r>
      <w:bookmarkEnd w:id="309"/>
      <w:bookmarkEnd w:id="310"/>
    </w:p>
    <w:p w:rsidR="003807A5" w:rsidRPr="00AC77DF" w:rsidRDefault="003807A5" w:rsidP="00B7222B">
      <w:pPr>
        <w:pStyle w:val="1---"/>
        <w:ind w:firstLine="480"/>
      </w:pPr>
      <w:r w:rsidRPr="00AC77DF">
        <w:t>聯合國人權事務委員會於</w:t>
      </w:r>
      <w:r w:rsidRPr="00AC77DF">
        <w:t>1999</w:t>
      </w:r>
      <w:r w:rsidRPr="00AC77DF">
        <w:t>年針對經濟社會文化權利國際公約第</w:t>
      </w:r>
      <w:r w:rsidRPr="00AC77DF">
        <w:t>11</w:t>
      </w:r>
      <w:r w:rsidRPr="00AC77DF">
        <w:t>條</w:t>
      </w:r>
      <w:r w:rsidR="00A22247">
        <w:t>，</w:t>
      </w:r>
      <w:r w:rsidRPr="00AC77DF">
        <w:t>通過第</w:t>
      </w:r>
      <w:r w:rsidRPr="00AC77DF">
        <w:t>12</w:t>
      </w:r>
      <w:r w:rsidRPr="00AC77DF">
        <w:t>號一般性意見，認為「取得適當食物的權利」是重要的人權，且適用於每個人。經濟社會文化權利國際公約對這項權利的涉及比任何其他文件都要全面。依照該公約第</w:t>
      </w:r>
      <w:r w:rsidRPr="00AC77DF">
        <w:t>11</w:t>
      </w:r>
      <w:r w:rsidRPr="00AC77DF">
        <w:t>條第</w:t>
      </w:r>
      <w:r w:rsidRPr="00AC77DF">
        <w:t>1</w:t>
      </w:r>
      <w:r w:rsidRPr="00AC77DF">
        <w:t>項，締約國承認「人人有權享受其本人及家</w:t>
      </w:r>
      <w:r w:rsidRPr="00AC77DF">
        <w:lastRenderedPageBreak/>
        <w:t>屬所需之適當生活程度，包括適當之衣食住及不斷改善之生活環境</w:t>
      </w:r>
      <w:r w:rsidRPr="005D3186">
        <w:rPr>
          <w:spacing w:val="-30"/>
        </w:rPr>
        <w:t>。</w:t>
      </w:r>
      <w:r w:rsidRPr="00AC77DF">
        <w:t>」</w:t>
      </w:r>
    </w:p>
    <w:p w:rsidR="003807A5" w:rsidRPr="00AC77DF" w:rsidRDefault="003807A5" w:rsidP="00B7222B">
      <w:pPr>
        <w:pStyle w:val="1---"/>
        <w:ind w:firstLine="480"/>
      </w:pPr>
      <w:r w:rsidRPr="00AC77DF">
        <w:t>人權事務委員會確認，取得適當食物的權利與人的固有尊嚴有著不可分割的聯繫，對國際人權憲章所載</w:t>
      </w:r>
      <w:r w:rsidR="007E6FD0">
        <w:rPr>
          <w:rFonts w:hint="eastAsia"/>
        </w:rPr>
        <w:t>之</w:t>
      </w:r>
      <w:r w:rsidRPr="00AC77DF">
        <w:t>其他人權的實現來說必不可少。這項權利與社會公正也是不可分割的，要求在國家和國際層次實行恰當的經濟、環境及社會政策，以期消除貧困，實現所有人的各項人權。</w:t>
      </w:r>
    </w:p>
    <w:p w:rsidR="003807A5" w:rsidRPr="00AC77DF" w:rsidRDefault="003807A5" w:rsidP="00B7222B">
      <w:pPr>
        <w:pStyle w:val="1---"/>
        <w:ind w:firstLine="480"/>
        <w:rPr>
          <w:lang w:eastAsia="zh-TW"/>
        </w:rPr>
      </w:pPr>
      <w:r w:rsidRPr="00AC77DF">
        <w:t>取得適當食物的權利</w:t>
      </w:r>
      <w:r w:rsidR="004F7D27">
        <w:rPr>
          <w:rFonts w:hint="eastAsia"/>
          <w:lang w:eastAsia="zh-TW"/>
        </w:rPr>
        <w:t>之</w:t>
      </w:r>
      <w:r w:rsidRPr="00AC77DF">
        <w:t>核心內涵為：食物在數量和品質上都足以滿足個人的飲食需要，無有害物質，</w:t>
      </w:r>
      <w:r w:rsidRPr="005D3186">
        <w:rPr>
          <w:rFonts w:asciiTheme="majorEastAsia" w:eastAsiaTheme="majorEastAsia" w:hAnsiTheme="majorEastAsia"/>
        </w:rPr>
        <w:t>……</w:t>
      </w:r>
      <w:r w:rsidRPr="00AC77DF">
        <w:t>。而所謂「無有害物質</w:t>
      </w:r>
      <w:r w:rsidRPr="005D3186">
        <w:rPr>
          <w:spacing w:val="-30"/>
        </w:rPr>
        <w:t>」</w:t>
      </w:r>
      <w:r w:rsidRPr="00AC77DF">
        <w:t>，係指「對食物安全作出規定，並要求政府和民營部門都採取保護措施，防止食品在食物鏈各階段因摻雜摻假或因環境衛生問題或處置不當而受到污染。還必須設法辨別、避免或消除自然生成的毒素。」</w:t>
      </w:r>
    </w:p>
    <w:p w:rsidR="003807A5" w:rsidRDefault="003807A5" w:rsidP="00B7222B">
      <w:pPr>
        <w:pStyle w:val="1---"/>
        <w:ind w:firstLine="480"/>
        <w:rPr>
          <w:lang w:eastAsia="zh-TW"/>
        </w:rPr>
      </w:pPr>
      <w:r w:rsidRPr="00AC77DF">
        <w:t>本節特別針對經濟社會文化權利國際公約第</w:t>
      </w:r>
      <w:r w:rsidRPr="00AC77DF">
        <w:t>11</w:t>
      </w:r>
      <w:r w:rsidRPr="00AC77DF">
        <w:t>條規定，摘錄監察院</w:t>
      </w:r>
      <w:r w:rsidRPr="00AC77DF">
        <w:t>2017</w:t>
      </w:r>
      <w:r w:rsidRPr="00AC77DF">
        <w:t>年相關調查案例，供各界參閱。</w:t>
      </w:r>
    </w:p>
    <w:p w:rsidR="00FA42B3" w:rsidRDefault="00FA42B3" w:rsidP="00B7222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3000"/>
      </w:tblGrid>
      <w:tr w:rsidR="00FA42B3" w:rsidTr="005D3186">
        <w:tc>
          <w:tcPr>
            <w:tcW w:w="3000" w:type="dxa"/>
            <w:shd w:val="clear" w:color="auto" w:fill="D9D9D9" w:themeFill="background1" w:themeFillShade="D9"/>
          </w:tcPr>
          <w:p w:rsidR="00FA42B3" w:rsidRDefault="00FA42B3" w:rsidP="00FA42B3">
            <w:pPr>
              <w:pStyle w:val="11-"/>
              <w:spacing w:before="72" w:after="108"/>
              <w:rPr>
                <w:lang w:eastAsia="zh-TW"/>
              </w:rPr>
            </w:pPr>
            <w:bookmarkStart w:id="312" w:name="_Toc535228371"/>
            <w:bookmarkStart w:id="313" w:name="_Toc4058782"/>
            <w:r w:rsidRPr="00AC77DF">
              <w:t>精緻農業發展</w:t>
            </w:r>
            <w:r w:rsidRPr="00AC77DF">
              <w:rPr>
                <w:noProof/>
              </w:rPr>
              <w:t>及推動</w:t>
            </w:r>
            <w:bookmarkEnd w:id="312"/>
            <w:bookmarkEnd w:id="313"/>
          </w:p>
        </w:tc>
      </w:tr>
    </w:tbl>
    <w:p w:rsidR="003807A5" w:rsidRPr="00AC77DF" w:rsidRDefault="00AE44BF" w:rsidP="00FA42B3">
      <w:pPr>
        <w:pStyle w:val="afff1"/>
        <w:spacing w:before="360" w:after="360"/>
      </w:pPr>
      <w:bookmarkStart w:id="314" w:name="_Toc528942464"/>
      <w:bookmarkEnd w:id="311"/>
      <w:r>
        <w:rPr>
          <w:rFonts w:hint="eastAsia"/>
        </w:rPr>
        <w:t>(一)</w:t>
      </w:r>
      <w:r w:rsidR="003807A5" w:rsidRPr="00AC77DF">
        <w:t>案情簡述</w:t>
      </w:r>
      <w:bookmarkEnd w:id="314"/>
    </w:p>
    <w:p w:rsidR="003807A5" w:rsidRPr="00AC77DF" w:rsidRDefault="003807A5" w:rsidP="00B7222B">
      <w:pPr>
        <w:pStyle w:val="1---"/>
        <w:ind w:firstLine="480"/>
      </w:pPr>
      <w:r w:rsidRPr="00AC77DF">
        <w:t>精緻農業雖已行之有年，然近年農業環境產生變化，尤其世界各國對於農產品衛生安全日益關切，又綠色能源及資源永續利用的重視，以及國內政府對於農業人力、農民就業及農業技術之注重，究國內發展政策應如何因應及強化，經監察院財</w:t>
      </w:r>
      <w:r w:rsidRPr="00AC77DF">
        <w:lastRenderedPageBreak/>
        <w:t>政及經濟委員會決議進行調查研究。</w:t>
      </w:r>
    </w:p>
    <w:p w:rsidR="003807A5" w:rsidRPr="00AC77DF" w:rsidRDefault="00AE44BF" w:rsidP="00FA42B3">
      <w:pPr>
        <w:pStyle w:val="afff1"/>
        <w:spacing w:before="360" w:after="360"/>
      </w:pPr>
      <w:bookmarkStart w:id="315" w:name="_Toc528942465"/>
      <w:r>
        <w:rPr>
          <w:rFonts w:hint="eastAsia"/>
        </w:rPr>
        <w:t>(二)</w:t>
      </w:r>
      <w:r w:rsidR="003807A5" w:rsidRPr="00AC77DF">
        <w:t>調查發現與建議</w:t>
      </w:r>
      <w:bookmarkEnd w:id="315"/>
    </w:p>
    <w:p w:rsidR="003807A5" w:rsidRPr="00AC77DF" w:rsidRDefault="00FD29F8" w:rsidP="00D92DAE">
      <w:pPr>
        <w:pStyle w:val="1--13"/>
        <w:spacing w:before="180" w:after="180"/>
      </w:pPr>
      <w:r w:rsidRPr="008E1832">
        <w:rPr>
          <w:rFonts w:hint="eastAsia"/>
        </w:rPr>
        <w:t>˙</w:t>
      </w:r>
      <w:r w:rsidR="003807A5" w:rsidRPr="00AC77DF">
        <w:t>檢討困境作為借鏡</w:t>
      </w:r>
    </w:p>
    <w:p w:rsidR="003807A5" w:rsidRPr="00AC77DF" w:rsidRDefault="003807A5" w:rsidP="00B7222B">
      <w:pPr>
        <w:pStyle w:val="1---"/>
        <w:ind w:firstLine="480"/>
        <w:rPr>
          <w:i/>
        </w:rPr>
      </w:pPr>
      <w:r w:rsidRPr="00AC77DF">
        <w:t>農委會</w:t>
      </w:r>
      <w:r w:rsidRPr="00AC77DF">
        <w:t>98</w:t>
      </w:r>
      <w:r w:rsidRPr="00AC77DF">
        <w:t>至</w:t>
      </w:r>
      <w:r w:rsidRPr="00AC77DF">
        <w:t>101</w:t>
      </w:r>
      <w:r w:rsidRPr="00AC77DF">
        <w:t>年辦理「精緻農業健康卓越方案</w:t>
      </w:r>
      <w:r w:rsidRPr="002D1C40">
        <w:rPr>
          <w:spacing w:val="-30"/>
        </w:rPr>
        <w:t>」</w:t>
      </w:r>
      <w:r w:rsidRPr="00AC77DF">
        <w:t>，以健康、卓越及樂活農業為</w:t>
      </w:r>
      <w:r w:rsidRPr="00AC77DF">
        <w:t>3</w:t>
      </w:r>
      <w:r w:rsidRPr="00AC77DF">
        <w:t>大主軸，共計投入</w:t>
      </w:r>
      <w:r w:rsidRPr="00AC77DF">
        <w:t>162</w:t>
      </w:r>
      <w:r w:rsidRPr="00AC77DF">
        <w:t>億餘元，執行</w:t>
      </w:r>
      <w:r w:rsidRPr="00AC77DF">
        <w:t>20</w:t>
      </w:r>
      <w:r w:rsidRPr="00AC77DF">
        <w:t>項相關計畫。其中樂活農業投入金額達</w:t>
      </w:r>
      <w:r w:rsidRPr="00AC77DF">
        <w:t>97.35</w:t>
      </w:r>
      <w:r w:rsidRPr="00AC77DF">
        <w:t>億餘元，占全部經費之</w:t>
      </w:r>
      <w:r w:rsidRPr="00AC77DF">
        <w:t>6</w:t>
      </w:r>
      <w:r w:rsidRPr="00AC77DF">
        <w:t>成左右，然所創造產值僅占全部產值之</w:t>
      </w:r>
      <w:r w:rsidRPr="00AC77DF">
        <w:t>2</w:t>
      </w:r>
      <w:r w:rsidRPr="00AC77DF">
        <w:t>成左右。本案經現勘確實發現樂活農業相關產業經營有其困境及難以創造產值之情況，農委會宜考量將此經驗納入後續推動「新農業創新推動方案」及其他樂活農業相關計畫參考，協助該些產業突破困境並開創產值，避免已投入之經費只見曇花一現之短暫成效，以輔導其得自力更生及永續發展為目標。</w:t>
      </w:r>
    </w:p>
    <w:p w:rsidR="003807A5" w:rsidRPr="00AC77DF" w:rsidRDefault="00FD29F8" w:rsidP="00D92DAE">
      <w:pPr>
        <w:pStyle w:val="1--13"/>
        <w:spacing w:before="180" w:after="180"/>
      </w:pPr>
      <w:r w:rsidRPr="008E1832">
        <w:rPr>
          <w:rFonts w:hint="eastAsia"/>
        </w:rPr>
        <w:t>˙</w:t>
      </w:r>
      <w:r w:rsidR="003807A5" w:rsidRPr="00AC77DF">
        <w:t>整合公私部門資源</w:t>
      </w:r>
    </w:p>
    <w:p w:rsidR="003807A5" w:rsidRPr="00AC77DF" w:rsidRDefault="003807A5" w:rsidP="00B7222B">
      <w:pPr>
        <w:pStyle w:val="1---"/>
        <w:ind w:firstLine="480"/>
        <w:rPr>
          <w:lang w:eastAsia="zh-TW"/>
        </w:rPr>
      </w:pPr>
      <w:r w:rsidRPr="00AC77DF">
        <w:t>為提高休閒農業之價值與魅力，增進農村經濟與農民收益，農委會宜加強盤點及整合交通部觀光局、原住民族委員會、文化部、地方政府、民間團體及運輸業者等資源，輔導業者開發結合農業六級化成果及富涵在地文化、人文故事底蘊之休閒農業商品，進而形成區域農遊帶，並積極發掘國內、外不同客群所隸屬或相關之社會團體、公司福利委員會、學校機關、教育機構等消費需求，精準行銷。此外，透過部會協調，適度修正放寬發展觀光條例規定，拓展農業旅遊行銷通路，帶動地區</w:t>
      </w:r>
      <w:r w:rsidRPr="00AC77DF">
        <w:lastRenderedPageBreak/>
        <w:t>經濟發展。</w:t>
      </w:r>
    </w:p>
    <w:p w:rsidR="003807A5" w:rsidRPr="00AC77DF" w:rsidRDefault="003807A5" w:rsidP="00B7222B">
      <w:pPr>
        <w:pStyle w:val="1---"/>
        <w:ind w:firstLine="480"/>
        <w:rPr>
          <w:i/>
        </w:rPr>
      </w:pPr>
      <w:r w:rsidRPr="00AC77DF">
        <w:t>為確保休閒農業區之品質，農委會宜滾動修正「休閒農業輔導管理辦法」，強化休閒農業區營運效能及各地方政府之督導作為，並落實退場機制。此外，該會除擴大田媽媽申請條件之外，宜協助班員提升食品安全衛生相關法令與觀念，增進田媽媽之品牌形象及永續經營。</w:t>
      </w:r>
    </w:p>
    <w:p w:rsidR="003807A5" w:rsidRPr="00AC77DF" w:rsidRDefault="00FD29F8" w:rsidP="00D92DAE">
      <w:pPr>
        <w:pStyle w:val="1--13"/>
        <w:spacing w:before="180" w:after="180"/>
      </w:pPr>
      <w:r w:rsidRPr="008E1832">
        <w:rPr>
          <w:rFonts w:hint="eastAsia"/>
        </w:rPr>
        <w:t>˙</w:t>
      </w:r>
      <w:r w:rsidR="003807A5" w:rsidRPr="00AC77DF">
        <w:t>標章制度應避免消費者混淆</w:t>
      </w:r>
    </w:p>
    <w:p w:rsidR="003807A5" w:rsidRPr="00AC77DF" w:rsidRDefault="003807A5" w:rsidP="00B7222B">
      <w:pPr>
        <w:pStyle w:val="1---"/>
        <w:ind w:firstLine="480"/>
        <w:rPr>
          <w:i/>
        </w:rPr>
      </w:pPr>
      <w:r w:rsidRPr="00AC77DF">
        <w:t>農委會自</w:t>
      </w:r>
      <w:r w:rsidRPr="00AC77DF">
        <w:t>78</w:t>
      </w:r>
      <w:r w:rsidRPr="00AC77DF">
        <w:t>年起陸續推動台灣優良農產品（</w:t>
      </w:r>
      <w:r w:rsidRPr="00AC77DF">
        <w:t>CAS</w:t>
      </w:r>
      <w:r w:rsidRPr="002D1C40">
        <w:rPr>
          <w:spacing w:val="-30"/>
        </w:rPr>
        <w:t>）</w:t>
      </w:r>
      <w:r w:rsidRPr="00AC77DF">
        <w:t>、產銷履歷農產品（</w:t>
      </w:r>
      <w:r w:rsidRPr="00AC77DF">
        <w:t>TAP</w:t>
      </w:r>
      <w:r w:rsidRPr="002D1C40">
        <w:rPr>
          <w:spacing w:val="-30"/>
        </w:rPr>
        <w:t>）</w:t>
      </w:r>
      <w:r w:rsidRPr="00AC77DF">
        <w:t>、吉園圃安全蔬果及有機農產品標章，且</w:t>
      </w:r>
      <w:r w:rsidRPr="00AC77DF">
        <w:t>98</w:t>
      </w:r>
      <w:r w:rsidRPr="00AC77DF">
        <w:t>年推動之「精緻農業健康卓越方案</w:t>
      </w:r>
      <w:r w:rsidRPr="002D1C40">
        <w:rPr>
          <w:spacing w:val="-30"/>
        </w:rPr>
        <w:t>」</w:t>
      </w:r>
      <w:r w:rsidRPr="00AC77DF">
        <w:t>，以健康農業為該方案之</w:t>
      </w:r>
      <w:r w:rsidRPr="00AC77DF">
        <w:t>3</w:t>
      </w:r>
      <w:r w:rsidRPr="00AC77DF">
        <w:t>大願景之一，執行該</w:t>
      </w:r>
      <w:r w:rsidRPr="00AC77DF">
        <w:t>4</w:t>
      </w:r>
      <w:r w:rsidRPr="00AC77DF">
        <w:t>項標章制度。惟</w:t>
      </w:r>
      <w:r w:rsidRPr="00AC77DF">
        <w:t>105</w:t>
      </w:r>
      <w:r w:rsidRPr="00AC77DF">
        <w:t>年</w:t>
      </w:r>
      <w:r w:rsidRPr="00AC77DF">
        <w:t>5</w:t>
      </w:r>
      <w:r w:rsidRPr="00AC77DF">
        <w:t>月</w:t>
      </w:r>
      <w:r w:rsidRPr="00AC77DF">
        <w:t>20</w:t>
      </w:r>
      <w:r w:rsidRPr="00AC77DF">
        <w:t>日之後的「新農業創新推動方案</w:t>
      </w:r>
      <w:r w:rsidRPr="002D1C40">
        <w:rPr>
          <w:spacing w:val="-30"/>
        </w:rPr>
        <w:t>」</w:t>
      </w:r>
      <w:r w:rsidRPr="00AC77DF">
        <w:t>，朝向將吉園圃安全蔬果、台灣優良農產品（</w:t>
      </w:r>
      <w:r w:rsidRPr="00AC77DF">
        <w:t>CAS</w:t>
      </w:r>
      <w:r w:rsidRPr="00AC77DF">
        <w:t>）及產銷履歷農產品（</w:t>
      </w:r>
      <w:r w:rsidRPr="00AC77DF">
        <w:t>TAP</w:t>
      </w:r>
      <w:r w:rsidRPr="00AC77DF">
        <w:t>）標章整合為</w:t>
      </w:r>
      <w:r w:rsidRPr="00AC77DF">
        <w:t>TGAP</w:t>
      </w:r>
      <w:r w:rsidRPr="00AC77DF">
        <w:t>之方式進行推動，其為使消費者易於辨識之立意係屬良善，然各標章推行有年且各有使用目的及範圍，整合恐涉及限縮原驗證範圍、增加業者成本及喪失國際市場等疑慮。另該會所規劃</w:t>
      </w:r>
      <w:r w:rsidRPr="00AC77DF">
        <w:t>TGAP</w:t>
      </w:r>
      <w:r w:rsidRPr="00AC77DF">
        <w:t>驗證範圍涉及「食品」領域，宜考量如何與現行台灣優良食品（</w:t>
      </w:r>
      <w:r w:rsidRPr="00AC77DF">
        <w:t>TQF</w:t>
      </w:r>
      <w:r w:rsidRPr="00AC77DF">
        <w:t>）驗證制度之相輔相成，共求保護消費者飲食安全與促進產品外銷；復應避免消費者混淆，而失整合之目的。</w:t>
      </w:r>
    </w:p>
    <w:p w:rsidR="003807A5" w:rsidRPr="00AC77DF" w:rsidRDefault="003807A5" w:rsidP="00B7222B">
      <w:pPr>
        <w:pStyle w:val="1---"/>
        <w:ind w:firstLine="480"/>
        <w:rPr>
          <w:i/>
        </w:rPr>
      </w:pPr>
      <w:r w:rsidRPr="00AC77DF">
        <w:t>我國推動有機農業已逾</w:t>
      </w:r>
      <w:r w:rsidRPr="00AC77DF">
        <w:t>20</w:t>
      </w:r>
      <w:r w:rsidRPr="00AC77DF">
        <w:t>年，自</w:t>
      </w:r>
      <w:r w:rsidRPr="00AC77DF">
        <w:t>96</w:t>
      </w:r>
      <w:r w:rsidRPr="00AC77DF">
        <w:t>年農產品生產及驗證管理法公布後，正式導入驗證制度，通過有機驗證之耕作面積大幅成長，惟</w:t>
      </w:r>
      <w:r w:rsidRPr="00AC77DF">
        <w:t>102</w:t>
      </w:r>
      <w:r w:rsidRPr="00AC77DF">
        <w:t>年以後呈趨緩現象。花蓮地區對有機農業之推廣，以聚落方式結合自然環境、文化資源、休閒農業及觀光</w:t>
      </w:r>
      <w:r w:rsidRPr="00AC77DF">
        <w:lastRenderedPageBreak/>
        <w:t>產業等多元發展，賦予有機農業新價值，值得擴大推廣。農委會</w:t>
      </w:r>
      <w:r w:rsidRPr="00AC77DF">
        <w:t>106</w:t>
      </w:r>
      <w:r w:rsidRPr="00AC77DF">
        <w:t>年推動「友善環境耕作</w:t>
      </w:r>
      <w:r w:rsidRPr="002D1C40">
        <w:rPr>
          <w:spacing w:val="-30"/>
        </w:rPr>
        <w:t>」</w:t>
      </w:r>
      <w:r w:rsidRPr="00AC77DF">
        <w:t>，並首度納為輔導與補助對象，然其與有機農業之補貼審查強度、驗證有無及法源依據迥異，將使農民捨棄有機農業而選擇友善環境耕作，此勢必衝擊有機農業之發展，且與該會刻正研擬之有機農業法目的似有未符。又該會將「友善環境耕作」納入有機農業法草案中，卻欠缺定義及認定標準；另我國農藥使用需求量高，且目前絕大</w:t>
      </w:r>
      <w:r w:rsidR="00CD5E85">
        <w:rPr>
          <w:rFonts w:hint="eastAsia"/>
          <w:lang w:eastAsia="zh-TW"/>
        </w:rPr>
        <w:t>多</w:t>
      </w:r>
      <w:r w:rsidRPr="00AC77DF">
        <w:t>數仍採用使用農藥之慣行農法耕作，其正確及合理使用農藥之督管措施，均有待農委會深入檢討及研議。</w:t>
      </w:r>
    </w:p>
    <w:p w:rsidR="003807A5" w:rsidRPr="00AC77DF" w:rsidRDefault="00FD29F8" w:rsidP="00D92DAE">
      <w:pPr>
        <w:pStyle w:val="1--13"/>
        <w:spacing w:before="180" w:after="180"/>
      </w:pPr>
      <w:r w:rsidRPr="008E1832">
        <w:rPr>
          <w:rFonts w:hint="eastAsia"/>
        </w:rPr>
        <w:t>˙</w:t>
      </w:r>
      <w:r w:rsidR="003807A5" w:rsidRPr="00AC77DF">
        <w:t>提升農村經濟產值</w:t>
      </w:r>
    </w:p>
    <w:p w:rsidR="003807A5" w:rsidRPr="00AC77DF" w:rsidRDefault="003807A5" w:rsidP="00B7222B">
      <w:pPr>
        <w:pStyle w:val="1---"/>
        <w:ind w:firstLine="480"/>
        <w:rPr>
          <w:i/>
        </w:rPr>
      </w:pPr>
      <w:r w:rsidRPr="00AC77DF">
        <w:t>農委會</w:t>
      </w:r>
      <w:r w:rsidRPr="00AC77DF">
        <w:t>101</w:t>
      </w:r>
      <w:r w:rsidRPr="00AC77DF">
        <w:t>至</w:t>
      </w:r>
      <w:r w:rsidRPr="00AC77DF">
        <w:t>105</w:t>
      </w:r>
      <w:r w:rsidRPr="00AC77DF">
        <w:t>年輔導農會發展農村經濟事業計畫，對於農會收入有顯著經濟效益，惟在創造農村經濟產</w:t>
      </w:r>
      <w:r w:rsidRPr="00AC77DF">
        <w:rPr>
          <w:rStyle w:val="1---0"/>
        </w:rPr>
        <w:t>值</w:t>
      </w:r>
      <w:r w:rsidRPr="00AC77DF">
        <w:t>方面，未如農會收入有顯著提升，農委會仍需持續輔導農會帶動農村經濟持續成長。我國目前各級農會經濟事業連結、合作強度低，農委會可積極輔導農會依其所在區域，善用在地優勢，區隔鄉村型農會及都市型農會之角色定位，連結直轄市、縣市及全國農會，作為整合之集貨、物流、供銷平臺，落實各級農會經濟事業發展與串連整合實效。</w:t>
      </w:r>
    </w:p>
    <w:p w:rsidR="003807A5" w:rsidRPr="00AC77DF" w:rsidRDefault="003807A5" w:rsidP="00B7222B">
      <w:pPr>
        <w:pStyle w:val="1---"/>
        <w:ind w:firstLine="480"/>
        <w:rPr>
          <w:lang w:eastAsia="zh-TW"/>
        </w:rPr>
      </w:pPr>
      <w:r w:rsidRPr="00AC77DF">
        <w:t>我國糧食自給率偏低，</w:t>
      </w:r>
      <w:r w:rsidRPr="00AC77DF">
        <w:t>99</w:t>
      </w:r>
      <w:r w:rsidRPr="00AC77DF">
        <w:t>年降至</w:t>
      </w:r>
      <w:r w:rsidRPr="00AC77DF">
        <w:t>31.2%</w:t>
      </w:r>
      <w:r w:rsidRPr="00AC77DF">
        <w:t>，時隔</w:t>
      </w:r>
      <w:r w:rsidRPr="00AC77DF">
        <w:t>6</w:t>
      </w:r>
      <w:r w:rsidRPr="00AC77DF">
        <w:t>年，</w:t>
      </w:r>
      <w:r w:rsidRPr="00AC77DF">
        <w:t>105</w:t>
      </w:r>
      <w:r w:rsidRPr="00AC77DF">
        <w:t>年仍僅</w:t>
      </w:r>
      <w:r w:rsidRPr="00AC77DF">
        <w:t>31%</w:t>
      </w:r>
      <w:r w:rsidRPr="00AC77DF">
        <w:t>，難以提升，為達成</w:t>
      </w:r>
      <w:r w:rsidRPr="00AC77DF">
        <w:t>109</w:t>
      </w:r>
      <w:r w:rsidRPr="00AC77DF">
        <w:t>年糧食自給率</w:t>
      </w:r>
      <w:r w:rsidRPr="00AC77DF">
        <w:t>40%</w:t>
      </w:r>
      <w:r w:rsidRPr="00AC77DF">
        <w:t>之設定目標，並促進農業及農村永續發展，農委會除了鼓勵農民種植進口替代作物，增加國內雜糧供給之外，應強化食農教育之踐行，引導全民對國產農產品及在地飲食文化之認同、信賴與支持，以增加農民之收益，創造農業發展之利基。</w:t>
      </w:r>
    </w:p>
    <w:p w:rsidR="003807A5" w:rsidRPr="00AC77DF" w:rsidRDefault="003807A5" w:rsidP="00274413">
      <w:pPr>
        <w:pStyle w:val="1---"/>
        <w:spacing w:after="180"/>
        <w:ind w:firstLine="480"/>
      </w:pPr>
      <w:r w:rsidRPr="00AC77DF">
        <w:lastRenderedPageBreak/>
        <w:t>依據本案調查意見</w:t>
      </w:r>
      <w:r w:rsidRPr="00F85A65">
        <w:rPr>
          <w:rStyle w:val="aff2"/>
        </w:rPr>
        <w:footnoteReference w:id="85"/>
      </w:r>
      <w:r w:rsidRPr="00AC77DF">
        <w:t>，監察院函請行政院轉知所屬參處。</w:t>
      </w:r>
    </w:p>
    <w:p w:rsidR="003807A5" w:rsidRPr="00AC77DF" w:rsidRDefault="00AE44BF" w:rsidP="00FA42B3">
      <w:pPr>
        <w:pStyle w:val="afff1"/>
        <w:spacing w:before="360" w:after="360"/>
      </w:pPr>
      <w:bookmarkStart w:id="316" w:name="_Toc528942466"/>
      <w:r>
        <w:rPr>
          <w:rFonts w:hint="eastAsia"/>
        </w:rPr>
        <w:t>(三)</w:t>
      </w:r>
      <w:r w:rsidR="003807A5" w:rsidRPr="00AC77DF">
        <w:t>政府機關改善情形</w:t>
      </w:r>
      <w:bookmarkEnd w:id="316"/>
    </w:p>
    <w:p w:rsidR="003807A5" w:rsidRPr="00AC77DF" w:rsidRDefault="003807A5" w:rsidP="00B7222B">
      <w:pPr>
        <w:pStyle w:val="1---"/>
        <w:ind w:firstLine="480"/>
        <w:rPr>
          <w:lang w:eastAsia="zh-TW"/>
        </w:rPr>
      </w:pPr>
      <w:r w:rsidRPr="00AC77DF">
        <w:t>本案促使主管機關正視精緻農業發展之重要性，並自法令、制度及執行等</w:t>
      </w:r>
      <w:r w:rsidRPr="00AC77DF">
        <w:t>3</w:t>
      </w:r>
      <w:r w:rsidRPr="00AC77DF">
        <w:t>面向，探討現行精緻農業等相關推動政策及方案有無亟待改進之處，以保障國人飲食安全及農民權益。</w:t>
      </w:r>
    </w:p>
    <w:p w:rsidR="003807A5" w:rsidRPr="00AC77DF" w:rsidRDefault="00AE44BF" w:rsidP="00FA42B3">
      <w:pPr>
        <w:pStyle w:val="afff1"/>
        <w:spacing w:before="360" w:after="360"/>
      </w:pPr>
      <w:bookmarkStart w:id="317" w:name="_Toc528942467"/>
      <w:r>
        <w:rPr>
          <w:rFonts w:hint="eastAsia"/>
        </w:rPr>
        <w:t>(四)</w:t>
      </w:r>
      <w:r w:rsidR="003807A5" w:rsidRPr="00AC77DF">
        <w:t>案件進展</w:t>
      </w:r>
      <w:bookmarkStart w:id="318" w:name="_Toc375757193"/>
      <w:bookmarkEnd w:id="317"/>
    </w:p>
    <w:p w:rsidR="003807A5" w:rsidRDefault="003807A5" w:rsidP="00AE44BF">
      <w:pPr>
        <w:pStyle w:val="1---"/>
        <w:ind w:firstLine="480"/>
        <w:rPr>
          <w:lang w:eastAsia="zh-TW"/>
        </w:rPr>
      </w:pPr>
      <w:r w:rsidRPr="00AC77DF">
        <w:t>本案</w:t>
      </w:r>
      <w:bookmarkEnd w:id="318"/>
      <w:r w:rsidRPr="00AC77DF">
        <w:t>刻由行政院轉知所屬參處。</w:t>
      </w:r>
    </w:p>
    <w:p w:rsidR="00AE44BF" w:rsidRPr="00AE44BF" w:rsidRDefault="00AE44BF" w:rsidP="00AE44BF">
      <w:pPr>
        <w:pStyle w:val="1---"/>
        <w:ind w:firstLine="480"/>
      </w:pPr>
    </w:p>
    <w:tbl>
      <w:tblPr>
        <w:tblStyle w:val="aff5"/>
        <w:tblW w:w="0" w:type="auto"/>
        <w:tblInd w:w="113" w:type="dxa"/>
        <w:shd w:val="clear" w:color="auto" w:fill="D9D9D9" w:themeFill="background1" w:themeFillShade="D9"/>
        <w:tblLook w:val="04A0" w:firstRow="1" w:lastRow="0" w:firstColumn="1" w:lastColumn="0" w:noHBand="0" w:noVBand="1"/>
      </w:tblPr>
      <w:tblGrid>
        <w:gridCol w:w="3284"/>
      </w:tblGrid>
      <w:tr w:rsidR="00AE44BF" w:rsidTr="002D1C40">
        <w:tc>
          <w:tcPr>
            <w:tcW w:w="3284" w:type="dxa"/>
            <w:shd w:val="clear" w:color="auto" w:fill="D9D9D9" w:themeFill="background1" w:themeFillShade="D9"/>
          </w:tcPr>
          <w:p w:rsidR="00AE44BF" w:rsidRDefault="00AE44BF" w:rsidP="00AE44BF">
            <w:pPr>
              <w:pStyle w:val="11-"/>
              <w:spacing w:before="72" w:after="108"/>
            </w:pPr>
            <w:bookmarkStart w:id="319" w:name="_Toc528942473"/>
            <w:bookmarkStart w:id="320" w:name="_Toc535228372"/>
            <w:bookmarkStart w:id="321" w:name="_Toc4058783"/>
            <w:r w:rsidRPr="00AC77DF">
              <w:t>雞蛋戴奧辛含量超標案</w:t>
            </w:r>
            <w:bookmarkEnd w:id="319"/>
            <w:bookmarkEnd w:id="320"/>
            <w:bookmarkEnd w:id="321"/>
          </w:p>
        </w:tc>
      </w:tr>
    </w:tbl>
    <w:p w:rsidR="003807A5" w:rsidRPr="00AC77DF" w:rsidRDefault="003807A5" w:rsidP="00393962">
      <w:pPr>
        <w:pStyle w:val="1---"/>
        <w:ind w:firstLine="480"/>
      </w:pPr>
      <w:bookmarkStart w:id="322" w:name="_Toc528942468"/>
    </w:p>
    <w:tbl>
      <w:tblPr>
        <w:tblW w:w="4718" w:type="pct"/>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464"/>
      </w:tblGrid>
      <w:tr w:rsidR="003807A5" w:rsidRPr="00AC77DF" w:rsidTr="002D1C40">
        <w:tc>
          <w:tcPr>
            <w:tcW w:w="5000" w:type="pct"/>
          </w:tcPr>
          <w:p w:rsidR="003807A5" w:rsidRPr="00AC77DF" w:rsidRDefault="003807A5" w:rsidP="002D1C40">
            <w:pPr>
              <w:spacing w:line="360" w:lineRule="exact"/>
              <w:jc w:val="both"/>
              <w:rPr>
                <w:lang w:val="x-none"/>
              </w:rPr>
            </w:pPr>
            <w:r w:rsidRPr="00AC77DF">
              <w:rPr>
                <w:b/>
                <w:lang w:val="x-none"/>
              </w:rPr>
              <w:t>相關國際人權公約：</w:t>
            </w:r>
            <w:r w:rsidRPr="00AC77DF">
              <w:t>經濟社會文化權利國際公約第</w:t>
            </w:r>
            <w:r w:rsidRPr="00AC77DF">
              <w:t>1</w:t>
            </w:r>
            <w:r w:rsidRPr="00AC77DF">
              <w:t>條、第</w:t>
            </w:r>
            <w:r w:rsidRPr="00AC77DF">
              <w:t>11</w:t>
            </w:r>
            <w:r w:rsidRPr="00AC77DF">
              <w:t>條、第</w:t>
            </w:r>
            <w:r w:rsidRPr="00AC77DF">
              <w:t>12</w:t>
            </w:r>
            <w:r w:rsidRPr="00AC77DF">
              <w:t>條</w:t>
            </w:r>
          </w:p>
          <w:p w:rsidR="003807A5" w:rsidRPr="00AC77DF" w:rsidRDefault="003807A5" w:rsidP="002D1C40">
            <w:pPr>
              <w:spacing w:line="360" w:lineRule="exact"/>
              <w:jc w:val="both"/>
              <w:rPr>
                <w:b/>
                <w:lang w:val="x-none"/>
              </w:rPr>
            </w:pPr>
            <w:r w:rsidRPr="00AC77DF">
              <w:rPr>
                <w:b/>
              </w:rPr>
              <w:t>經濟社會文化權利國際公約第</w:t>
            </w:r>
            <w:r w:rsidRPr="00AC77DF">
              <w:rPr>
                <w:b/>
              </w:rPr>
              <w:t>1</w:t>
            </w:r>
            <w:r w:rsidRPr="00AC77DF">
              <w:rPr>
                <w:b/>
              </w:rPr>
              <w:t>條</w:t>
            </w:r>
          </w:p>
          <w:p w:rsidR="003807A5" w:rsidRPr="00AC77DF" w:rsidRDefault="003807A5" w:rsidP="002D1C40">
            <w:pPr>
              <w:spacing w:line="360" w:lineRule="exact"/>
              <w:ind w:left="480" w:hangingChars="200" w:hanging="480"/>
              <w:jc w:val="both"/>
              <w:rPr>
                <w:lang w:val="x-none"/>
              </w:rPr>
            </w:pPr>
            <w:r w:rsidRPr="00AC77DF">
              <w:rPr>
                <w:lang w:val="x-none"/>
              </w:rPr>
              <w:t>一、所有民族均享有自決權，根據此種權利，自由決定其政治地位及自由從事其經濟、社會與文化之發展。</w:t>
            </w:r>
          </w:p>
          <w:p w:rsidR="003807A5" w:rsidRPr="00AC77DF" w:rsidRDefault="003807A5" w:rsidP="002D1C40">
            <w:pPr>
              <w:spacing w:line="360" w:lineRule="exact"/>
              <w:ind w:left="480" w:hangingChars="200" w:hanging="480"/>
              <w:jc w:val="both"/>
              <w:rPr>
                <w:lang w:val="x-none"/>
              </w:rPr>
            </w:pPr>
            <w:r w:rsidRPr="00AC77DF">
              <w:rPr>
                <w:lang w:val="x-none"/>
              </w:rPr>
              <w:t>二、所有民族得為本身之目的，自由處置其天然財富及資源，但不得妨害因基於互惠原則之國際經濟合作及因國際法而生之任何義務。無論在何種情形下，民族之生計，不容剝奪。</w:t>
            </w:r>
          </w:p>
          <w:p w:rsidR="003807A5" w:rsidRPr="00AC77DF" w:rsidRDefault="003807A5" w:rsidP="002D1C40">
            <w:pPr>
              <w:spacing w:line="360" w:lineRule="exact"/>
              <w:ind w:left="480" w:hangingChars="200" w:hanging="480"/>
              <w:jc w:val="both"/>
              <w:rPr>
                <w:lang w:val="x-none"/>
              </w:rPr>
            </w:pPr>
            <w:r w:rsidRPr="00AC77DF">
              <w:rPr>
                <w:lang w:val="x-none"/>
              </w:rPr>
              <w:lastRenderedPageBreak/>
              <w:t>三、本公約締約國包括負責管理非自治及託管領土之國家在內，均應遵照聯合國憲章規定，促進自決權之實現並尊重此種權利。</w:t>
            </w:r>
          </w:p>
          <w:p w:rsidR="003807A5" w:rsidRPr="00AC77DF" w:rsidRDefault="003807A5" w:rsidP="002D1C40">
            <w:pPr>
              <w:spacing w:line="360" w:lineRule="exact"/>
              <w:jc w:val="both"/>
              <w:rPr>
                <w:b/>
              </w:rPr>
            </w:pPr>
            <w:r w:rsidRPr="00AC77DF">
              <w:rPr>
                <w:b/>
              </w:rPr>
              <w:t>經濟社會文化權利國際公約第</w:t>
            </w:r>
            <w:r w:rsidRPr="00AC77DF">
              <w:rPr>
                <w:b/>
              </w:rPr>
              <w:t>11</w:t>
            </w:r>
            <w:r w:rsidRPr="00AC77DF">
              <w:rPr>
                <w:b/>
              </w:rPr>
              <w:t>條</w:t>
            </w:r>
          </w:p>
          <w:p w:rsidR="003807A5" w:rsidRPr="00AC77DF" w:rsidRDefault="003807A5" w:rsidP="002D1C40">
            <w:pPr>
              <w:spacing w:line="360" w:lineRule="exact"/>
              <w:ind w:left="480" w:hangingChars="200" w:hanging="480"/>
              <w:jc w:val="both"/>
              <w:rPr>
                <w:lang w:val="x-none"/>
              </w:rPr>
            </w:pPr>
            <w:r w:rsidRPr="00AC77DF">
              <w:rPr>
                <w:lang w:val="x-none"/>
              </w:rPr>
              <w:t>一、本公約締約國確認人人有權享受其本人及家屬所需之適當生活程度，包括適當之衣食住及不斷改善之生活環境。締約國將採取適當步驟確保此種權利之實現，同時確認在此方面基於自由同意之國際合作極為重要。</w:t>
            </w:r>
          </w:p>
          <w:p w:rsidR="003807A5" w:rsidRPr="00AC77DF" w:rsidRDefault="003807A5" w:rsidP="002D1C40">
            <w:pPr>
              <w:spacing w:line="360" w:lineRule="exact"/>
              <w:ind w:left="480" w:hangingChars="200" w:hanging="480"/>
              <w:jc w:val="both"/>
              <w:rPr>
                <w:lang w:val="x-none"/>
              </w:rPr>
            </w:pPr>
            <w:r w:rsidRPr="00AC77DF">
              <w:rPr>
                <w:lang w:val="x-none"/>
              </w:rPr>
              <w:t>二、本公約締約國既確認人人有免受饑餓之基本權利，應個別及經由國際合作，採取為下列目的所需之措施，包括特定方案在內：</w:t>
            </w:r>
          </w:p>
          <w:p w:rsidR="003807A5" w:rsidRPr="00AC77DF" w:rsidRDefault="00170916" w:rsidP="00170916">
            <w:pPr>
              <w:spacing w:line="360" w:lineRule="exact"/>
              <w:ind w:left="910" w:hangingChars="379" w:hanging="910"/>
              <w:jc w:val="both"/>
              <w:rPr>
                <w:lang w:val="x-none"/>
              </w:rPr>
            </w:pPr>
            <w:r>
              <w:rPr>
                <w:rFonts w:hint="eastAsia"/>
                <w:lang w:val="x-none"/>
              </w:rPr>
              <w:t xml:space="preserve">　　</w:t>
            </w:r>
            <w:r>
              <w:rPr>
                <w:rFonts w:hint="eastAsia"/>
                <w:lang w:val="x-none"/>
              </w:rPr>
              <w:t>(</w:t>
            </w:r>
            <w:r w:rsidR="003807A5" w:rsidRPr="00AC77DF">
              <w:rPr>
                <w:lang w:val="x-none"/>
              </w:rPr>
              <w:t>一</w:t>
            </w:r>
            <w:r>
              <w:rPr>
                <w:rFonts w:hint="eastAsia"/>
                <w:lang w:val="x-none"/>
              </w:rPr>
              <w:t>)</w:t>
            </w:r>
            <w:r w:rsidR="003807A5" w:rsidRPr="00AC77DF">
              <w:rPr>
                <w:lang w:val="x-none"/>
              </w:rPr>
              <w:t>充分利用技術與科學知識、傳佈營養原則之知識、及發展或改革土地制度而使天然資源獲得最有效之開發與利用，以改進糧食生產、保貯及分配之方法；</w:t>
            </w:r>
          </w:p>
          <w:p w:rsidR="003807A5" w:rsidRPr="00AC77DF" w:rsidRDefault="00170916" w:rsidP="0047305E">
            <w:pPr>
              <w:spacing w:afterLines="20" w:after="72" w:line="360" w:lineRule="exact"/>
              <w:ind w:left="910" w:hangingChars="379" w:hanging="910"/>
              <w:jc w:val="both"/>
              <w:rPr>
                <w:lang w:val="x-none"/>
              </w:rPr>
            </w:pPr>
            <w:r>
              <w:rPr>
                <w:rFonts w:hint="eastAsia"/>
                <w:lang w:val="x-none"/>
              </w:rPr>
              <w:t xml:space="preserve">　　</w:t>
            </w:r>
            <w:r>
              <w:rPr>
                <w:rFonts w:hint="eastAsia"/>
                <w:lang w:val="x-none"/>
              </w:rPr>
              <w:t>(</w:t>
            </w:r>
            <w:r w:rsidR="003807A5" w:rsidRPr="00AC77DF">
              <w:rPr>
                <w:lang w:val="x-none"/>
              </w:rPr>
              <w:t>二</w:t>
            </w:r>
            <w:r>
              <w:rPr>
                <w:rFonts w:hint="eastAsia"/>
                <w:lang w:val="x-none"/>
              </w:rPr>
              <w:t>)</w:t>
            </w:r>
            <w:r w:rsidR="003807A5" w:rsidRPr="00AC77DF">
              <w:rPr>
                <w:lang w:val="x-none"/>
              </w:rPr>
              <w:t>計及糧食輸入及輸出國家雙方問題，確保世界糧食供應按照需要，公平分配。</w:t>
            </w:r>
          </w:p>
        </w:tc>
      </w:tr>
    </w:tbl>
    <w:p w:rsidR="003807A5" w:rsidRPr="00AC77DF" w:rsidRDefault="00207679" w:rsidP="00FA42B3">
      <w:pPr>
        <w:pStyle w:val="afff1"/>
        <w:spacing w:before="360" w:after="360"/>
      </w:pPr>
      <w:bookmarkStart w:id="323" w:name="_Toc528942474"/>
      <w:r>
        <w:rPr>
          <w:rFonts w:hint="eastAsia"/>
        </w:rPr>
        <w:lastRenderedPageBreak/>
        <w:t>(一)</w:t>
      </w:r>
      <w:r w:rsidR="003807A5" w:rsidRPr="00AC77DF">
        <w:t>案情簡述</w:t>
      </w:r>
      <w:bookmarkEnd w:id="323"/>
    </w:p>
    <w:p w:rsidR="003807A5" w:rsidRPr="00AC77DF" w:rsidRDefault="003807A5" w:rsidP="00B7222B">
      <w:pPr>
        <w:pStyle w:val="1---"/>
        <w:ind w:firstLine="480"/>
        <w:rPr>
          <w:szCs w:val="24"/>
        </w:rPr>
      </w:pPr>
      <w:r w:rsidRPr="00AC77DF">
        <w:t>106</w:t>
      </w:r>
      <w:r w:rsidRPr="00AC77DF">
        <w:t>年</w:t>
      </w:r>
      <w:r w:rsidRPr="00AC77DF">
        <w:t>4</w:t>
      </w:r>
      <w:r w:rsidRPr="00AC77DF">
        <w:t>月</w:t>
      </w:r>
      <w:r w:rsidRPr="00AC77DF">
        <w:t>21</w:t>
      </w:r>
      <w:r w:rsidRPr="00AC77DF">
        <w:t>日發生彰化地區蛋雞場的雞蛋被檢驗出戴奧辛含量超標，雖部分已回收下架，但危及健康或致癌風險並未解除。本案雞蛋遭戴奧辛污染，因雞蛋富含蛋白質及其他營養素，為國人不可或缺的民生必需品。本事件造成國人食用蛋品</w:t>
      </w:r>
      <w:r w:rsidRPr="00AC77DF">
        <w:lastRenderedPageBreak/>
        <w:t>安全之疑慮，究戴奧辛污染雞蛋之來源及途徑為何？維護國人食品安全之具體對策為何？</w:t>
      </w:r>
      <w:r w:rsidRPr="0025002C">
        <w:rPr>
          <w:rFonts w:hint="eastAsia"/>
        </w:rPr>
        <w:t>行政院環境保護署（簡稱環保署</w:t>
      </w:r>
      <w:r w:rsidRPr="00170916">
        <w:rPr>
          <w:rFonts w:hint="eastAsia"/>
          <w:spacing w:val="-30"/>
        </w:rPr>
        <w:t>）</w:t>
      </w:r>
      <w:r w:rsidRPr="00AC77DF">
        <w:t>、農委會</w:t>
      </w:r>
      <w:r w:rsidR="00032C5C">
        <w:rPr>
          <w:rFonts w:hint="eastAsia"/>
        </w:rPr>
        <w:t>及</w:t>
      </w:r>
      <w:r w:rsidRPr="00AC77DF">
        <w:t>衛福部</w:t>
      </w:r>
      <w:r w:rsidR="00032C5C">
        <w:rPr>
          <w:rFonts w:hint="eastAsia"/>
        </w:rPr>
        <w:t>等</w:t>
      </w:r>
      <w:r w:rsidR="00032C5C" w:rsidRPr="00AC77DF">
        <w:t>國內優良農產品標章（</w:t>
      </w:r>
      <w:r w:rsidR="00032C5C" w:rsidRPr="00AC77DF">
        <w:t>CAS</w:t>
      </w:r>
      <w:r w:rsidR="00032C5C" w:rsidRPr="00AC77DF">
        <w:t>）及產銷履歷認證機制相關主管機關</w:t>
      </w:r>
      <w:r w:rsidRPr="00AC77DF">
        <w:t>有無疏漏及違失？均有查明之必要，爰經監察委員立案調查。</w:t>
      </w:r>
    </w:p>
    <w:p w:rsidR="003807A5" w:rsidRPr="00AC77DF" w:rsidRDefault="00207679" w:rsidP="00FA42B3">
      <w:pPr>
        <w:pStyle w:val="afff1"/>
        <w:spacing w:before="360" w:after="360"/>
      </w:pPr>
      <w:bookmarkStart w:id="324" w:name="_Toc528942475"/>
      <w:r>
        <w:rPr>
          <w:rFonts w:hint="eastAsia"/>
        </w:rPr>
        <w:t>(二)</w:t>
      </w:r>
      <w:r w:rsidR="003807A5" w:rsidRPr="00AC77DF">
        <w:t>調查發現與建議</w:t>
      </w:r>
      <w:bookmarkEnd w:id="324"/>
    </w:p>
    <w:p w:rsidR="003807A5" w:rsidRPr="00AC77DF" w:rsidRDefault="00FD29F8" w:rsidP="00D92DAE">
      <w:pPr>
        <w:pStyle w:val="1--13"/>
        <w:spacing w:before="180" w:after="180"/>
      </w:pPr>
      <w:r w:rsidRPr="008E1832">
        <w:rPr>
          <w:rFonts w:hint="eastAsia"/>
        </w:rPr>
        <w:t>˙</w:t>
      </w:r>
      <w:r w:rsidR="003807A5" w:rsidRPr="00AC77DF">
        <w:t>未能查明污染源頭</w:t>
      </w:r>
    </w:p>
    <w:p w:rsidR="003807A5" w:rsidRPr="00AC77DF" w:rsidRDefault="003807A5" w:rsidP="00B7222B">
      <w:pPr>
        <w:pStyle w:val="1---"/>
        <w:ind w:firstLine="480"/>
        <w:rPr>
          <w:b/>
          <w:i/>
        </w:rPr>
      </w:pPr>
      <w:r w:rsidRPr="00AC77DF">
        <w:t>農委會及環保署推斷本事件戴奧辛污染源係飼養過程由雞隻食入，屬片段且非持續性污染源，與環境介質無直接相關。然本案始終無法找出污染源頭、遭污染飼料、傳播途徑或添加物種類，且雞隻所食入污染飼料數量及期間致戴奧辛累積之驗證數據亦無從確認。即使將戴奧辛列為驗證蛋品之常態性檢測項目，但因污染來源未加以阻絕，恐仍會衍生相關污染的食安事件。</w:t>
      </w:r>
    </w:p>
    <w:p w:rsidR="003807A5" w:rsidRDefault="003807A5" w:rsidP="00B7222B">
      <w:pPr>
        <w:pStyle w:val="1---"/>
        <w:ind w:firstLine="480"/>
        <w:rPr>
          <w:lang w:eastAsia="zh-TW"/>
        </w:rPr>
      </w:pPr>
      <w:r w:rsidRPr="00AC77DF">
        <w:t>彰化縣政府對本事件畜牧場負責人更換、使用自配飼料等於事前毫無所悉，農委會對地方主管機關就轄內畜牧場自配飼料稽查作為，竟以禽流感疫情頻傳致養禽業者管制出入，故短暫期間之自配飼料稽查確有難處等由辯解，肇生難以追查該畜牧場所使用之自配飼料，亦未能再行追蹤本案戴奧辛污染物之可能來源。</w:t>
      </w:r>
    </w:p>
    <w:p w:rsidR="00170916" w:rsidRDefault="00170916" w:rsidP="00B7222B">
      <w:pPr>
        <w:pStyle w:val="1---"/>
        <w:ind w:firstLine="480"/>
        <w:rPr>
          <w:lang w:eastAsia="zh-TW"/>
        </w:rPr>
      </w:pPr>
    </w:p>
    <w:p w:rsidR="00170916" w:rsidRPr="00AC77DF" w:rsidRDefault="00170916" w:rsidP="00B7222B">
      <w:pPr>
        <w:pStyle w:val="1---"/>
        <w:ind w:firstLine="480"/>
        <w:rPr>
          <w:i/>
          <w:lang w:eastAsia="zh-TW"/>
        </w:rPr>
      </w:pPr>
    </w:p>
    <w:p w:rsidR="003807A5" w:rsidRPr="00AC77DF" w:rsidRDefault="00FD29F8" w:rsidP="00D92DAE">
      <w:pPr>
        <w:pStyle w:val="1--13"/>
        <w:spacing w:before="180" w:after="180"/>
      </w:pPr>
      <w:r w:rsidRPr="008E1832">
        <w:rPr>
          <w:rFonts w:hint="eastAsia"/>
        </w:rPr>
        <w:lastRenderedPageBreak/>
        <w:t>˙</w:t>
      </w:r>
      <w:r w:rsidR="003807A5" w:rsidRPr="00AC77DF">
        <w:t>未能追查蛋品流向</w:t>
      </w:r>
    </w:p>
    <w:p w:rsidR="003807A5" w:rsidRPr="00AC77DF" w:rsidRDefault="003807A5" w:rsidP="00B7222B">
      <w:pPr>
        <w:pStyle w:val="1---"/>
        <w:ind w:firstLine="480"/>
        <w:rPr>
          <w:lang w:eastAsia="zh-TW"/>
        </w:rPr>
      </w:pPr>
      <w:r w:rsidRPr="00AC77DF">
        <w:t>戴奧辛具安定、生物累積及濃縮特性，可經由食物鏈轉移至人體，且屬致癌物、影響生殖系統等，因而號稱「世紀之毒」，其來源包括工業原料製程的副產物、特定工業製程的燃燒行為、廢棄物焚化爐、其他人為的燃燒行為及自然生成等。聯合國所訂全球性之持久性有機污染物（</w:t>
      </w:r>
      <w:r w:rsidRPr="00AC77DF">
        <w:t>Persistent Organic Pollutants</w:t>
      </w:r>
      <w:r w:rsidRPr="00AC77DF">
        <w:t>，</w:t>
      </w:r>
      <w:r w:rsidRPr="00AC77DF">
        <w:t>POPs</w:t>
      </w:r>
      <w:r w:rsidRPr="00AC77DF">
        <w:t>）斯德哥爾摩公約，即將戴奧辛列為首批管制</w:t>
      </w:r>
      <w:r w:rsidRPr="00AC77DF">
        <w:t>12</w:t>
      </w:r>
      <w:r w:rsidRPr="00AC77DF">
        <w:t>種</w:t>
      </w:r>
      <w:r w:rsidRPr="00AC77DF">
        <w:t>POPs</w:t>
      </w:r>
      <w:r w:rsidRPr="00AC77DF">
        <w:t>之一。行政院於</w:t>
      </w:r>
      <w:r w:rsidRPr="00AC77DF">
        <w:t>97</w:t>
      </w:r>
      <w:r w:rsidRPr="00AC77DF">
        <w:t>年</w:t>
      </w:r>
      <w:r w:rsidRPr="00AC77DF">
        <w:t>7</w:t>
      </w:r>
      <w:r w:rsidRPr="00AC77DF">
        <w:t>月</w:t>
      </w:r>
      <w:r w:rsidRPr="00AC77DF">
        <w:t>3</w:t>
      </w:r>
      <w:r w:rsidRPr="00AC77DF">
        <w:t>日核定「持久性有機污染物斯德哥爾摩公約國家實施計畫</w:t>
      </w:r>
      <w:r w:rsidRPr="00170916">
        <w:rPr>
          <w:spacing w:val="-30"/>
        </w:rPr>
        <w:t>」</w:t>
      </w:r>
      <w:r w:rsidRPr="00AC77DF">
        <w:t>，做為國內推動工作之具體依據。</w:t>
      </w:r>
    </w:p>
    <w:p w:rsidR="003807A5" w:rsidRPr="00AC77DF" w:rsidRDefault="003807A5" w:rsidP="00B7222B">
      <w:pPr>
        <w:pStyle w:val="1---"/>
        <w:ind w:firstLine="480"/>
      </w:pPr>
      <w:r w:rsidRPr="00AC77DF">
        <w:t>本事件遭戴奧辛污染所預防性下架的雞蛋數量達</w:t>
      </w:r>
      <w:r w:rsidRPr="00AC77DF">
        <w:t>9</w:t>
      </w:r>
      <w:r w:rsidRPr="00AC77DF">
        <w:t>千餘公斤，其中屬鴻彰畜牧場或無法確認來源者而封存之雞蛋達</w:t>
      </w:r>
      <w:r w:rsidRPr="00AC77DF">
        <w:t>4,276.8</w:t>
      </w:r>
      <w:r w:rsidRPr="00AC77DF">
        <w:t>公斤（約</w:t>
      </w:r>
      <w:r w:rsidRPr="00AC77DF">
        <w:t>8.5</w:t>
      </w:r>
      <w:r w:rsidRPr="00AC77DF">
        <w:t>萬顆</w:t>
      </w:r>
      <w:r w:rsidRPr="00170916">
        <w:rPr>
          <w:spacing w:val="-30"/>
        </w:rPr>
        <w:t>）</w:t>
      </w:r>
      <w:r w:rsidRPr="00AC77DF">
        <w:t>，顯然農委會對推動蛋品溯源制度，仍未能確實追查蛋品流向</w:t>
      </w:r>
      <w:r w:rsidR="009254CC">
        <w:t>。</w:t>
      </w:r>
      <w:r w:rsidRPr="00AC77DF">
        <w:t>衛福部於事件發生後即採行預防性下架措施，然對照鴻彰畜牧場每日平均產蛋量計約</w:t>
      </w:r>
      <w:r w:rsidRPr="00AC77DF">
        <w:t>1,100</w:t>
      </w:r>
      <w:r w:rsidR="000E22D5">
        <w:rPr>
          <w:rFonts w:hint="eastAsia"/>
          <w:lang w:eastAsia="zh-TW"/>
        </w:rPr>
        <w:t>～</w:t>
      </w:r>
      <w:r w:rsidRPr="00AC77DF">
        <w:t>1,200</w:t>
      </w:r>
      <w:r w:rsidRPr="00AC77DF">
        <w:t>公斤（約</w:t>
      </w:r>
      <w:r w:rsidRPr="00AC77DF">
        <w:t>2.2</w:t>
      </w:r>
      <w:r w:rsidR="000E22D5">
        <w:rPr>
          <w:rFonts w:hint="eastAsia"/>
          <w:lang w:eastAsia="zh-TW"/>
        </w:rPr>
        <w:t>～</w:t>
      </w:r>
      <w:r w:rsidRPr="00AC77DF">
        <w:t>2.4</w:t>
      </w:r>
      <w:r w:rsidRPr="00AC77DF">
        <w:t>萬顆）</w:t>
      </w:r>
      <w:r w:rsidR="009254CC">
        <w:rPr>
          <w:rFonts w:hint="eastAsia"/>
        </w:rPr>
        <w:t>計之</w:t>
      </w:r>
      <w:r w:rsidRPr="00AC77DF">
        <w:t>，</w:t>
      </w:r>
      <w:r w:rsidR="009254CC">
        <w:rPr>
          <w:rFonts w:hint="eastAsia"/>
        </w:rPr>
        <w:t>初估</w:t>
      </w:r>
      <w:r w:rsidR="009254CC" w:rsidRPr="00AC77DF">
        <w:t>於本案採樣至下架期間</w:t>
      </w:r>
      <w:r w:rsidR="009254CC">
        <w:rPr>
          <w:rFonts w:hint="eastAsia"/>
        </w:rPr>
        <w:t>已</w:t>
      </w:r>
      <w:r w:rsidRPr="00AC77DF">
        <w:t>生產約</w:t>
      </w:r>
      <w:r w:rsidRPr="00AC77DF">
        <w:t>7</w:t>
      </w:r>
      <w:r w:rsidRPr="00AC77DF">
        <w:t>萬</w:t>
      </w:r>
      <w:r w:rsidRPr="00AC77DF">
        <w:t>5</w:t>
      </w:r>
      <w:r w:rsidRPr="00AC77DF">
        <w:t>千餘公斤（約</w:t>
      </w:r>
      <w:r w:rsidRPr="00AC77DF">
        <w:t>150</w:t>
      </w:r>
      <w:r w:rsidRPr="00AC77DF">
        <w:t>萬顆）</w:t>
      </w:r>
      <w:r w:rsidR="009254CC" w:rsidRPr="00AC77DF">
        <w:t>雞蛋</w:t>
      </w:r>
      <w:r w:rsidR="009254CC">
        <w:rPr>
          <w:rFonts w:hint="eastAsia"/>
        </w:rPr>
        <w:t>流入市面</w:t>
      </w:r>
      <w:r w:rsidR="0047305E">
        <w:rPr>
          <w:rFonts w:hint="eastAsia"/>
          <w:lang w:eastAsia="zh-TW"/>
        </w:rPr>
        <w:t>，</w:t>
      </w:r>
      <w:r w:rsidR="009254CC">
        <w:rPr>
          <w:rFonts w:hint="eastAsia"/>
        </w:rPr>
        <w:t>恐遭食用之雞蛋約達</w:t>
      </w:r>
      <w:r w:rsidRPr="00AC77DF">
        <w:t>7</w:t>
      </w:r>
      <w:r w:rsidRPr="00AC77DF">
        <w:t>萬公斤</w:t>
      </w:r>
      <w:r w:rsidR="009254CC">
        <w:t>（</w:t>
      </w:r>
      <w:r w:rsidRPr="00AC77DF">
        <w:t>約</w:t>
      </w:r>
      <w:r w:rsidRPr="00AC77DF">
        <w:t>140</w:t>
      </w:r>
      <w:r w:rsidRPr="00AC77DF">
        <w:t>萬顆</w:t>
      </w:r>
      <w:r w:rsidR="009254CC" w:rsidRPr="00170916">
        <w:rPr>
          <w:spacing w:val="-30"/>
        </w:rPr>
        <w:t>）</w:t>
      </w:r>
      <w:r w:rsidRPr="00AC77DF">
        <w:t>，對國人的健康危害已然造成疑慮。</w:t>
      </w:r>
      <w:r w:rsidR="009254CC" w:rsidRPr="00AC77DF">
        <w:t>衛福</w:t>
      </w:r>
      <w:r w:rsidRPr="00AC77DF">
        <w:t>部雖以此次戴奧辛暴露量評估對各年齡層之健康風險，不致超出攝取標準值，然以一天食用雞蛋數量加以表述，易使民眾誤解並恐損及政府公信力，實有檢討改進之必要。</w:t>
      </w:r>
    </w:p>
    <w:p w:rsidR="003807A5" w:rsidRPr="00AC77DF" w:rsidRDefault="003807A5" w:rsidP="00B7222B">
      <w:pPr>
        <w:pStyle w:val="1---"/>
        <w:ind w:firstLine="480"/>
      </w:pPr>
      <w:r w:rsidRPr="00AC77DF">
        <w:t>依據本案調查意見</w:t>
      </w:r>
      <w:r w:rsidRPr="00326D27">
        <w:rPr>
          <w:rStyle w:val="aff2"/>
          <w:rFonts w:eastAsiaTheme="majorEastAsia"/>
        </w:rPr>
        <w:footnoteReference w:id="86"/>
      </w:r>
      <w:r w:rsidRPr="00AC77DF">
        <w:t>，監察院糾正農委會、環保署及彰化</w:t>
      </w:r>
      <w:r w:rsidRPr="00AC77DF">
        <w:lastRenderedPageBreak/>
        <w:t>縣政府，函請行政院轉飭所屬農委會、衛福部確實檢討改進見復。</w:t>
      </w:r>
    </w:p>
    <w:p w:rsidR="003807A5" w:rsidRPr="00AC77DF" w:rsidRDefault="00207679" w:rsidP="00FA42B3">
      <w:pPr>
        <w:pStyle w:val="afff1"/>
        <w:spacing w:before="360" w:after="360"/>
      </w:pPr>
      <w:bookmarkStart w:id="325" w:name="_Toc528942476"/>
      <w:r>
        <w:rPr>
          <w:rFonts w:hint="eastAsia"/>
        </w:rPr>
        <w:t>(三)</w:t>
      </w:r>
      <w:r w:rsidR="003807A5" w:rsidRPr="00AC77DF">
        <w:t>政府機關改善情形</w:t>
      </w:r>
      <w:bookmarkEnd w:id="325"/>
    </w:p>
    <w:p w:rsidR="003807A5" w:rsidRPr="00AC77DF" w:rsidRDefault="003807A5" w:rsidP="00E53322">
      <w:pPr>
        <w:pStyle w:val="1----"/>
        <w:ind w:left="600" w:hanging="360"/>
        <w:rPr>
          <w:i/>
        </w:rPr>
      </w:pPr>
      <w:r w:rsidRPr="00AC77DF">
        <w:t>1</w:t>
      </w:r>
      <w:r w:rsidRPr="00AC77DF">
        <w:t>、戴奧辛污染來源及傳播途徑部分</w:t>
      </w:r>
    </w:p>
    <w:p w:rsidR="003807A5" w:rsidRPr="00AC77DF" w:rsidRDefault="003807A5" w:rsidP="00170916">
      <w:pPr>
        <w:pStyle w:val="1--1"/>
        <w:ind w:left="1080" w:hanging="600"/>
        <w:rPr>
          <w:b/>
          <w:i/>
        </w:rPr>
      </w:pPr>
      <w:r w:rsidRPr="00AC77DF">
        <w:t>（</w:t>
      </w:r>
      <w:r w:rsidRPr="00AC77DF">
        <w:t>1</w:t>
      </w:r>
      <w:r w:rsidRPr="00AC77DF">
        <w:t>）為查明戴奧辛污染源或傳播途徑，於</w:t>
      </w:r>
      <w:r w:rsidRPr="00AC77DF">
        <w:t>107</w:t>
      </w:r>
      <w:r w:rsidRPr="00AC77DF">
        <w:t>年度針對排放潛勢較高之紙漿製造業、以及有運作紙漿製造程序之造紙業等業別，再進行後續調查，同時將持續追蹤相關紙廠污泥流向，藉以釐清可能之污染源。</w:t>
      </w:r>
    </w:p>
    <w:p w:rsidR="003807A5" w:rsidRPr="00AC77DF" w:rsidRDefault="003807A5" w:rsidP="00170916">
      <w:pPr>
        <w:pStyle w:val="1--1"/>
        <w:ind w:left="1080" w:hanging="600"/>
        <w:rPr>
          <w:b/>
        </w:rPr>
      </w:pPr>
      <w:r w:rsidRPr="00AC77DF">
        <w:t>（</w:t>
      </w:r>
      <w:r w:rsidRPr="00AC77DF">
        <w:t>2</w:t>
      </w:r>
      <w:r w:rsidRPr="00AC77DF">
        <w:t>）為免戴奧辛污染物來源有漏列之情，督促行政機關就其他業者或與本案指紋圖譜相關之業別，進一步清查或排除其可能性。</w:t>
      </w:r>
    </w:p>
    <w:p w:rsidR="003807A5" w:rsidRPr="00AC77DF" w:rsidRDefault="003807A5" w:rsidP="00170916">
      <w:pPr>
        <w:pStyle w:val="1--1"/>
        <w:ind w:left="1080" w:hanging="600"/>
        <w:rPr>
          <w:b/>
        </w:rPr>
      </w:pPr>
      <w:r w:rsidRPr="00AC77DF">
        <w:t>（</w:t>
      </w:r>
      <w:r w:rsidRPr="00AC77DF">
        <w:t>3</w:t>
      </w:r>
      <w:r w:rsidRPr="00AC77DF">
        <w:t>）後續檢討改進措施，包括風險監測數據、圖譜建置、蛋品溯源管理。</w:t>
      </w:r>
    </w:p>
    <w:p w:rsidR="003807A5" w:rsidRPr="00AC77DF" w:rsidRDefault="003807A5" w:rsidP="00E53322">
      <w:pPr>
        <w:pStyle w:val="1----"/>
        <w:ind w:left="600" w:hanging="360"/>
        <w:rPr>
          <w:i/>
        </w:rPr>
      </w:pPr>
      <w:r w:rsidRPr="00AC77DF">
        <w:t>2</w:t>
      </w:r>
      <w:r w:rsidRPr="00AC77DF">
        <w:t>、畜牧場及其飼料管理部分</w:t>
      </w:r>
    </w:p>
    <w:p w:rsidR="003807A5" w:rsidRPr="00AC77DF" w:rsidRDefault="003807A5" w:rsidP="00170916">
      <w:pPr>
        <w:pStyle w:val="1--1"/>
        <w:ind w:left="1080" w:hanging="600"/>
        <w:rPr>
          <w:b/>
        </w:rPr>
      </w:pPr>
      <w:r w:rsidRPr="00AC77DF">
        <w:t>（</w:t>
      </w:r>
      <w:r w:rsidRPr="00AC77DF">
        <w:t>1</w:t>
      </w:r>
      <w:r w:rsidRPr="00AC77DF">
        <w:t>）農委會透過現場輔導訪視及相關課程加強宣導，要求直轄市、縣（市）政府加強輔導自配戶登記及落實法規執行。</w:t>
      </w:r>
    </w:p>
    <w:p w:rsidR="003807A5" w:rsidRPr="00AC77DF" w:rsidRDefault="003807A5" w:rsidP="00170916">
      <w:pPr>
        <w:pStyle w:val="1--1"/>
        <w:ind w:left="1080" w:hanging="600"/>
        <w:rPr>
          <w:b/>
        </w:rPr>
      </w:pPr>
      <w:r w:rsidRPr="00AC77DF">
        <w:t>（</w:t>
      </w:r>
      <w:r w:rsidRPr="00AC77DF">
        <w:t>2</w:t>
      </w:r>
      <w:r w:rsidRPr="00AC77DF">
        <w:t>）農委會於</w:t>
      </w:r>
      <w:r w:rsidRPr="00AC77DF">
        <w:t>106</w:t>
      </w:r>
      <w:r w:rsidRPr="00AC77DF">
        <w:t>年</w:t>
      </w:r>
      <w:r w:rsidRPr="00AC77DF">
        <w:t>10</w:t>
      </w:r>
      <w:r w:rsidRPr="00AC77DF">
        <w:t>月</w:t>
      </w:r>
      <w:r w:rsidRPr="00AC77DF">
        <w:t>26</w:t>
      </w:r>
      <w:r w:rsidRPr="00AC77DF">
        <w:t>日及</w:t>
      </w:r>
      <w:r w:rsidRPr="00AC77DF">
        <w:t>106</w:t>
      </w:r>
      <w:r w:rsidRPr="00AC77DF">
        <w:t>年</w:t>
      </w:r>
      <w:r w:rsidRPr="00AC77DF">
        <w:t>12</w:t>
      </w:r>
      <w:r w:rsidRPr="00AC77DF">
        <w:t>月</w:t>
      </w:r>
      <w:r w:rsidRPr="00AC77DF">
        <w:t>26</w:t>
      </w:r>
      <w:r w:rsidRPr="00AC77DF">
        <w:t>日召開檢討會議，檢討輔導訪視成果之實質效益，以納入未來法規修正方向或管理政策參考，並調整</w:t>
      </w:r>
      <w:r w:rsidRPr="00AC77DF">
        <w:t>107</w:t>
      </w:r>
      <w:r w:rsidRPr="00AC77DF">
        <w:t>年度之輔導工作推動策略，加速自配戶違規輔導改善情形之追蹤。</w:t>
      </w:r>
    </w:p>
    <w:p w:rsidR="003807A5" w:rsidRPr="00AC77DF" w:rsidRDefault="003807A5" w:rsidP="00E53322">
      <w:pPr>
        <w:pStyle w:val="1----"/>
        <w:ind w:left="600" w:hanging="360"/>
        <w:rPr>
          <w:rFonts w:eastAsiaTheme="majorEastAsia"/>
          <w:b/>
          <w:i/>
        </w:rPr>
      </w:pPr>
      <w:bookmarkStart w:id="326" w:name="_Hlk490836102"/>
      <w:r w:rsidRPr="00AC77DF">
        <w:t>3</w:t>
      </w:r>
      <w:r w:rsidRPr="00AC77DF">
        <w:t>、</w:t>
      </w:r>
      <w:bookmarkEnd w:id="326"/>
      <w:r w:rsidRPr="00AC77DF">
        <w:t>農委會以達</w:t>
      </w:r>
      <w:r w:rsidRPr="00170916">
        <w:rPr>
          <w:spacing w:val="-22"/>
        </w:rPr>
        <w:t>成</w:t>
      </w:r>
      <w:r w:rsidRPr="00AC77DF">
        <w:t>100%</w:t>
      </w:r>
      <w:r w:rsidRPr="00AC77DF">
        <w:t>雞蛋溯源覆蓋率為目標，並鼓勵已納</w:t>
      </w:r>
      <w:r w:rsidRPr="00AC77DF">
        <w:lastRenderedPageBreak/>
        <w:t>入溯源之蛋雞場能做好自主生產管理，進一步成為產銷履歷供貨的生產牧場</w:t>
      </w:r>
      <w:r w:rsidR="00B51ECE">
        <w:t>。</w:t>
      </w:r>
      <w:r w:rsidRPr="00AC77DF">
        <w:t>未來推動溯源工作，將加強市售散裝蛋的查核工作，且與蛋商取得共識對未貼標籤貼紙之雞蛋，蛋商不予收蛋，有助市售端回溯有問題雞蛋來源牧場</w:t>
      </w:r>
      <w:r w:rsidR="00B51ECE">
        <w:t>。</w:t>
      </w:r>
      <w:r w:rsidRPr="00AC77DF">
        <w:t>衛福部則持續加強與民眾食品安全風險之溝通，避免民眾有所疑慮。</w:t>
      </w:r>
    </w:p>
    <w:p w:rsidR="003807A5" w:rsidRPr="00AC77DF" w:rsidRDefault="00207679" w:rsidP="00FA42B3">
      <w:pPr>
        <w:pStyle w:val="afff1"/>
        <w:spacing w:before="360" w:after="360"/>
      </w:pPr>
      <w:bookmarkStart w:id="327" w:name="_Toc528942477"/>
      <w:r>
        <w:rPr>
          <w:rFonts w:hint="eastAsia"/>
        </w:rPr>
        <w:t>(四)</w:t>
      </w:r>
      <w:r w:rsidR="003807A5" w:rsidRPr="00AC77DF">
        <w:t>案件進展</w:t>
      </w:r>
      <w:bookmarkEnd w:id="327"/>
    </w:p>
    <w:p w:rsidR="003807A5" w:rsidRDefault="003807A5" w:rsidP="00252036">
      <w:pPr>
        <w:pStyle w:val="1---"/>
        <w:ind w:firstLine="480"/>
        <w:rPr>
          <w:lang w:eastAsia="zh-TW"/>
        </w:rPr>
      </w:pPr>
      <w:r w:rsidRPr="00AC77DF">
        <w:t>本案</w:t>
      </w:r>
      <w:r w:rsidR="001128CA">
        <w:rPr>
          <w:rFonts w:hint="eastAsia"/>
        </w:rPr>
        <w:t>已結案</w:t>
      </w:r>
      <w:r w:rsidRPr="00AC77DF">
        <w:t>。</w:t>
      </w:r>
    </w:p>
    <w:p w:rsidR="00252036" w:rsidRDefault="00252036" w:rsidP="00252036">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4248"/>
      </w:tblGrid>
      <w:tr w:rsidR="00252036" w:rsidTr="00170916">
        <w:tc>
          <w:tcPr>
            <w:tcW w:w="4248" w:type="dxa"/>
            <w:shd w:val="clear" w:color="auto" w:fill="D9D9D9" w:themeFill="background1" w:themeFillShade="D9"/>
          </w:tcPr>
          <w:p w:rsidR="00252036" w:rsidRDefault="00252036" w:rsidP="00252036">
            <w:pPr>
              <w:pStyle w:val="11-"/>
              <w:spacing w:before="72" w:after="108"/>
              <w:rPr>
                <w:lang w:eastAsia="zh-TW"/>
              </w:rPr>
            </w:pPr>
            <w:bookmarkStart w:id="328" w:name="_Toc528942503"/>
            <w:bookmarkStart w:id="329" w:name="_Toc535228373"/>
            <w:bookmarkStart w:id="330" w:name="_Toc4058784"/>
            <w:r w:rsidRPr="00AC77DF">
              <w:t>知名飯店使用逾期發霉</w:t>
            </w:r>
            <w:r w:rsidRPr="00AC77DF">
              <w:rPr>
                <w:lang w:eastAsia="zh-HK"/>
              </w:rPr>
              <w:t>食</w:t>
            </w:r>
            <w:r w:rsidRPr="00AC77DF">
              <w:t>材案</w:t>
            </w:r>
            <w:bookmarkEnd w:id="328"/>
            <w:bookmarkEnd w:id="329"/>
            <w:bookmarkEnd w:id="330"/>
          </w:p>
        </w:tc>
      </w:tr>
    </w:tbl>
    <w:p w:rsidR="00252036" w:rsidRPr="00252036" w:rsidRDefault="00252036" w:rsidP="00252036">
      <w:pPr>
        <w:pStyle w:val="1---"/>
        <w:ind w:firstLine="480"/>
        <w:rPr>
          <w:lang w:eastAsia="zh-TW"/>
        </w:rPr>
      </w:pPr>
    </w:p>
    <w:tbl>
      <w:tblPr>
        <w:tblW w:w="0" w:type="auto"/>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462"/>
      </w:tblGrid>
      <w:tr w:rsidR="003807A5" w:rsidRPr="00AC77DF" w:rsidTr="0047305E">
        <w:trPr>
          <w:trHeight w:val="790"/>
        </w:trPr>
        <w:tc>
          <w:tcPr>
            <w:tcW w:w="6462" w:type="dxa"/>
          </w:tcPr>
          <w:p w:rsidR="003807A5" w:rsidRPr="00AC77DF" w:rsidRDefault="003807A5" w:rsidP="00170916">
            <w:pPr>
              <w:spacing w:line="360" w:lineRule="exact"/>
              <w:jc w:val="both"/>
              <w:rPr>
                <w:lang w:val="x-none"/>
              </w:rPr>
            </w:pPr>
            <w:r w:rsidRPr="00AC77DF">
              <w:rPr>
                <w:b/>
                <w:lang w:val="x-none"/>
              </w:rPr>
              <w:t>相關國際人權公約：</w:t>
            </w:r>
            <w:r w:rsidRPr="00AC77DF">
              <w:t>經濟社會文化權利國際公約第</w:t>
            </w:r>
            <w:r w:rsidRPr="00AC77DF">
              <w:t>1</w:t>
            </w:r>
            <w:r w:rsidRPr="00AC77DF">
              <w:t>條、第</w:t>
            </w:r>
            <w:r w:rsidRPr="00AC77DF">
              <w:t>11</w:t>
            </w:r>
            <w:r w:rsidRPr="00AC77DF">
              <w:t>條、第</w:t>
            </w:r>
            <w:r w:rsidRPr="00AC77DF">
              <w:t>12</w:t>
            </w:r>
            <w:r w:rsidRPr="00AC77DF">
              <w:t>條</w:t>
            </w:r>
          </w:p>
        </w:tc>
      </w:tr>
    </w:tbl>
    <w:p w:rsidR="003807A5" w:rsidRPr="00AC77DF" w:rsidRDefault="00252036" w:rsidP="00FA42B3">
      <w:pPr>
        <w:pStyle w:val="afff1"/>
        <w:spacing w:before="360" w:after="360"/>
      </w:pPr>
      <w:bookmarkStart w:id="331" w:name="_Toc528942504"/>
      <w:r>
        <w:rPr>
          <w:rFonts w:hint="eastAsia"/>
        </w:rPr>
        <w:t>(一)</w:t>
      </w:r>
      <w:r w:rsidR="003807A5" w:rsidRPr="00AC77DF">
        <w:t>案情簡述</w:t>
      </w:r>
      <w:bookmarkEnd w:id="331"/>
    </w:p>
    <w:p w:rsidR="003807A5" w:rsidRPr="00AC77DF" w:rsidRDefault="003807A5" w:rsidP="00B7222B">
      <w:pPr>
        <w:pStyle w:val="1---"/>
        <w:ind w:firstLine="480"/>
        <w:rPr>
          <w:szCs w:val="24"/>
        </w:rPr>
      </w:pPr>
      <w:r w:rsidRPr="00AC77DF">
        <w:t>據悉，臺北市大倉久和大飯店之歐風館餐廳使用逾期、發霉原材料，台灣山頭火股份有限公司使用逾期胡椒粉、益強粉，遠東油脂股份有限公司之「乳瑪琳」亦疑涉使用逾期原材料製造。究相關主管機關對於上述行為監督機制為何？管理與查核是否不周？食品安全通報機制有無疏漏？逾期食品回收之監管機制為何？相關機關之作為有無延宕或其他違失？均有查明</w:t>
      </w:r>
      <w:r w:rsidRPr="00AC77DF">
        <w:lastRenderedPageBreak/>
        <w:t>之必要，監察委員爰立案調查。</w:t>
      </w:r>
    </w:p>
    <w:p w:rsidR="003807A5" w:rsidRPr="00AC77DF" w:rsidRDefault="00252036" w:rsidP="00FA42B3">
      <w:pPr>
        <w:pStyle w:val="afff1"/>
        <w:spacing w:before="360" w:after="360"/>
      </w:pPr>
      <w:bookmarkStart w:id="332" w:name="_Toc528942505"/>
      <w:r>
        <w:rPr>
          <w:rFonts w:hint="eastAsia"/>
        </w:rPr>
        <w:t>(二)</w:t>
      </w:r>
      <w:r w:rsidR="003807A5" w:rsidRPr="00AC77DF">
        <w:t>監察院調查發現與建議</w:t>
      </w:r>
      <w:bookmarkEnd w:id="332"/>
    </w:p>
    <w:p w:rsidR="003807A5" w:rsidRPr="00AC77DF" w:rsidRDefault="00FD29F8" w:rsidP="00D92DAE">
      <w:pPr>
        <w:pStyle w:val="1--13"/>
        <w:spacing w:before="180" w:after="180"/>
      </w:pPr>
      <w:r w:rsidRPr="008E1832">
        <w:rPr>
          <w:rFonts w:hint="eastAsia"/>
        </w:rPr>
        <w:t>˙</w:t>
      </w:r>
      <w:r w:rsidR="003807A5" w:rsidRPr="00AC77DF">
        <w:t>未能有效進行食品溯源</w:t>
      </w:r>
    </w:p>
    <w:p w:rsidR="003807A5" w:rsidRPr="00AC77DF" w:rsidRDefault="003807A5" w:rsidP="00B7222B">
      <w:pPr>
        <w:pStyle w:val="1---"/>
        <w:ind w:firstLine="480"/>
        <w:rPr>
          <w:lang w:eastAsia="zh-TW"/>
        </w:rPr>
      </w:pPr>
      <w:r w:rsidRPr="00AC77DF">
        <w:t>遠東油脂公司非法使用逾期原材料及回收產品再製其他油品，且無法釐清違規產品批號，回收率不</w:t>
      </w:r>
      <w:r w:rsidRPr="00170916">
        <w:rPr>
          <w:spacing w:val="-14"/>
        </w:rPr>
        <w:t>及</w:t>
      </w:r>
      <w:r w:rsidRPr="00AC77DF">
        <w:t>0.1</w:t>
      </w:r>
      <w:r w:rsidR="00F9266D">
        <w:t>%</w:t>
      </w:r>
      <w:r w:rsidRPr="00AC77DF">
        <w:t>，嚴重影響國人飲食安全。又現行「食品及其相關產品追溯追蹤系統管理辦法」對於產品回收流向資訊之管理，付之闕如，致追溯追蹤系統缺漏不全，難以全面勾稽及追蹤問題產品，甚至衍生業者有違法使用回收品之空間，亟待改善。</w:t>
      </w:r>
    </w:p>
    <w:p w:rsidR="003807A5" w:rsidRPr="00AC77DF" w:rsidRDefault="00FD29F8" w:rsidP="00D92DAE">
      <w:pPr>
        <w:pStyle w:val="1--13"/>
        <w:spacing w:before="180" w:after="180"/>
      </w:pPr>
      <w:r w:rsidRPr="008E1832">
        <w:rPr>
          <w:rFonts w:hint="eastAsia"/>
        </w:rPr>
        <w:t>˙</w:t>
      </w:r>
      <w:r w:rsidR="003807A5" w:rsidRPr="00AC77DF">
        <w:t>未落實稽核</w:t>
      </w:r>
    </w:p>
    <w:p w:rsidR="003807A5" w:rsidRPr="00AC77DF" w:rsidRDefault="003807A5" w:rsidP="00B7222B">
      <w:pPr>
        <w:pStyle w:val="1---"/>
        <w:ind w:firstLine="480"/>
        <w:rPr>
          <w:lang w:eastAsia="zh-TW"/>
        </w:rPr>
      </w:pPr>
      <w:r w:rsidRPr="00AC77DF">
        <w:t>臺北市政府衛生局及臺中市政府衛生局未要求所轄餐飲業者落實</w:t>
      </w:r>
      <w:r w:rsidRPr="00AC77DF">
        <w:t>GHP</w:t>
      </w:r>
      <w:r w:rsidRPr="00AC77DF">
        <w:t>準則第</w:t>
      </w:r>
      <w:r w:rsidRPr="00AC77DF">
        <w:t>6</w:t>
      </w:r>
      <w:r w:rsidRPr="00AC77DF">
        <w:t>條第</w:t>
      </w:r>
      <w:r w:rsidRPr="00AC77DF">
        <w:t>3</w:t>
      </w:r>
      <w:r w:rsidRPr="00AC77DF">
        <w:t>款及第</w:t>
      </w:r>
      <w:r w:rsidRPr="00AC77DF">
        <w:t>5</w:t>
      </w:r>
      <w:r w:rsidRPr="00AC77DF">
        <w:t>款關於原材料於倉儲過程中應定期檢查及記錄之規定，且疏未列為相關稽查之檢查項目，致業者有違法使用逾期原料之機會。另該準則既已明定原材料之倉儲管理方式，衛福部應自源頭建立相關督管機制，依分級管理原則輔導業者符合規定，並督促各地方政府落實稽查。桃園市政府衛生局於無任何準據情形下，對於轄內食品業者之稽查紀錄僅保存</w:t>
      </w:r>
      <w:r w:rsidRPr="00AC77DF">
        <w:t>1</w:t>
      </w:r>
      <w:r w:rsidRPr="00AC77DF">
        <w:t>年，</w:t>
      </w:r>
      <w:r w:rsidR="00EE7232">
        <w:rPr>
          <w:rFonts w:hint="eastAsia"/>
        </w:rPr>
        <w:t>亦</w:t>
      </w:r>
      <w:r w:rsidRPr="00AC77DF">
        <w:t>已違反檔案法相關規定。</w:t>
      </w:r>
    </w:p>
    <w:p w:rsidR="003807A5" w:rsidRPr="00AC77DF" w:rsidRDefault="00FD29F8" w:rsidP="00D92DAE">
      <w:pPr>
        <w:pStyle w:val="1--13"/>
        <w:spacing w:before="180" w:after="180"/>
      </w:pPr>
      <w:r w:rsidRPr="008E1832">
        <w:rPr>
          <w:rFonts w:hint="eastAsia"/>
        </w:rPr>
        <w:t>˙</w:t>
      </w:r>
      <w:r w:rsidR="003807A5" w:rsidRPr="00AC77DF">
        <w:t>賦予專門職業人員責任</w:t>
      </w:r>
    </w:p>
    <w:p w:rsidR="003807A5" w:rsidRPr="00AC77DF" w:rsidRDefault="003807A5" w:rsidP="00B7222B">
      <w:pPr>
        <w:pStyle w:val="1---"/>
        <w:ind w:firstLine="480"/>
      </w:pPr>
      <w:r w:rsidRPr="00AC77DF">
        <w:t>衛福部訂定「</w:t>
      </w:r>
      <w:r w:rsidR="00FA07C2" w:rsidRPr="00FA07C2">
        <w:rPr>
          <w:rFonts w:hint="eastAsia"/>
        </w:rPr>
        <w:t>應置專門職業或技術證照人員之食品業者類</w:t>
      </w:r>
      <w:r w:rsidR="00FA07C2" w:rsidRPr="00FA07C2">
        <w:rPr>
          <w:rFonts w:hint="eastAsia"/>
        </w:rPr>
        <w:lastRenderedPageBreak/>
        <w:t>別及規模規定</w:t>
      </w:r>
      <w:r w:rsidRPr="00AC77DF">
        <w:t>」，將須設置專門職業人員的食品業者類別由現行</w:t>
      </w:r>
      <w:r w:rsidRPr="00AC77DF">
        <w:t>5</w:t>
      </w:r>
      <w:r w:rsidRPr="00AC77DF">
        <w:t>類增加到</w:t>
      </w:r>
      <w:r w:rsidRPr="00AC77DF">
        <w:t>1</w:t>
      </w:r>
      <w:r w:rsidR="00FA07C2">
        <w:t>5</w:t>
      </w:r>
      <w:r w:rsidRPr="00AC77DF">
        <w:t>類，施行對象</w:t>
      </w:r>
      <w:r w:rsidR="00843054">
        <w:rPr>
          <w:rFonts w:hint="eastAsia"/>
        </w:rPr>
        <w:t>已</w:t>
      </w:r>
      <w:r w:rsidRPr="00AC77DF">
        <w:t>大幅擴增。為使專門職業人員專業及功能得確實發揮，</w:t>
      </w:r>
      <w:r w:rsidRPr="00A02D57">
        <w:rPr>
          <w:rFonts w:hint="eastAsia"/>
        </w:rPr>
        <w:t>衛福部食品藥物管理署（簡稱食藥署）</w:t>
      </w:r>
      <w:r w:rsidRPr="00AC77DF">
        <w:t>應建立其得以忠實執行業務之獨立空間及責任約束相關配套措施；另應加強業者對於專門職業人員角色與職責之正確認知，以遵守食品安全衛生管理相關規定。</w:t>
      </w:r>
    </w:p>
    <w:p w:rsidR="003807A5" w:rsidRPr="00AC77DF" w:rsidRDefault="003807A5" w:rsidP="00B7222B">
      <w:pPr>
        <w:pStyle w:val="1---"/>
        <w:ind w:firstLine="480"/>
      </w:pPr>
      <w:r w:rsidRPr="00AC77DF">
        <w:t>依據本案調查意見</w:t>
      </w:r>
      <w:r w:rsidRPr="00AC77DF">
        <w:rPr>
          <w:rStyle w:val="aff2"/>
        </w:rPr>
        <w:footnoteReference w:id="87"/>
      </w:r>
      <w:r w:rsidRPr="00AC77DF">
        <w:t>，監察院糾正桃園市政府衛生局，並函請衛福部督同食藥署檢討改進見復；另函請臺北市政府衛生局及臺中市政府衛生局檢討改進見復。</w:t>
      </w:r>
    </w:p>
    <w:p w:rsidR="003807A5" w:rsidRPr="00AC77DF" w:rsidRDefault="00252036" w:rsidP="00FA42B3">
      <w:pPr>
        <w:pStyle w:val="afff1"/>
        <w:spacing w:before="360" w:after="360"/>
      </w:pPr>
      <w:bookmarkStart w:id="333" w:name="_Toc528942506"/>
      <w:r>
        <w:rPr>
          <w:rFonts w:hint="eastAsia"/>
        </w:rPr>
        <w:t>(三)</w:t>
      </w:r>
      <w:r w:rsidR="003807A5" w:rsidRPr="00AC77DF">
        <w:t>政府機關改善情形</w:t>
      </w:r>
      <w:bookmarkEnd w:id="333"/>
    </w:p>
    <w:p w:rsidR="003807A5" w:rsidRPr="00AC77DF" w:rsidRDefault="003807A5" w:rsidP="00E53322">
      <w:pPr>
        <w:pStyle w:val="1----"/>
        <w:ind w:left="600" w:hanging="360"/>
        <w:rPr>
          <w:b/>
          <w:i/>
        </w:rPr>
      </w:pPr>
      <w:r w:rsidRPr="00AC77DF">
        <w:t>1</w:t>
      </w:r>
      <w:r w:rsidRPr="00AC77DF">
        <w:t>、衛福部已</w:t>
      </w:r>
      <w:r w:rsidR="000462E9">
        <w:rPr>
          <w:rFonts w:hint="eastAsia"/>
        </w:rPr>
        <w:t>於</w:t>
      </w:r>
      <w:r w:rsidR="000462E9">
        <w:rPr>
          <w:rFonts w:hint="eastAsia"/>
        </w:rPr>
        <w:t>107</w:t>
      </w:r>
      <w:r w:rsidR="000462E9">
        <w:rPr>
          <w:rFonts w:hint="eastAsia"/>
        </w:rPr>
        <w:t>年</w:t>
      </w:r>
      <w:r w:rsidR="000462E9">
        <w:rPr>
          <w:rFonts w:hint="eastAsia"/>
        </w:rPr>
        <w:t>10</w:t>
      </w:r>
      <w:r w:rsidR="000462E9">
        <w:rPr>
          <w:rFonts w:hint="eastAsia"/>
        </w:rPr>
        <w:t>月</w:t>
      </w:r>
      <w:r w:rsidR="000462E9">
        <w:rPr>
          <w:rFonts w:hint="eastAsia"/>
        </w:rPr>
        <w:t>3</w:t>
      </w:r>
      <w:r w:rsidR="000462E9">
        <w:rPr>
          <w:rFonts w:hint="eastAsia"/>
        </w:rPr>
        <w:t>日</w:t>
      </w:r>
      <w:r w:rsidRPr="00AC77DF">
        <w:t>修正「食品及其相關產品追溯追蹤系統管理辦法</w:t>
      </w:r>
      <w:r w:rsidRPr="00170916">
        <w:rPr>
          <w:spacing w:val="-30"/>
        </w:rPr>
        <w:t>」</w:t>
      </w:r>
      <w:r w:rsidRPr="00AC77DF">
        <w:t>，就食品製造、輸入、販售業者之產品流向資料，納入「回收產品之名稱、重量或容量、批號、有效日期、回收原因及後續處理措施之紀錄；返貨者之名稱及地址」等追溯追蹤相關資料。為強化追溯追蹤制度之查核機制，食藥署已於食用油脂稽查專案新增「食品及其相關產品追溯追蹤管理查核記錄表</w:t>
      </w:r>
      <w:r w:rsidRPr="00170916">
        <w:rPr>
          <w:spacing w:val="-30"/>
        </w:rPr>
        <w:t>」</w:t>
      </w:r>
      <w:r w:rsidRPr="00AC77DF">
        <w:t>。</w:t>
      </w:r>
    </w:p>
    <w:p w:rsidR="003807A5" w:rsidRPr="00AC77DF" w:rsidRDefault="003807A5" w:rsidP="00E53322">
      <w:pPr>
        <w:pStyle w:val="1----"/>
        <w:ind w:left="600" w:hanging="360"/>
        <w:rPr>
          <w:b/>
          <w:i/>
        </w:rPr>
      </w:pPr>
      <w:r w:rsidRPr="00AC77DF">
        <w:t>2</w:t>
      </w:r>
      <w:r w:rsidRPr="00AC77DF">
        <w:t>、國發會檔案局已促請桃園市政府督導，而桃園市衛生局已依衛生類基準表規定，將食品業者衛生稽查及抽驗文件之保存年限修正為</w:t>
      </w:r>
      <w:r w:rsidRPr="00AC77DF">
        <w:t>5</w:t>
      </w:r>
      <w:r w:rsidRPr="00AC77DF">
        <w:t>年，並已提列檢討報告及改善計畫。</w:t>
      </w:r>
    </w:p>
    <w:p w:rsidR="003807A5" w:rsidRPr="00AC77DF" w:rsidRDefault="003807A5" w:rsidP="00E53322">
      <w:pPr>
        <w:pStyle w:val="1----"/>
        <w:ind w:left="600" w:hanging="360"/>
      </w:pPr>
      <w:r w:rsidRPr="00AC77DF">
        <w:t>3</w:t>
      </w:r>
      <w:r w:rsidRPr="00AC77DF">
        <w:t>、衛福部已研擬「自源頭建立相關督管機制</w:t>
      </w:r>
      <w:r w:rsidRPr="00170916">
        <w:rPr>
          <w:spacing w:val="-30"/>
        </w:rPr>
        <w:t>」、</w:t>
      </w:r>
      <w:r w:rsidRPr="00AC77DF">
        <w:t>「依法規建</w:t>
      </w:r>
      <w:r w:rsidRPr="00AC77DF">
        <w:lastRenderedPageBreak/>
        <w:t>立分級管理及輔導機制」及「督促地方政府衛生局落實</w:t>
      </w:r>
      <w:r w:rsidRPr="00AC77DF">
        <w:t>GHP</w:t>
      </w:r>
      <w:r w:rsidRPr="00AC77DF">
        <w:t>稽查」等</w:t>
      </w:r>
      <w:r w:rsidRPr="00AC77DF">
        <w:t>3</w:t>
      </w:r>
      <w:r w:rsidRPr="00AC77DF">
        <w:t>項具體改善措施。</w:t>
      </w:r>
    </w:p>
    <w:p w:rsidR="003807A5" w:rsidRPr="00AC77DF" w:rsidRDefault="003807A5" w:rsidP="00E53322">
      <w:pPr>
        <w:pStyle w:val="1----"/>
        <w:ind w:left="600" w:hanging="360"/>
        <w:rPr>
          <w:b/>
          <w:i/>
        </w:rPr>
      </w:pPr>
      <w:r w:rsidRPr="00AC77DF">
        <w:t>4</w:t>
      </w:r>
      <w:r w:rsidRPr="00AC77DF">
        <w:t>、臺北市政府衛生局於</w:t>
      </w:r>
      <w:r w:rsidRPr="00AC77DF">
        <w:t>106</w:t>
      </w:r>
      <w:r w:rsidRPr="00AC77DF">
        <w:t>年</w:t>
      </w:r>
      <w:r w:rsidRPr="00AC77DF">
        <w:t>10</w:t>
      </w:r>
      <w:r w:rsidRPr="00AC77DF">
        <w:t>月</w:t>
      </w:r>
      <w:r w:rsidRPr="00AC77DF">
        <w:t>31</w:t>
      </w:r>
      <w:r w:rsidRPr="00AC77DF">
        <w:t>日依據食品良好衛生規範準則第</w:t>
      </w:r>
      <w:r w:rsidRPr="00AC77DF">
        <w:t>6</w:t>
      </w:r>
      <w:r w:rsidRPr="00AC77DF">
        <w:t>條第</w:t>
      </w:r>
      <w:r w:rsidRPr="00AC77DF">
        <w:t>3</w:t>
      </w:r>
      <w:r w:rsidRPr="00AC77DF">
        <w:t>款及第</w:t>
      </w:r>
      <w:r w:rsidRPr="00AC77DF">
        <w:t>5</w:t>
      </w:r>
      <w:r w:rsidRPr="00AC77DF">
        <w:t>款修訂「臺北市政府衛生局食品業衛生現場稽查紀錄</w:t>
      </w:r>
      <w:r w:rsidRPr="00170916">
        <w:rPr>
          <w:spacing w:val="-30"/>
        </w:rPr>
        <w:t>」</w:t>
      </w:r>
      <w:r w:rsidRPr="00AC77DF">
        <w:t>，新增第</w:t>
      </w:r>
      <w:r w:rsidRPr="00AC77DF">
        <w:t>22</w:t>
      </w:r>
      <w:r w:rsidRPr="00AC77DF">
        <w:t>項「原材料使用，應遵行先進先出之原則，在有效期限內使用，並設有定期檢查機制確實記錄，不得不實或造假</w:t>
      </w:r>
      <w:r w:rsidRPr="00170916">
        <w:rPr>
          <w:spacing w:val="-30"/>
        </w:rPr>
        <w:t>」</w:t>
      </w:r>
      <w:r w:rsidRPr="00AC77DF">
        <w:t>，總項目修正為</w:t>
      </w:r>
      <w:r w:rsidRPr="00AC77DF">
        <w:t>29</w:t>
      </w:r>
      <w:r w:rsidRPr="00AC77DF">
        <w:t>項。臺中市政府衛生局於</w:t>
      </w:r>
      <w:r w:rsidRPr="00AC77DF">
        <w:t>106</w:t>
      </w:r>
      <w:r w:rsidRPr="00AC77DF">
        <w:t>年</w:t>
      </w:r>
      <w:r w:rsidRPr="00AC77DF">
        <w:t>10</w:t>
      </w:r>
      <w:r w:rsidRPr="00AC77DF">
        <w:t>月依食品良好衛生規範準則第</w:t>
      </w:r>
      <w:r w:rsidRPr="00AC77DF">
        <w:t>6</w:t>
      </w:r>
      <w:r w:rsidRPr="00AC77DF">
        <w:t>條第</w:t>
      </w:r>
      <w:r w:rsidRPr="00AC77DF">
        <w:t>3</w:t>
      </w:r>
      <w:r w:rsidRPr="00AC77DF">
        <w:t>款及第</w:t>
      </w:r>
      <w:r w:rsidRPr="00AC77DF">
        <w:t>5</w:t>
      </w:r>
      <w:r w:rsidRPr="00AC77DF">
        <w:t>款之倉儲管制規定，修訂「臺中市政府衛生局餐飲業者良好衛生規範準則稽查紀錄表</w:t>
      </w:r>
      <w:r w:rsidRPr="00170916">
        <w:rPr>
          <w:spacing w:val="-30"/>
        </w:rPr>
        <w:t>」</w:t>
      </w:r>
      <w:r w:rsidRPr="00AC77DF">
        <w:t>，新增「倉儲管理</w:t>
      </w:r>
      <w:r w:rsidRPr="00170916">
        <w:rPr>
          <w:spacing w:val="-30"/>
        </w:rPr>
        <w:t>」</w:t>
      </w:r>
      <w:r w:rsidRPr="00AC77DF">
        <w:t>。</w:t>
      </w:r>
    </w:p>
    <w:p w:rsidR="003807A5" w:rsidRPr="00AC77DF" w:rsidRDefault="00E53322" w:rsidP="00E53322">
      <w:pPr>
        <w:pStyle w:val="1----"/>
        <w:ind w:left="600" w:hanging="360"/>
        <w:rPr>
          <w:b/>
          <w:i/>
        </w:rPr>
      </w:pPr>
      <w:r>
        <w:rPr>
          <w:rFonts w:hint="eastAsia"/>
          <w:lang w:eastAsia="zh-TW"/>
        </w:rPr>
        <w:t>5</w:t>
      </w:r>
      <w:r w:rsidR="003807A5" w:rsidRPr="00AC77DF">
        <w:t>、臺北市政府衛生局已於</w:t>
      </w:r>
      <w:r w:rsidR="003807A5" w:rsidRPr="00AC77DF">
        <w:t>106</w:t>
      </w:r>
      <w:r w:rsidR="003807A5" w:rsidRPr="00AC77DF">
        <w:t>年</w:t>
      </w:r>
      <w:r w:rsidR="003807A5" w:rsidRPr="00AC77DF">
        <w:t>10</w:t>
      </w:r>
      <w:r w:rsidR="003807A5" w:rsidRPr="00AC77DF">
        <w:t>月</w:t>
      </w:r>
      <w:r w:rsidR="003807A5" w:rsidRPr="00AC77DF">
        <w:t>11</w:t>
      </w:r>
      <w:r w:rsidR="003807A5" w:rsidRPr="00AC77DF">
        <w:t>日發文至該市認可之</w:t>
      </w:r>
      <w:r w:rsidR="003807A5" w:rsidRPr="00AC77DF">
        <w:t>17</w:t>
      </w:r>
      <w:r w:rsidR="003807A5" w:rsidRPr="00AC77DF">
        <w:t>家衛生講習辦理單位及</w:t>
      </w:r>
      <w:r w:rsidR="003807A5" w:rsidRPr="00AC77DF">
        <w:t>6</w:t>
      </w:r>
      <w:r w:rsidR="003807A5" w:rsidRPr="00AC77DF">
        <w:t>家認可之食品安全管制系統辦理單位，針對一般食品從業人員、技術證照人員、衛生管理人員、食品安全管制小組人員及食品業者專門職業人員等加強宣導。</w:t>
      </w:r>
    </w:p>
    <w:p w:rsidR="003807A5" w:rsidRPr="00AC77DF" w:rsidRDefault="00252036" w:rsidP="00FA42B3">
      <w:pPr>
        <w:pStyle w:val="afff1"/>
        <w:spacing w:before="360" w:after="360"/>
      </w:pPr>
      <w:bookmarkStart w:id="334" w:name="_Toc528942507"/>
      <w:r>
        <w:rPr>
          <w:rFonts w:hint="eastAsia"/>
        </w:rPr>
        <w:t>(四)</w:t>
      </w:r>
      <w:r w:rsidR="003807A5" w:rsidRPr="00AC77DF">
        <w:t>案件進展</w:t>
      </w:r>
      <w:bookmarkEnd w:id="334"/>
    </w:p>
    <w:p w:rsidR="003807A5" w:rsidRDefault="003807A5" w:rsidP="00B7222B">
      <w:pPr>
        <w:pStyle w:val="1---"/>
        <w:ind w:firstLine="480"/>
        <w:rPr>
          <w:szCs w:val="24"/>
          <w:lang w:eastAsia="zh-TW"/>
        </w:rPr>
      </w:pPr>
      <w:r w:rsidRPr="00AC77DF">
        <w:t>本案</w:t>
      </w:r>
      <w:r w:rsidR="001128CA">
        <w:rPr>
          <w:rFonts w:hint="eastAsia"/>
        </w:rPr>
        <w:t>已結案</w:t>
      </w:r>
      <w:r w:rsidRPr="00AC77DF">
        <w:rPr>
          <w:szCs w:val="24"/>
        </w:rPr>
        <w:t>。</w:t>
      </w:r>
    </w:p>
    <w:p w:rsidR="00252036" w:rsidRDefault="00252036" w:rsidP="00B7222B">
      <w:pPr>
        <w:pStyle w:val="1---"/>
        <w:ind w:firstLine="480"/>
        <w:rPr>
          <w:szCs w:val="24"/>
          <w:lang w:eastAsia="zh-TW"/>
        </w:rPr>
      </w:pPr>
    </w:p>
    <w:p w:rsidR="00170916" w:rsidRDefault="00170916" w:rsidP="00B7222B">
      <w:pPr>
        <w:pStyle w:val="1---"/>
        <w:ind w:firstLine="480"/>
        <w:rPr>
          <w:szCs w:val="24"/>
          <w:lang w:eastAsia="zh-TW"/>
        </w:rPr>
      </w:pPr>
    </w:p>
    <w:p w:rsidR="00170916" w:rsidRDefault="00170916" w:rsidP="00B7222B">
      <w:pPr>
        <w:pStyle w:val="1---"/>
        <w:ind w:firstLine="480"/>
        <w:rPr>
          <w:szCs w:val="24"/>
          <w:lang w:eastAsia="zh-TW"/>
        </w:rPr>
      </w:pPr>
    </w:p>
    <w:p w:rsidR="00170916" w:rsidRDefault="00170916" w:rsidP="00B7222B">
      <w:pPr>
        <w:pStyle w:val="1---"/>
        <w:ind w:firstLine="480"/>
        <w:rPr>
          <w:szCs w:val="24"/>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2433"/>
      </w:tblGrid>
      <w:tr w:rsidR="00252036" w:rsidTr="00170916">
        <w:tc>
          <w:tcPr>
            <w:tcW w:w="2433" w:type="dxa"/>
            <w:shd w:val="clear" w:color="auto" w:fill="D9D9D9" w:themeFill="background1" w:themeFillShade="D9"/>
          </w:tcPr>
          <w:p w:rsidR="00252036" w:rsidRDefault="00252036" w:rsidP="00252036">
            <w:pPr>
              <w:pStyle w:val="11-"/>
              <w:spacing w:before="72" w:after="108"/>
              <w:rPr>
                <w:b/>
                <w:szCs w:val="24"/>
                <w:lang w:eastAsia="zh-TW"/>
              </w:rPr>
            </w:pPr>
            <w:bookmarkStart w:id="335" w:name="_Toc535228374"/>
            <w:bookmarkStart w:id="336" w:name="_Toc4058785"/>
            <w:r w:rsidRPr="00AC77DF">
              <w:lastRenderedPageBreak/>
              <w:t>偽藥規範與管控</w:t>
            </w:r>
            <w:bookmarkEnd w:id="335"/>
            <w:bookmarkEnd w:id="336"/>
          </w:p>
        </w:tc>
      </w:tr>
    </w:tbl>
    <w:p w:rsidR="003807A5" w:rsidRPr="00AC77DF" w:rsidRDefault="00252036" w:rsidP="00FA42B3">
      <w:pPr>
        <w:pStyle w:val="afff1"/>
        <w:spacing w:before="360" w:after="360"/>
      </w:pPr>
      <w:bookmarkStart w:id="337" w:name="_Toc528942469"/>
      <w:bookmarkEnd w:id="322"/>
      <w:r>
        <w:rPr>
          <w:rFonts w:hint="eastAsia"/>
        </w:rPr>
        <w:t>(一)</w:t>
      </w:r>
      <w:r w:rsidR="003807A5" w:rsidRPr="00AC77DF">
        <w:t>案情簡述</w:t>
      </w:r>
      <w:bookmarkEnd w:id="337"/>
      <w:r w:rsidR="003807A5" w:rsidRPr="00AC77DF">
        <w:t xml:space="preserve"> </w:t>
      </w:r>
    </w:p>
    <w:p w:rsidR="003807A5" w:rsidRPr="00AC77DF" w:rsidRDefault="003807A5" w:rsidP="00B7222B">
      <w:pPr>
        <w:pStyle w:val="1---"/>
        <w:ind w:firstLine="480"/>
        <w:rPr>
          <w:b/>
        </w:rPr>
      </w:pPr>
      <w:r w:rsidRPr="00AC77DF">
        <w:t>據悉，近期發現降血脂藥「冠脂妥</w:t>
      </w:r>
      <w:r w:rsidRPr="00AC77DF">
        <w:t>Crestor</w:t>
      </w:r>
      <w:r w:rsidRPr="00AC77DF">
        <w:t>」遭偽藥集團成員仿冒，降血糖藥「佳糖維</w:t>
      </w:r>
      <w:r w:rsidRPr="00AC77DF">
        <w:t>Januvia</w:t>
      </w:r>
      <w:r w:rsidRPr="00AC77DF">
        <w:t>」亦接續發現被仿冒。對於這些偽藥如何進入藥品供應鏈？現階段醫院、藥局的進藥管道、程序與控管為何？是否還有其他藥物遭仿冒？食藥署對於藥商進藥流程是否有所規範與管控？實有深入調查之必要，爰經監察委員立案調查。</w:t>
      </w:r>
    </w:p>
    <w:p w:rsidR="003807A5" w:rsidRPr="00AC77DF" w:rsidRDefault="00252036" w:rsidP="00FA42B3">
      <w:pPr>
        <w:pStyle w:val="afff1"/>
        <w:spacing w:before="360" w:after="360"/>
      </w:pPr>
      <w:bookmarkStart w:id="338" w:name="_Toc528942470"/>
      <w:r>
        <w:rPr>
          <w:rFonts w:hint="eastAsia"/>
        </w:rPr>
        <w:t>(二)</w:t>
      </w:r>
      <w:r w:rsidR="003807A5" w:rsidRPr="00AC77DF">
        <w:t>調查發現與建議</w:t>
      </w:r>
      <w:bookmarkEnd w:id="338"/>
    </w:p>
    <w:p w:rsidR="003807A5" w:rsidRPr="00AC77DF" w:rsidRDefault="00FD29F8" w:rsidP="00FD29F8">
      <w:pPr>
        <w:pStyle w:val="1--13"/>
        <w:spacing w:before="180" w:after="180"/>
      </w:pPr>
      <w:r w:rsidRPr="008E1832">
        <w:rPr>
          <w:rFonts w:hint="eastAsia"/>
        </w:rPr>
        <w:t>˙</w:t>
      </w:r>
      <w:r w:rsidR="003807A5" w:rsidRPr="00AC77DF">
        <w:t>汲取優良藥品之管理作法</w:t>
      </w:r>
    </w:p>
    <w:p w:rsidR="003807A5" w:rsidRPr="00AC77DF" w:rsidRDefault="003807A5" w:rsidP="00B7222B">
      <w:pPr>
        <w:pStyle w:val="1---"/>
        <w:ind w:firstLine="480"/>
      </w:pPr>
      <w:r w:rsidRPr="00AC77DF">
        <w:t>衛福部應接軌世界優良藥品之管理思潮，積極完備法源，早日依法實施我國西藥優良運銷規範，以確保藥品生命週期之品質及完整性，</w:t>
      </w:r>
      <w:r w:rsidR="00E64C1A">
        <w:rPr>
          <w:rFonts w:hint="eastAsia"/>
        </w:rPr>
        <w:t>保障</w:t>
      </w:r>
      <w:r w:rsidRPr="00AC77DF">
        <w:t>國人用藥安全。</w:t>
      </w:r>
    </w:p>
    <w:p w:rsidR="003807A5" w:rsidRPr="00AC77DF" w:rsidRDefault="00FD29F8" w:rsidP="00D92DAE">
      <w:pPr>
        <w:pStyle w:val="1--13"/>
        <w:spacing w:before="180" w:after="180"/>
      </w:pPr>
      <w:r w:rsidRPr="008E1832">
        <w:rPr>
          <w:rFonts w:hint="eastAsia"/>
        </w:rPr>
        <w:t>˙</w:t>
      </w:r>
      <w:r w:rsidR="003807A5" w:rsidRPr="00AC77DF">
        <w:t>追蹤偽藥流向</w:t>
      </w:r>
    </w:p>
    <w:p w:rsidR="003807A5" w:rsidRPr="00AC77DF" w:rsidRDefault="003807A5" w:rsidP="00B7222B">
      <w:pPr>
        <w:pStyle w:val="1---"/>
        <w:ind w:firstLine="480"/>
      </w:pPr>
      <w:r w:rsidRPr="00AC77DF">
        <w:t>食藥署就本案檢察機關偵辦過程所發現「冠脂妥」以外之其他</w:t>
      </w:r>
      <w:r w:rsidRPr="00AC77DF">
        <w:t>8</w:t>
      </w:r>
      <w:r w:rsidRPr="00AC77DF">
        <w:t>種偽藥，宜再行追蹤瞭解其後續實際銷售流向，避免該等偽藥流入國內藥品市場，危害國人健康。</w:t>
      </w:r>
    </w:p>
    <w:p w:rsidR="003807A5" w:rsidRPr="00AC77DF" w:rsidRDefault="003807A5" w:rsidP="00B7222B">
      <w:pPr>
        <w:pStyle w:val="1---"/>
        <w:ind w:firstLine="480"/>
      </w:pPr>
      <w:r w:rsidRPr="00AC77DF">
        <w:t>食藥署建置中之藥品追蹤追溯系統，宜比照食品追蹤追溯系統運作模式，以強化藥品來源及流向之管理。</w:t>
      </w:r>
    </w:p>
    <w:p w:rsidR="003807A5" w:rsidRPr="00AC77DF" w:rsidRDefault="00FD29F8" w:rsidP="00D92DAE">
      <w:pPr>
        <w:pStyle w:val="1--13"/>
        <w:spacing w:before="180" w:after="180"/>
      </w:pPr>
      <w:r w:rsidRPr="008E1832">
        <w:rPr>
          <w:rFonts w:hint="eastAsia"/>
        </w:rPr>
        <w:lastRenderedPageBreak/>
        <w:t>˙</w:t>
      </w:r>
      <w:r w:rsidR="003807A5" w:rsidRPr="00AC77DF">
        <w:t>提升偽藥把關作業</w:t>
      </w:r>
    </w:p>
    <w:p w:rsidR="003807A5" w:rsidRPr="00AC77DF" w:rsidRDefault="003807A5" w:rsidP="00B7222B">
      <w:pPr>
        <w:pStyle w:val="1---"/>
        <w:ind w:firstLine="480"/>
      </w:pPr>
      <w:r w:rsidRPr="00AC77DF">
        <w:t>我國藥事法之偽藥定義未能接軌國際，難以進行國際比較，食藥署應通盤檢討。又本案所彰顯之偽藥比率統計真實性落差，亟待釐清，以避免外界誤解。</w:t>
      </w:r>
    </w:p>
    <w:p w:rsidR="003807A5" w:rsidRPr="00AC77DF" w:rsidRDefault="003807A5" w:rsidP="00B7222B">
      <w:pPr>
        <w:pStyle w:val="1---"/>
        <w:ind w:firstLine="480"/>
      </w:pPr>
      <w:r w:rsidRPr="00AC77DF">
        <w:t>財政部關務署應協同衛福部食藥署依雙方業務實際需求，加強落實執行籠統化學品及不明藥物之抽驗與貨名確認工作，以防杜非法藥物蒙混進口，危害國人健康。</w:t>
      </w:r>
    </w:p>
    <w:p w:rsidR="003807A5" w:rsidRPr="00AC77DF" w:rsidRDefault="003807A5" w:rsidP="00B7222B">
      <w:pPr>
        <w:pStyle w:val="1---"/>
        <w:ind w:firstLine="480"/>
      </w:pPr>
      <w:r w:rsidRPr="00AC77DF">
        <w:t>本案有關偽藥原料藥係多次透過快遞、郵包等途徑蒙混進口事件，且先前抽驗申報籠統化學品或不明粉末形態貨物之統計數據呈現異常比率偏高警訊。財政部關務署應正視研議加強邊境毒品、藥品查緝措施，以善盡管制把關職責。</w:t>
      </w:r>
    </w:p>
    <w:p w:rsidR="003807A5" w:rsidRPr="00AC77DF" w:rsidRDefault="003807A5" w:rsidP="00B7222B">
      <w:pPr>
        <w:pStyle w:val="1---"/>
        <w:ind w:firstLine="480"/>
      </w:pPr>
      <w:r w:rsidRPr="00AC77DF">
        <w:t>依據本案調查意見</w:t>
      </w:r>
      <w:r w:rsidRPr="00F85A65">
        <w:rPr>
          <w:rStyle w:val="aff2"/>
        </w:rPr>
        <w:footnoteReference w:id="88"/>
      </w:r>
      <w:r w:rsidRPr="00AC77DF">
        <w:t>，監察院函請衛福部及所屬食藥署、財政部關務署確實檢討改進見復。</w:t>
      </w:r>
    </w:p>
    <w:p w:rsidR="003807A5" w:rsidRPr="00AC77DF" w:rsidRDefault="00252036" w:rsidP="00FA42B3">
      <w:pPr>
        <w:pStyle w:val="afff1"/>
        <w:spacing w:before="360" w:after="360"/>
      </w:pPr>
      <w:bookmarkStart w:id="339" w:name="_Toc528942471"/>
      <w:r>
        <w:rPr>
          <w:rFonts w:hint="eastAsia"/>
        </w:rPr>
        <w:t>(三)</w:t>
      </w:r>
      <w:r w:rsidR="003807A5" w:rsidRPr="00AC77DF">
        <w:t>政府機關改善情形</w:t>
      </w:r>
      <w:bookmarkEnd w:id="339"/>
    </w:p>
    <w:p w:rsidR="003807A5" w:rsidRPr="00AC77DF" w:rsidRDefault="003807A5" w:rsidP="00E53322">
      <w:pPr>
        <w:pStyle w:val="1----"/>
        <w:ind w:left="600" w:hanging="360"/>
      </w:pPr>
      <w:r w:rsidRPr="00AC77DF">
        <w:t>1</w:t>
      </w:r>
      <w:r w:rsidRPr="00AC77DF">
        <w:t>、衛福部</w:t>
      </w:r>
    </w:p>
    <w:p w:rsidR="003807A5" w:rsidRPr="00AC77DF" w:rsidRDefault="003807A5" w:rsidP="00A2513E">
      <w:pPr>
        <w:pStyle w:val="1--1"/>
        <w:ind w:left="1080" w:hanging="600"/>
      </w:pPr>
      <w:r w:rsidRPr="00AC77DF">
        <w:t>（</w:t>
      </w:r>
      <w:r w:rsidRPr="00AC77DF">
        <w:t>1</w:t>
      </w:r>
      <w:r w:rsidRPr="00AC77DF">
        <w:t>）藥事法第</w:t>
      </w:r>
      <w:r w:rsidRPr="00AC77DF">
        <w:t>53-1</w:t>
      </w:r>
      <w:r w:rsidRPr="00AC77DF">
        <w:t>條及第</w:t>
      </w:r>
      <w:r w:rsidRPr="00AC77DF">
        <w:t>92</w:t>
      </w:r>
      <w:r w:rsidRPr="00AC77DF">
        <w:t>條修正</w:t>
      </w:r>
      <w:r w:rsidR="00D4440F">
        <w:t>案</w:t>
      </w:r>
      <w:r w:rsidR="00D4440F">
        <w:rPr>
          <w:rFonts w:hint="eastAsia"/>
        </w:rPr>
        <w:t>已</w:t>
      </w:r>
      <w:r w:rsidRPr="00AC77DF">
        <w:t>於</w:t>
      </w:r>
      <w:r w:rsidRPr="00AC77DF">
        <w:t>106</w:t>
      </w:r>
      <w:r w:rsidRPr="00AC77DF">
        <w:t>年</w:t>
      </w:r>
      <w:r w:rsidRPr="00AC77DF">
        <w:t>6</w:t>
      </w:r>
      <w:r w:rsidRPr="00AC77DF">
        <w:t>月</w:t>
      </w:r>
      <w:r w:rsidRPr="00AC77DF">
        <w:t>14</w:t>
      </w:r>
      <w:r w:rsidRPr="00AC77DF">
        <w:t>日公布</w:t>
      </w:r>
      <w:r w:rsidR="00D4440F">
        <w:t>，</w:t>
      </w:r>
      <w:r w:rsidRPr="00AC77DF">
        <w:t>食藥署</w:t>
      </w:r>
      <w:r w:rsidR="00D4440F">
        <w:rPr>
          <w:rFonts w:hint="eastAsia"/>
        </w:rPr>
        <w:t>已</w:t>
      </w:r>
      <w:r w:rsidRPr="00AC77DF">
        <w:t>配合擬訂相關子法</w:t>
      </w:r>
      <w:r w:rsidR="00D4440F">
        <w:t>。</w:t>
      </w:r>
      <w:r w:rsidRPr="00AC77DF">
        <w:t>透過嚴謹的程序，規劃妥適的配套措施。</w:t>
      </w:r>
    </w:p>
    <w:p w:rsidR="003807A5" w:rsidRPr="00AC77DF" w:rsidRDefault="003807A5" w:rsidP="00A2513E">
      <w:pPr>
        <w:pStyle w:val="1--1"/>
        <w:ind w:left="1080" w:hanging="600"/>
      </w:pPr>
      <w:r w:rsidRPr="00AC77DF">
        <w:t>（</w:t>
      </w:r>
      <w:r w:rsidRPr="00AC77DF">
        <w:t>2</w:t>
      </w:r>
      <w:r w:rsidRPr="00AC77DF">
        <w:t>）本案經檢察機關刑事偵查終結起訴在案，查無犯罪嫌疑人於國內另有銷售其他</w:t>
      </w:r>
      <w:r w:rsidRPr="00AC77DF">
        <w:t>8</w:t>
      </w:r>
      <w:r w:rsidRPr="00AC77DF">
        <w:t>種偽藥之相關證據</w:t>
      </w:r>
      <w:r w:rsidR="006262A0">
        <w:t>。</w:t>
      </w:r>
      <w:r w:rsidRPr="00AC77DF">
        <w:t>另食藥署於本案冠脂妥事件發生期間，亦主動責成全國各</w:t>
      </w:r>
      <w:r w:rsidRPr="00AC77DF">
        <w:lastRenderedPageBreak/>
        <w:t>縣市衛生局針對媒體披露「力清之</w:t>
      </w:r>
      <w:r w:rsidRPr="00A2513E">
        <w:rPr>
          <w:spacing w:val="-28"/>
        </w:rPr>
        <w:t>」、</w:t>
      </w:r>
      <w:r w:rsidRPr="00AC77DF">
        <w:t>「維妥力」及「佳糖維」</w:t>
      </w:r>
      <w:r w:rsidRPr="00AC77DF">
        <w:t>3</w:t>
      </w:r>
      <w:r w:rsidRPr="00AC77DF">
        <w:t>項高風險藥品進行市面稽查及抽驗，且經檢驗比對之結果未發現與原廠規格不一致情形。</w:t>
      </w:r>
    </w:p>
    <w:p w:rsidR="003807A5" w:rsidRPr="00AC77DF" w:rsidRDefault="003807A5" w:rsidP="00A2513E">
      <w:pPr>
        <w:pStyle w:val="1--1"/>
        <w:ind w:left="1080" w:hanging="600"/>
      </w:pPr>
      <w:r w:rsidRPr="00AC77DF">
        <w:t>（</w:t>
      </w:r>
      <w:r w:rsidRPr="00AC77DF">
        <w:t>3</w:t>
      </w:r>
      <w:r w:rsidRPr="00AC77DF">
        <w:t>）有關輸入原料藥管道包含原料藥許可證及藥廠申請輸入自用原料，其中輸入自用原料之查核，自</w:t>
      </w:r>
      <w:r w:rsidRPr="00AC77DF">
        <w:t>103</w:t>
      </w:r>
      <w:r w:rsidRPr="00AC77DF">
        <w:t>年度起已委由各縣市衛生局執行，並由食藥署定期提供自</w:t>
      </w:r>
      <w:r w:rsidRPr="00A2513E">
        <w:rPr>
          <w:spacing w:val="-2"/>
        </w:rPr>
        <w:t>用原料輸入紀錄</w:t>
      </w:r>
      <w:r w:rsidR="006E051F" w:rsidRPr="00A2513E">
        <w:rPr>
          <w:spacing w:val="-2"/>
        </w:rPr>
        <w:t>。</w:t>
      </w:r>
      <w:r w:rsidRPr="00A2513E">
        <w:rPr>
          <w:spacing w:val="-14"/>
        </w:rPr>
        <w:t>查</w:t>
      </w:r>
      <w:r w:rsidRPr="00A2513E">
        <w:rPr>
          <w:spacing w:val="-2"/>
        </w:rPr>
        <w:t>10</w:t>
      </w:r>
      <w:r w:rsidRPr="00A2513E">
        <w:rPr>
          <w:spacing w:val="-14"/>
        </w:rPr>
        <w:t>5</w:t>
      </w:r>
      <w:r w:rsidRPr="00A2513E">
        <w:rPr>
          <w:spacing w:val="-2"/>
        </w:rPr>
        <w:t>年度符合率達</w:t>
      </w:r>
      <w:r w:rsidRPr="00A2513E">
        <w:rPr>
          <w:spacing w:val="-2"/>
        </w:rPr>
        <w:t>98.1%</w:t>
      </w:r>
      <w:r w:rsidRPr="00A2513E">
        <w:rPr>
          <w:spacing w:val="-2"/>
        </w:rPr>
        <w:t>，</w:t>
      </w:r>
      <w:r w:rsidRPr="00A2513E">
        <w:rPr>
          <w:spacing w:val="-14"/>
        </w:rPr>
        <w:t>較</w:t>
      </w:r>
      <w:r w:rsidRPr="00A2513E">
        <w:rPr>
          <w:spacing w:val="-2"/>
        </w:rPr>
        <w:t>104</w:t>
      </w:r>
      <w:r w:rsidRPr="00AC77DF">
        <w:t>年符合率（</w:t>
      </w:r>
      <w:r w:rsidRPr="00AC77DF">
        <w:t>91.2%</w:t>
      </w:r>
      <w:r w:rsidRPr="00AC77DF">
        <w:t>）顯著提升。為有效掌握藥品之來源及流向，衛福部依據藥事法第</w:t>
      </w:r>
      <w:r w:rsidRPr="00AC77DF">
        <w:t>6</w:t>
      </w:r>
      <w:r w:rsidRPr="00AC77DF">
        <w:t>條之</w:t>
      </w:r>
      <w:r w:rsidRPr="00AC77DF">
        <w:t>1</w:t>
      </w:r>
      <w:r w:rsidRPr="00AC77DF">
        <w:t>，規範經中央衛生主管機關公告類別藥品，其製劑許可證持有藥商及經銷藥商，應以電子方式申報藥品來源及流向相關資訊。為因應偽藥事件，</w:t>
      </w:r>
      <w:r w:rsidRPr="00AC77DF">
        <w:t>106</w:t>
      </w:r>
      <w:r w:rsidRPr="00AC77DF">
        <w:t>年</w:t>
      </w:r>
      <w:r w:rsidRPr="00AC77DF">
        <w:t>5</w:t>
      </w:r>
      <w:r w:rsidRPr="00AC77DF">
        <w:t>月</w:t>
      </w:r>
      <w:r w:rsidRPr="00AC77DF">
        <w:t>1</w:t>
      </w:r>
      <w:r w:rsidRPr="00AC77DF">
        <w:t>日已提早啟用藥品追溯或追蹤申報系統，使衛生機關得確認查核申報資料是否有顯著差異。</w:t>
      </w:r>
    </w:p>
    <w:p w:rsidR="003807A5" w:rsidRPr="00AC77DF" w:rsidRDefault="003807A5" w:rsidP="00A2513E">
      <w:pPr>
        <w:pStyle w:val="1--1"/>
        <w:ind w:left="1080" w:hanging="600"/>
      </w:pPr>
      <w:r w:rsidRPr="00AC77DF">
        <w:t>（</w:t>
      </w:r>
      <w:r w:rsidRPr="00AC77DF">
        <w:t>4</w:t>
      </w:r>
      <w:r w:rsidRPr="00AC77DF">
        <w:t>）檢視我國藥事法所稱之偽藥與世界衛生組織之偽藥定義相近，因此，衛福部將持續參考世界衛生組織之定義，對外發布偽藥相關數據。</w:t>
      </w:r>
    </w:p>
    <w:p w:rsidR="003807A5" w:rsidRPr="00AC77DF" w:rsidRDefault="003807A5" w:rsidP="00A2513E">
      <w:pPr>
        <w:pStyle w:val="1--1"/>
        <w:ind w:left="1080" w:hanging="600"/>
      </w:pPr>
      <w:r w:rsidRPr="00AC77DF">
        <w:t>（</w:t>
      </w:r>
      <w:r w:rsidRPr="00AC77DF">
        <w:t>5</w:t>
      </w:r>
      <w:r w:rsidRPr="00AC77DF">
        <w:t>）食藥署和</w:t>
      </w:r>
      <w:r w:rsidR="00FA2F3B" w:rsidRPr="00AC77DF">
        <w:t>財政部</w:t>
      </w:r>
      <w:r w:rsidRPr="00AC77DF">
        <w:t>關務署密切支援互助，阻止不法藥物流入國內危害民眾健康安全。自</w:t>
      </w:r>
      <w:r w:rsidRPr="00AC77DF">
        <w:t>104</w:t>
      </w:r>
      <w:r w:rsidRPr="00AC77DF">
        <w:t>年</w:t>
      </w:r>
      <w:r w:rsidRPr="00AC77DF">
        <w:t>1</w:t>
      </w:r>
      <w:r w:rsidRPr="00AC77DF">
        <w:t>月</w:t>
      </w:r>
      <w:r w:rsidRPr="00AC77DF">
        <w:t>1</w:t>
      </w:r>
      <w:r w:rsidRPr="00AC77DF">
        <w:t>日至</w:t>
      </w:r>
      <w:r w:rsidRPr="00AC77DF">
        <w:t>106</w:t>
      </w:r>
      <w:r w:rsidRPr="00AC77DF">
        <w:t>年</w:t>
      </w:r>
      <w:r w:rsidRPr="00AC77DF">
        <w:t>9</w:t>
      </w:r>
      <w:r w:rsidRPr="00AC77DF">
        <w:t>月</w:t>
      </w:r>
      <w:r w:rsidRPr="00AC77DF">
        <w:t>15</w:t>
      </w:r>
      <w:r w:rsidRPr="00AC77DF">
        <w:t>日止，所送驗檢體中僅有</w:t>
      </w:r>
      <w:r w:rsidRPr="00AC77DF">
        <w:t>9</w:t>
      </w:r>
      <w:r w:rsidRPr="00AC77DF">
        <w:t>件（</w:t>
      </w:r>
      <w:r w:rsidRPr="00AC77DF">
        <w:t>104</w:t>
      </w:r>
      <w:r w:rsidRPr="00AC77DF">
        <w:t>年</w:t>
      </w:r>
      <w:r w:rsidRPr="00AC77DF">
        <w:t>2</w:t>
      </w:r>
      <w:r w:rsidRPr="00AC77DF">
        <w:t>件、</w:t>
      </w:r>
      <w:r w:rsidRPr="00AC77DF">
        <w:t>105</w:t>
      </w:r>
      <w:r w:rsidRPr="00AC77DF">
        <w:t>年</w:t>
      </w:r>
      <w:r w:rsidRPr="00AC77DF">
        <w:t>5</w:t>
      </w:r>
      <w:r w:rsidRPr="00AC77DF">
        <w:t>件及</w:t>
      </w:r>
      <w:r w:rsidRPr="00AC77DF">
        <w:t>106</w:t>
      </w:r>
      <w:r w:rsidRPr="00AC77DF">
        <w:t>年</w:t>
      </w:r>
      <w:r w:rsidRPr="00AC77DF">
        <w:t>2</w:t>
      </w:r>
      <w:r w:rsidRPr="00AC77DF">
        <w:t>件）檢體因屬毒品鑑驗類別，依「食品藥物化粧品檢驗封緘及對照標準品供應收費標準」予以收</w:t>
      </w:r>
      <w:r w:rsidRPr="00A2513E">
        <w:rPr>
          <w:spacing w:val="-10"/>
        </w:rPr>
        <w:t>費</w:t>
      </w:r>
      <w:r w:rsidRPr="00AC77DF">
        <w:t>（</w:t>
      </w:r>
      <w:r w:rsidRPr="00AC77DF">
        <w:t>3,00</w:t>
      </w:r>
      <w:r w:rsidRPr="00A2513E">
        <w:rPr>
          <w:spacing w:val="-10"/>
        </w:rPr>
        <w:t>0</w:t>
      </w:r>
      <w:r w:rsidRPr="00AC77DF">
        <w:t>元</w:t>
      </w:r>
      <w:r w:rsidRPr="00AC77DF">
        <w:t>/</w:t>
      </w:r>
      <w:r w:rsidRPr="00AC77DF">
        <w:t>件</w:t>
      </w:r>
      <w:r w:rsidRPr="00A2513E">
        <w:rPr>
          <w:spacing w:val="-30"/>
        </w:rPr>
        <w:t>）</w:t>
      </w:r>
      <w:r w:rsidRPr="00AC77DF">
        <w:t>，其</w:t>
      </w:r>
      <w:r w:rsidRPr="00A2513E">
        <w:rPr>
          <w:spacing w:val="-10"/>
        </w:rPr>
        <w:t>餘</w:t>
      </w:r>
      <w:r w:rsidRPr="00AC77DF">
        <w:t>5,98</w:t>
      </w:r>
      <w:r w:rsidRPr="00A2513E">
        <w:rPr>
          <w:spacing w:val="-10"/>
        </w:rPr>
        <w:t>3</w:t>
      </w:r>
      <w:r w:rsidRPr="00AC77DF">
        <w:t>件皆未收費，應不致造成財政部關務署執行送驗鑑定之障礙。</w:t>
      </w:r>
    </w:p>
    <w:p w:rsidR="003807A5" w:rsidRPr="00AC77DF" w:rsidRDefault="003807A5" w:rsidP="00E53322">
      <w:pPr>
        <w:pStyle w:val="1----"/>
        <w:ind w:left="600" w:hanging="360"/>
      </w:pPr>
      <w:r w:rsidRPr="00AC77DF">
        <w:lastRenderedPageBreak/>
        <w:t>2</w:t>
      </w:r>
      <w:r w:rsidRPr="00AC77DF">
        <w:t>、財政部關務署</w:t>
      </w:r>
    </w:p>
    <w:p w:rsidR="003807A5" w:rsidRPr="00AC77DF" w:rsidRDefault="003807A5" w:rsidP="00A2513E">
      <w:pPr>
        <w:pStyle w:val="1--1"/>
        <w:ind w:left="1080" w:hanging="600"/>
      </w:pPr>
      <w:r w:rsidRPr="00AC77DF">
        <w:t>（</w:t>
      </w:r>
      <w:r w:rsidRPr="00AC77DF">
        <w:t>1</w:t>
      </w:r>
      <w:r w:rsidRPr="00AC77DF">
        <w:t>）已針對本案偽藥集團進口之</w:t>
      </w:r>
      <w:r w:rsidRPr="00AC77DF">
        <w:t>8</w:t>
      </w:r>
      <w:r w:rsidRPr="00AC77DF">
        <w:t>種藥品原料（分屬</w:t>
      </w:r>
      <w:r w:rsidRPr="00AC77DF">
        <w:t>8</w:t>
      </w:r>
      <w:r w:rsidRPr="00AC77DF">
        <w:t>項稅則號別），進口地為中國大陸、香港及印度地區，進行風險分析與管控，並提高</w:t>
      </w:r>
      <w:r w:rsidRPr="004B1F95">
        <w:rPr>
          <w:rStyle w:val="52"/>
          <w:rFonts w:hAnsi="Times New Roman"/>
          <w:sz w:val="24"/>
          <w:szCs w:val="24"/>
        </w:rPr>
        <w:t>其</w:t>
      </w:r>
      <w:r w:rsidRPr="00AC77DF">
        <w:t>報單抽驗比率。</w:t>
      </w:r>
    </w:p>
    <w:p w:rsidR="003807A5" w:rsidRPr="00AC77DF" w:rsidRDefault="003807A5" w:rsidP="00A2513E">
      <w:pPr>
        <w:pStyle w:val="1--1"/>
        <w:ind w:left="1080" w:hanging="600"/>
      </w:pPr>
      <w:r w:rsidRPr="00AC77DF">
        <w:t>（</w:t>
      </w:r>
      <w:r w:rsidRPr="00AC77DF">
        <w:t>2</w:t>
      </w:r>
      <w:r w:rsidRPr="00AC77DF">
        <w:t>）積極落實食藥署與</w:t>
      </w:r>
      <w:r w:rsidR="00FA2F3B" w:rsidRPr="00AC77DF">
        <w:t>財政部</w:t>
      </w:r>
      <w:r w:rsidRPr="00AC77DF">
        <w:t>關務署於</w:t>
      </w:r>
      <w:r w:rsidRPr="00AC77DF">
        <w:t>106</w:t>
      </w:r>
      <w:r w:rsidRPr="00AC77DF">
        <w:t>年</w:t>
      </w:r>
      <w:r w:rsidRPr="00AC77DF">
        <w:t>4</w:t>
      </w:r>
      <w:r w:rsidRPr="00AC77DF">
        <w:t>月</w:t>
      </w:r>
      <w:r w:rsidRPr="00AC77DF">
        <w:t>17</w:t>
      </w:r>
      <w:r w:rsidRPr="00AC77DF">
        <w:t>日就本案雙方應行協調辦理事項所達成共識，各關持續加強邊境不法藥用及非法食用原料進口查緝業務，對於快遞、郵包進口貨物，海關均全面</w:t>
      </w:r>
      <w:r w:rsidRPr="00A2513E">
        <w:rPr>
          <w:spacing w:val="-10"/>
        </w:rPr>
        <w:t>以</w:t>
      </w:r>
      <w:r w:rsidRPr="00A2513E">
        <w:rPr>
          <w:spacing w:val="-10"/>
        </w:rPr>
        <w:t>X</w:t>
      </w:r>
      <w:r w:rsidRPr="00AC77DF">
        <w:t>光儀器檢查，申報籠統化學品或不明粉末貨物列為查緝重點。</w:t>
      </w:r>
    </w:p>
    <w:p w:rsidR="003807A5" w:rsidRPr="00AC77DF" w:rsidRDefault="003807A5" w:rsidP="00A2513E">
      <w:pPr>
        <w:pStyle w:val="1--1"/>
        <w:ind w:left="1080" w:hanging="600"/>
      </w:pPr>
      <w:r w:rsidRPr="00AC77DF">
        <w:t>（</w:t>
      </w:r>
      <w:r w:rsidRPr="00AC77DF">
        <w:t>3</w:t>
      </w:r>
      <w:r w:rsidRPr="00AC77DF">
        <w:t>）統計海關</w:t>
      </w:r>
      <w:r w:rsidRPr="00AC77DF">
        <w:t>106</w:t>
      </w:r>
      <w:r w:rsidRPr="00AC77DF">
        <w:t>年</w:t>
      </w:r>
      <w:r w:rsidRPr="00AC77DF">
        <w:t>1-9</w:t>
      </w:r>
      <w:r w:rsidRPr="00AC77DF">
        <w:t>月緝獲毒品、藥物、農藥等不法案件，其緝獲總件數及月平均緝獲數均呈現增長，由</w:t>
      </w:r>
      <w:r w:rsidRPr="00AC77DF">
        <w:t>106</w:t>
      </w:r>
      <w:r w:rsidRPr="00AC77DF">
        <w:t>年</w:t>
      </w:r>
      <w:r w:rsidRPr="00AC77DF">
        <w:t>1-4</w:t>
      </w:r>
      <w:r w:rsidRPr="00AC77DF">
        <w:t>月緝獲</w:t>
      </w:r>
      <w:r w:rsidRPr="00AC77DF">
        <w:t>157</w:t>
      </w:r>
      <w:r w:rsidRPr="00AC77DF">
        <w:t>次（月平均緝獲</w:t>
      </w:r>
      <w:r w:rsidRPr="00AC77DF">
        <w:t>39.25</w:t>
      </w:r>
      <w:r w:rsidRPr="00AC77DF">
        <w:t>次</w:t>
      </w:r>
      <w:r w:rsidRPr="00A2513E">
        <w:rPr>
          <w:spacing w:val="-30"/>
        </w:rPr>
        <w:t>）</w:t>
      </w:r>
      <w:r w:rsidRPr="00AC77DF">
        <w:t>，增加至同年</w:t>
      </w:r>
      <w:r w:rsidRPr="00AC77DF">
        <w:t>5-9</w:t>
      </w:r>
      <w:r w:rsidRPr="00AC77DF">
        <w:t>月緝獲</w:t>
      </w:r>
      <w:r w:rsidRPr="00AC77DF">
        <w:t>311</w:t>
      </w:r>
      <w:r w:rsidRPr="00AC77DF">
        <w:t>次（月平均緝獲</w:t>
      </w:r>
      <w:r w:rsidRPr="00AC77DF">
        <w:t>62.2</w:t>
      </w:r>
      <w:r w:rsidRPr="00AC77DF">
        <w:t>次</w:t>
      </w:r>
      <w:r w:rsidRPr="00A2513E">
        <w:rPr>
          <w:spacing w:val="-30"/>
        </w:rPr>
        <w:t>）</w:t>
      </w:r>
      <w:r w:rsidRPr="00AC77DF">
        <w:t>，顯示海關強力執行查緝成果。</w:t>
      </w:r>
    </w:p>
    <w:p w:rsidR="003807A5" w:rsidRPr="00AC77DF" w:rsidRDefault="003807A5" w:rsidP="00A2513E">
      <w:pPr>
        <w:pStyle w:val="1--1"/>
        <w:ind w:left="1080" w:hanging="600"/>
      </w:pPr>
      <w:r w:rsidRPr="00AC77DF">
        <w:t>（</w:t>
      </w:r>
      <w:r w:rsidRPr="00AC77DF">
        <w:t>4</w:t>
      </w:r>
      <w:r w:rsidRPr="00AC77DF">
        <w:t>）為防堵不肖人士透過快遞、郵包走私毒品及藥品原料，</w:t>
      </w:r>
      <w:r w:rsidR="00FA2F3B" w:rsidRPr="00AC77DF">
        <w:t>財政部</w:t>
      </w:r>
      <w:r w:rsidRPr="00AC77DF">
        <w:t>關務署函各關加強辦理強化風險管理、機動部署增加緝毒犬隊、優化查緝工具、強化專業培訓、深化情資交流等相關查緝措施。</w:t>
      </w:r>
    </w:p>
    <w:p w:rsidR="003807A5" w:rsidRPr="00AC77DF" w:rsidRDefault="00252036" w:rsidP="00FA42B3">
      <w:pPr>
        <w:pStyle w:val="afff1"/>
        <w:spacing w:before="360" w:after="360"/>
      </w:pPr>
      <w:bookmarkStart w:id="340" w:name="_Toc528942472"/>
      <w:r>
        <w:rPr>
          <w:rFonts w:hint="eastAsia"/>
        </w:rPr>
        <w:t>(四)</w:t>
      </w:r>
      <w:r w:rsidR="003807A5" w:rsidRPr="00AC77DF">
        <w:t>案件進展</w:t>
      </w:r>
      <w:bookmarkEnd w:id="340"/>
    </w:p>
    <w:p w:rsidR="003807A5" w:rsidRDefault="002B0CE7" w:rsidP="00B7222B">
      <w:pPr>
        <w:pStyle w:val="1---"/>
        <w:ind w:firstLine="480"/>
        <w:rPr>
          <w:lang w:eastAsia="zh-TW"/>
        </w:rPr>
      </w:pPr>
      <w:r>
        <w:rPr>
          <w:rFonts w:hint="eastAsia"/>
        </w:rPr>
        <w:t>本案已結案</w:t>
      </w:r>
      <w:r w:rsidR="003807A5" w:rsidRPr="00AC77DF">
        <w:t>。</w:t>
      </w:r>
    </w:p>
    <w:p w:rsidR="00A2513E" w:rsidRDefault="00A2513E" w:rsidP="00B7222B">
      <w:pPr>
        <w:pStyle w:val="1---"/>
        <w:ind w:firstLine="480"/>
        <w:rPr>
          <w:lang w:eastAsia="zh-TW"/>
        </w:rPr>
      </w:pPr>
    </w:p>
    <w:p w:rsidR="00A2513E" w:rsidRPr="00AC77DF" w:rsidRDefault="00A2513E" w:rsidP="00B7222B">
      <w:pPr>
        <w:pStyle w:val="1---"/>
        <w:ind w:firstLine="480"/>
        <w:rPr>
          <w:b/>
          <w:lang w:eastAsia="zh-TW"/>
        </w:rPr>
      </w:pPr>
    </w:p>
    <w:p w:rsidR="003807A5" w:rsidRPr="00A2513E" w:rsidRDefault="003807A5" w:rsidP="00A2513E">
      <w:pPr>
        <w:pStyle w:val="11-"/>
        <w:spacing w:before="72" w:afterLines="70" w:after="252"/>
        <w:rPr>
          <w:sz w:val="32"/>
          <w:szCs w:val="32"/>
        </w:rPr>
      </w:pPr>
      <w:bookmarkStart w:id="341" w:name="_Toc535228375"/>
      <w:bookmarkStart w:id="342" w:name="_Toc4058786"/>
      <w:bookmarkStart w:id="343" w:name="_Toc528942508"/>
      <w:bookmarkStart w:id="344" w:name="_Toc528942483"/>
      <w:r w:rsidRPr="00A2513E">
        <w:rPr>
          <w:sz w:val="32"/>
          <w:szCs w:val="32"/>
        </w:rPr>
        <w:lastRenderedPageBreak/>
        <w:t>二、健康促進與保護</w:t>
      </w:r>
      <w:bookmarkEnd w:id="341"/>
      <w:bookmarkEnd w:id="342"/>
    </w:p>
    <w:p w:rsidR="003807A5" w:rsidRPr="00AC77DF" w:rsidRDefault="003807A5" w:rsidP="00B7222B">
      <w:pPr>
        <w:pStyle w:val="1---"/>
        <w:ind w:firstLine="480"/>
      </w:pPr>
      <w:r w:rsidRPr="00AC77DF">
        <w:t>聯合國人權事務委員會於</w:t>
      </w:r>
      <w:r w:rsidRPr="00AC77DF">
        <w:t>2000</w:t>
      </w:r>
      <w:r w:rsidRPr="00AC77DF">
        <w:t>年在第</w:t>
      </w:r>
      <w:r w:rsidRPr="00AC77DF">
        <w:t>22</w:t>
      </w:r>
      <w:r w:rsidRPr="00AC77DF">
        <w:t>屆會議，針對最高健康標準的權利（經濟社會文化權利國際公約第</w:t>
      </w:r>
      <w:r w:rsidRPr="00AC77DF">
        <w:t>12</w:t>
      </w:r>
      <w:r w:rsidRPr="00AC77DF">
        <w:t>條）通過第</w:t>
      </w:r>
      <w:r w:rsidRPr="00AC77DF">
        <w:t>14</w:t>
      </w:r>
      <w:r w:rsidRPr="00AC77DF">
        <w:t>號一般性意見，指出健康是行使其他人權不可或缺的一項基本人權，每個人都有權享有能夠達到的、有益於尊嚴生活的最高標準的健康。實現健康權可透過很多辦法，彼此互相補充，如制定健康政策、執行世界衛生組織制定的衛生計畫，或採用具體的法律手段。</w:t>
      </w:r>
    </w:p>
    <w:p w:rsidR="003807A5" w:rsidRPr="00AC77DF" w:rsidRDefault="003807A5" w:rsidP="00D90887">
      <w:pPr>
        <w:pStyle w:val="1---"/>
        <w:ind w:firstLine="432"/>
      </w:pPr>
      <w:r w:rsidRPr="00D90887">
        <w:rPr>
          <w:spacing w:val="-12"/>
        </w:rPr>
        <w:t>第</w:t>
      </w:r>
      <w:r w:rsidRPr="00AC77DF">
        <w:t>1</w:t>
      </w:r>
      <w:r w:rsidRPr="00D90887">
        <w:rPr>
          <w:spacing w:val="-12"/>
        </w:rPr>
        <w:t>4</w:t>
      </w:r>
      <w:r w:rsidRPr="00AC77DF">
        <w:t>號一般性意見認為，經濟社會文化權利國際公約</w:t>
      </w:r>
      <w:r w:rsidRPr="00D90887">
        <w:rPr>
          <w:spacing w:val="-12"/>
        </w:rPr>
        <w:t>第</w:t>
      </w:r>
      <w:r w:rsidRPr="00AC77DF">
        <w:t>12</w:t>
      </w:r>
      <w:r w:rsidRPr="00AC77DF">
        <w:t>條第</w:t>
      </w:r>
      <w:r w:rsidRPr="00AC77DF">
        <w:t>1</w:t>
      </w:r>
      <w:r w:rsidRPr="00AC77DF">
        <w:t>項所述「享受可能達到之最高標準之身體與精神健康</w:t>
      </w:r>
      <w:r w:rsidRPr="00D90887">
        <w:rPr>
          <w:spacing w:val="-30"/>
        </w:rPr>
        <w:t>」</w:t>
      </w:r>
      <w:r w:rsidRPr="00AC77DF">
        <w:t>，並不限於得到健康照顧的權利。相反，健康權包括多方面的社會經濟因素，促進使人民可以享有健康生活的條件，包括各種健康的基本決定因素，如食物和營養、住房、使用安全飲水和得到適當的衛生條件、安全而有益健康的工作條件和有益健康的環境。此外，享有健康權，不應理解為身體健康的權利。健康權既包括自由，也包括權利。自由包括掌握自己健康和身體的權利，包括性和生育上的自由，以及不受干擾的權利，如不受酷刑、未經同意強行治療和試驗的權利。另一方面，應該享有的權利包括參加健康保護制度的權利，該套制度能夠為人民提供平等的機會，享有可達到最高水準的健康。</w:t>
      </w:r>
    </w:p>
    <w:p w:rsidR="003807A5" w:rsidRPr="00AC77DF" w:rsidRDefault="003807A5" w:rsidP="00B7222B">
      <w:pPr>
        <w:pStyle w:val="1---"/>
        <w:ind w:firstLine="480"/>
      </w:pPr>
      <w:r w:rsidRPr="00AC77DF">
        <w:t>該一般性意見闡釋健康權的各種形式和層次，其具體實施將取決於締約國的實際條件，包括：</w:t>
      </w:r>
    </w:p>
    <w:p w:rsidR="003807A5" w:rsidRPr="00AC77DF" w:rsidRDefault="003807A5" w:rsidP="00D90887">
      <w:pPr>
        <w:pStyle w:val="1---"/>
        <w:ind w:left="480" w:hangingChars="200" w:hanging="480"/>
      </w:pPr>
      <w:r w:rsidRPr="00AC77DF">
        <w:t>一</w:t>
      </w:r>
      <w:r w:rsidR="00D90887">
        <w:rPr>
          <w:rFonts w:hint="eastAsia"/>
          <w:lang w:eastAsia="zh-TW"/>
        </w:rPr>
        <w:t>、</w:t>
      </w:r>
      <w:r w:rsidRPr="00AC77DF">
        <w:t>可提供性。締約國境內必須有足夠數量的、行之有效的公共衛生和健康照顧設施、商品和服務以及計畫。這些設施</w:t>
      </w:r>
      <w:r w:rsidRPr="00AC77DF">
        <w:lastRenderedPageBreak/>
        <w:t>、商品和服務的具體性質，會因各種因素而有所不同，包括締約國的發展水準。但它們應包括一些基本的衛生要素，如安全和清潔的飲水、適當的衛生設施、醫院、診所和其他健康相關的建築、經過培訓工資收入在國內具有競爭力的醫務和專業人員，和世界衛生組織必需藥品行動綱領規定的必需藥品。</w:t>
      </w:r>
    </w:p>
    <w:p w:rsidR="003807A5" w:rsidRPr="00AC77DF" w:rsidRDefault="003807A5" w:rsidP="00D90887">
      <w:pPr>
        <w:pStyle w:val="1---"/>
        <w:ind w:left="480" w:hangingChars="200" w:hanging="480"/>
      </w:pPr>
      <w:r w:rsidRPr="00AC77DF">
        <w:t>二</w:t>
      </w:r>
      <w:r w:rsidR="00D90887">
        <w:rPr>
          <w:rFonts w:hint="eastAsia"/>
          <w:lang w:eastAsia="zh-TW"/>
        </w:rPr>
        <w:t>、</w:t>
      </w:r>
      <w:r w:rsidRPr="00AC77DF">
        <w:t>易取得性。締約國管轄範圍內的健康設施、商品和服務，必須提供給所有人，不得歧視。此包含下列四個相關的概念：</w:t>
      </w:r>
    </w:p>
    <w:p w:rsidR="003807A5" w:rsidRPr="00AC77DF" w:rsidRDefault="000E22D5" w:rsidP="00D90887">
      <w:pPr>
        <w:pStyle w:val="1---"/>
        <w:ind w:leftChars="200" w:left="720" w:hangingChars="100" w:hanging="240"/>
      </w:pPr>
      <w:r>
        <w:rPr>
          <w:rFonts w:hint="eastAsia"/>
          <w:lang w:eastAsia="zh-TW"/>
        </w:rPr>
        <w:t>1.</w:t>
      </w:r>
      <w:r w:rsidR="00D90887">
        <w:rPr>
          <w:rFonts w:hint="eastAsia"/>
          <w:lang w:eastAsia="zh-TW"/>
        </w:rPr>
        <w:tab/>
      </w:r>
      <w:r w:rsidR="003807A5" w:rsidRPr="00AC77DF">
        <w:t>不歧視：健康設施、商品和服務必須在法律和實際上提供給所有人，特別是人口中最脆弱的部分和邊緣群體，不得以任何禁止的理由加以歧視。</w:t>
      </w:r>
      <w:r w:rsidR="003807A5" w:rsidRPr="00AC77DF">
        <w:t xml:space="preserve"> </w:t>
      </w:r>
    </w:p>
    <w:p w:rsidR="003807A5" w:rsidRPr="00AC77DF" w:rsidRDefault="000E22D5" w:rsidP="00D90887">
      <w:pPr>
        <w:pStyle w:val="1---"/>
        <w:ind w:leftChars="200" w:left="720" w:hangingChars="100" w:hanging="240"/>
      </w:pPr>
      <w:r>
        <w:rPr>
          <w:rFonts w:hint="eastAsia"/>
          <w:lang w:eastAsia="zh-TW"/>
        </w:rPr>
        <w:t>2.</w:t>
      </w:r>
      <w:r w:rsidR="00D90887">
        <w:rPr>
          <w:rFonts w:hint="eastAsia"/>
          <w:lang w:eastAsia="zh-TW"/>
        </w:rPr>
        <w:tab/>
      </w:r>
      <w:r w:rsidR="003807A5" w:rsidRPr="00AC77DF">
        <w:t>實際獲得的條件：健康設施、商品和服務，必須是各部分人口能夠安全、實際獲得的，特別是脆弱群體和邊緣群體，如少數民族和原住民、婦女、兒童、青少年、老年人、身心障礙者和</w:t>
      </w:r>
      <w:r w:rsidR="003807A5" w:rsidRPr="0025002C">
        <w:t>HIV</w:t>
      </w:r>
      <w:r w:rsidR="003807A5" w:rsidRPr="00AC77DF">
        <w:t>感染者／愛滋病患。獲得的條件包括</w:t>
      </w:r>
      <w:r w:rsidR="003272B4" w:rsidRPr="00D90887">
        <w:rPr>
          <w:spacing w:val="-30"/>
        </w:rPr>
        <w:t>：</w:t>
      </w:r>
      <w:r w:rsidR="003272B4">
        <w:t>（</w:t>
      </w:r>
      <w:r w:rsidR="003272B4">
        <w:t>1</w:t>
      </w:r>
      <w:r w:rsidR="003272B4">
        <w:t>）</w:t>
      </w:r>
      <w:r w:rsidR="003807A5" w:rsidRPr="00AC77DF">
        <w:t>能夠安全、確實得到醫療服務和基本的健康要素，如安全和潔淨的飲水、適當的衛生設施等，包括農村地區</w:t>
      </w:r>
      <w:r w:rsidR="003807A5" w:rsidRPr="00D90887">
        <w:rPr>
          <w:spacing w:val="-30"/>
        </w:rPr>
        <w:t>。</w:t>
      </w:r>
      <w:r w:rsidR="003272B4">
        <w:t>（</w:t>
      </w:r>
      <w:r w:rsidR="003272B4">
        <w:t>2</w:t>
      </w:r>
      <w:r w:rsidR="003272B4">
        <w:t>）</w:t>
      </w:r>
      <w:r w:rsidR="003807A5" w:rsidRPr="00AC77DF">
        <w:t>建築物為</w:t>
      </w:r>
      <w:r w:rsidR="003272B4" w:rsidRPr="00AC77DF">
        <w:t>身心障礙者</w:t>
      </w:r>
      <w:r w:rsidR="003807A5" w:rsidRPr="00AC77DF">
        <w:t>配備適當的進入條件。</w:t>
      </w:r>
    </w:p>
    <w:p w:rsidR="003807A5" w:rsidRPr="00AC77DF" w:rsidRDefault="000E22D5" w:rsidP="00D90887">
      <w:pPr>
        <w:pStyle w:val="1---"/>
        <w:ind w:leftChars="200" w:left="720" w:hangingChars="100" w:hanging="240"/>
      </w:pPr>
      <w:r>
        <w:rPr>
          <w:rFonts w:hint="eastAsia"/>
          <w:lang w:eastAsia="zh-TW"/>
        </w:rPr>
        <w:t>3.</w:t>
      </w:r>
      <w:r w:rsidR="00D90887">
        <w:rPr>
          <w:rFonts w:hint="eastAsia"/>
          <w:lang w:eastAsia="zh-TW"/>
        </w:rPr>
        <w:tab/>
      </w:r>
      <w:r w:rsidR="003807A5" w:rsidRPr="00AC77DF">
        <w:t>經濟上的獲得條件（可支付</w:t>
      </w:r>
      <w:r w:rsidR="003807A5" w:rsidRPr="00D90887">
        <w:rPr>
          <w:spacing w:val="-30"/>
        </w:rPr>
        <w:t>）</w:t>
      </w:r>
      <w:r w:rsidR="003807A5" w:rsidRPr="00AC77DF">
        <w:t>：健康設施、商品和服務必須是所有人能夠負擔的。健康照顧服務以及與基本健康要素有關的服務，收費必須建立在平等原則的基礎上，保證這些服務不論是私人還是國家提供的，應是所有人都能負擔得起的，包括社會處境不利的群體。公平要</w:t>
      </w:r>
      <w:r w:rsidR="003807A5" w:rsidRPr="00AC77DF">
        <w:lastRenderedPageBreak/>
        <w:t>求較貧困的家庭與較富裕的家庭相比不應在健康開支上負擔過重。</w:t>
      </w:r>
    </w:p>
    <w:p w:rsidR="003807A5" w:rsidRPr="00AC77DF" w:rsidRDefault="000E22D5" w:rsidP="00D90887">
      <w:pPr>
        <w:pStyle w:val="1---"/>
        <w:ind w:leftChars="200" w:left="720" w:hangingChars="100" w:hanging="240"/>
      </w:pPr>
      <w:r>
        <w:rPr>
          <w:rFonts w:hint="eastAsia"/>
          <w:lang w:eastAsia="zh-TW"/>
        </w:rPr>
        <w:t>4.</w:t>
      </w:r>
      <w:r w:rsidR="00D90887">
        <w:rPr>
          <w:rFonts w:hint="eastAsia"/>
          <w:lang w:eastAsia="zh-TW"/>
        </w:rPr>
        <w:tab/>
      </w:r>
      <w:r w:rsidR="003807A5" w:rsidRPr="00AC77DF">
        <w:t>獲得資訊的條件：包括搜尋、接收和傳播有關衛生問題的資訊和意見的權利。然而，獲得資訊的條件不應損害個人健康資料保密的權利。</w:t>
      </w:r>
    </w:p>
    <w:p w:rsidR="003807A5" w:rsidRPr="00AC77DF" w:rsidRDefault="003807A5" w:rsidP="00D90887">
      <w:pPr>
        <w:pStyle w:val="1---"/>
        <w:ind w:left="480" w:hangingChars="200" w:hanging="480"/>
      </w:pPr>
      <w:r w:rsidRPr="00AC77DF">
        <w:t>三</w:t>
      </w:r>
      <w:r w:rsidR="00D90887">
        <w:rPr>
          <w:rFonts w:hint="eastAsia"/>
          <w:lang w:eastAsia="zh-TW"/>
        </w:rPr>
        <w:t>、</w:t>
      </w:r>
      <w:r w:rsidRPr="00AC77DF">
        <w:t>可接受性。所有衛生設施、商品和服務，必須遵守醫務職業道德，在文化上是適當的，即尊重個人、少數群體、人民和群體的文化，對性別和生活週期的需要保持敏感，遵守保密的規定，和改善有關個人和團體的健康狀況。</w:t>
      </w:r>
    </w:p>
    <w:p w:rsidR="003807A5" w:rsidRPr="00AC77DF" w:rsidRDefault="003807A5" w:rsidP="00D90887">
      <w:pPr>
        <w:pStyle w:val="1---"/>
        <w:ind w:left="480" w:hangingChars="200" w:hanging="480"/>
      </w:pPr>
      <w:r w:rsidRPr="00AC77DF">
        <w:t>四</w:t>
      </w:r>
      <w:r w:rsidR="00D90887">
        <w:rPr>
          <w:rFonts w:hint="eastAsia"/>
          <w:lang w:eastAsia="zh-TW"/>
        </w:rPr>
        <w:t>、</w:t>
      </w:r>
      <w:r w:rsidRPr="00AC77DF">
        <w:t>品質。衛生設施、商品和服務不僅應在文化上是可以接受的，而且必須在科學和醫學上是適當和高品質的。尤其應有熟練的醫護人員、在科學上經證實、沒有過期的藥品、醫院設備、安全和潔淨的飲水、及適當的衛生條件。</w:t>
      </w:r>
    </w:p>
    <w:p w:rsidR="003807A5" w:rsidRPr="00AC77DF" w:rsidRDefault="003807A5" w:rsidP="00B7222B">
      <w:pPr>
        <w:pStyle w:val="1---"/>
        <w:ind w:firstLine="480"/>
      </w:pPr>
      <w:r w:rsidRPr="00AC77DF">
        <w:t>與經濟社會文化權利國際公約中的所有其他權利一樣，一個重要的假定是，不允許在健康權上採取倒退措施。如果蓄意採取了任何倒退措施，締約國必須證明，有關措施是在認真權衡所有其他選擇之後提出的，而且從經濟社會文化權利國際公約規定的所有權利角度講，為了充分利用締約國最大限度可資利用的資源，採取這些措施是完全有理由的。</w:t>
      </w:r>
      <w:r w:rsidRPr="00AC77DF">
        <w:t xml:space="preserve"> </w:t>
      </w:r>
    </w:p>
    <w:p w:rsidR="003807A5" w:rsidRDefault="003807A5" w:rsidP="00B7222B">
      <w:pPr>
        <w:pStyle w:val="1---"/>
        <w:ind w:firstLine="480"/>
        <w:rPr>
          <w:lang w:eastAsia="zh-TW"/>
        </w:rPr>
      </w:pPr>
      <w:r w:rsidRPr="00AC77DF">
        <w:t>我國憲法第</w:t>
      </w:r>
      <w:r w:rsidRPr="00AC77DF">
        <w:t>157</w:t>
      </w:r>
      <w:r w:rsidRPr="00AC77DF">
        <w:t>條規定</w:t>
      </w:r>
      <w:r w:rsidRPr="00D90887">
        <w:rPr>
          <w:spacing w:val="-30"/>
        </w:rPr>
        <w:t>：</w:t>
      </w:r>
      <w:r w:rsidRPr="00AC77DF">
        <w:t>「國家為增進民族健康，應普遍推行衛生保健事業及公醫制度</w:t>
      </w:r>
      <w:r w:rsidRPr="00D90887">
        <w:rPr>
          <w:spacing w:val="-30"/>
        </w:rPr>
        <w:t>。</w:t>
      </w:r>
      <w:r w:rsidRPr="00AC77DF">
        <w:t>」憲法增修條文第</w:t>
      </w:r>
      <w:r w:rsidRPr="00AC77DF">
        <w:t>10</w:t>
      </w:r>
      <w:r w:rsidRPr="00AC77DF">
        <w:t>條第</w:t>
      </w:r>
      <w:r w:rsidRPr="00AC77DF">
        <w:t>5</w:t>
      </w:r>
      <w:r w:rsidRPr="00AC77DF">
        <w:t>項規定</w:t>
      </w:r>
      <w:r w:rsidRPr="00D90887">
        <w:rPr>
          <w:spacing w:val="-30"/>
        </w:rPr>
        <w:t>：</w:t>
      </w:r>
      <w:r w:rsidRPr="00AC77DF">
        <w:t>「國家應推行全民健康保險，並促進現代和傳統醫藥之研究發展</w:t>
      </w:r>
      <w:r w:rsidRPr="00D90887">
        <w:rPr>
          <w:spacing w:val="-30"/>
        </w:rPr>
        <w:t>」</w:t>
      </w:r>
      <w:r w:rsidRPr="00AC77DF">
        <w:t>、第</w:t>
      </w:r>
      <w:r w:rsidRPr="00AC77DF">
        <w:t>7</w:t>
      </w:r>
      <w:r w:rsidRPr="00AC77DF">
        <w:t>項</w:t>
      </w:r>
      <w:r w:rsidRPr="00D90887">
        <w:rPr>
          <w:spacing w:val="-30"/>
        </w:rPr>
        <w:t>：</w:t>
      </w:r>
      <w:r w:rsidRPr="00AC77DF">
        <w:t>「國家對於身心障礙者之保險與就醫、無障礙環境之建構、教育訓練與就業輔導及生活維護與救助，應予保障，並扶助其自立與發展</w:t>
      </w:r>
      <w:r w:rsidRPr="00D90887">
        <w:rPr>
          <w:spacing w:val="-30"/>
        </w:rPr>
        <w:t>」</w:t>
      </w:r>
      <w:r w:rsidRPr="00AC77DF">
        <w:t>。上開條文已明確指出，我國</w:t>
      </w:r>
      <w:r w:rsidRPr="00AC77DF">
        <w:lastRenderedPageBreak/>
        <w:t>政府對於人民有醫療照護之責任。</w:t>
      </w:r>
    </w:p>
    <w:p w:rsidR="00252036" w:rsidRDefault="00252036" w:rsidP="00B7222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2717"/>
      </w:tblGrid>
      <w:tr w:rsidR="00252036" w:rsidTr="00D90887">
        <w:tc>
          <w:tcPr>
            <w:tcW w:w="2717" w:type="dxa"/>
            <w:shd w:val="clear" w:color="auto" w:fill="D9D9D9" w:themeFill="background1" w:themeFillShade="D9"/>
          </w:tcPr>
          <w:p w:rsidR="00252036" w:rsidRDefault="00252036" w:rsidP="00252036">
            <w:pPr>
              <w:pStyle w:val="11-"/>
              <w:spacing w:before="72" w:after="108"/>
              <w:rPr>
                <w:lang w:val="en-US" w:eastAsia="zh-TW"/>
              </w:rPr>
            </w:pPr>
            <w:bookmarkStart w:id="345" w:name="_Toc535228376"/>
            <w:bookmarkStart w:id="346" w:name="_Toc4058787"/>
            <w:r w:rsidRPr="00AC77DF">
              <w:t>兒童視力保健計畫</w:t>
            </w:r>
            <w:bookmarkEnd w:id="345"/>
            <w:bookmarkEnd w:id="346"/>
          </w:p>
        </w:tc>
      </w:tr>
    </w:tbl>
    <w:p w:rsidR="00252036" w:rsidRPr="00AC77DF" w:rsidRDefault="00252036" w:rsidP="00B7222B">
      <w:pPr>
        <w:pStyle w:val="1---"/>
        <w:ind w:firstLine="480"/>
        <w:rPr>
          <w:lang w:val="en-US" w:eastAsia="zh-TW"/>
        </w:rPr>
      </w:pPr>
    </w:p>
    <w:tbl>
      <w:tblPr>
        <w:tblW w:w="4673" w:type="pct"/>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402"/>
      </w:tblGrid>
      <w:tr w:rsidR="003807A5" w:rsidRPr="00AC77DF" w:rsidTr="004B1F95">
        <w:trPr>
          <w:trHeight w:val="2608"/>
        </w:trPr>
        <w:tc>
          <w:tcPr>
            <w:tcW w:w="5000" w:type="pct"/>
          </w:tcPr>
          <w:bookmarkEnd w:id="343"/>
          <w:p w:rsidR="003807A5" w:rsidRPr="00AC77DF" w:rsidRDefault="003807A5" w:rsidP="00D90887">
            <w:pPr>
              <w:spacing w:line="360" w:lineRule="exact"/>
              <w:jc w:val="both"/>
              <w:rPr>
                <w:lang w:val="x-none"/>
              </w:rPr>
            </w:pPr>
            <w:r w:rsidRPr="00AC77DF">
              <w:rPr>
                <w:b/>
                <w:lang w:val="x-none"/>
              </w:rPr>
              <w:t>相關國際人權公約：</w:t>
            </w:r>
            <w:r w:rsidRPr="00AC77DF">
              <w:t>經濟社會文化權利國際公約第</w:t>
            </w:r>
            <w:r w:rsidRPr="00AC77DF">
              <w:t>10</w:t>
            </w:r>
            <w:r w:rsidRPr="00AC77DF">
              <w:t>條、第</w:t>
            </w:r>
            <w:r w:rsidRPr="00AC77DF">
              <w:t>12</w:t>
            </w:r>
            <w:r w:rsidRPr="00AC77DF">
              <w:t>條、兒童權利公約第</w:t>
            </w:r>
            <w:r w:rsidRPr="00AC77DF">
              <w:t>24</w:t>
            </w:r>
            <w:r w:rsidRPr="00AC77DF">
              <w:t>條</w:t>
            </w:r>
          </w:p>
          <w:p w:rsidR="003807A5" w:rsidRPr="00AC77DF" w:rsidRDefault="003807A5" w:rsidP="00D90887">
            <w:pPr>
              <w:spacing w:line="360" w:lineRule="exact"/>
              <w:jc w:val="both"/>
              <w:rPr>
                <w:b/>
                <w:lang w:val="x-none"/>
              </w:rPr>
            </w:pPr>
            <w:r w:rsidRPr="00AC77DF">
              <w:rPr>
                <w:b/>
              </w:rPr>
              <w:t>兒童權利公約第</w:t>
            </w:r>
            <w:r w:rsidRPr="00AC77DF">
              <w:rPr>
                <w:b/>
              </w:rPr>
              <w:t>24</w:t>
            </w:r>
            <w:r w:rsidRPr="00AC77DF">
              <w:rPr>
                <w:b/>
              </w:rPr>
              <w:t>條</w:t>
            </w:r>
          </w:p>
          <w:p w:rsidR="003807A5" w:rsidRPr="00AC77DF" w:rsidRDefault="003807A5" w:rsidP="00D90887">
            <w:pPr>
              <w:spacing w:line="360" w:lineRule="exact"/>
              <w:ind w:left="480" w:hangingChars="200" w:hanging="480"/>
              <w:jc w:val="both"/>
              <w:rPr>
                <w:lang w:val="x-none"/>
              </w:rPr>
            </w:pPr>
            <w:r w:rsidRPr="00AC77DF">
              <w:rPr>
                <w:lang w:val="x-none"/>
              </w:rPr>
              <w:t>一、締約國確認兒童有權享有最高可達水準之健康，與促進疾病治療以及恢復健康之權利。締約國應努力確保所有兒童享有健康照護服務之權利不遭受剝奪。</w:t>
            </w:r>
          </w:p>
          <w:p w:rsidR="003807A5" w:rsidRPr="00AC77DF" w:rsidRDefault="003807A5" w:rsidP="00D90887">
            <w:pPr>
              <w:spacing w:line="360" w:lineRule="exact"/>
              <w:ind w:left="480" w:hangingChars="200" w:hanging="480"/>
              <w:jc w:val="both"/>
              <w:rPr>
                <w:lang w:val="x-none"/>
              </w:rPr>
            </w:pPr>
            <w:r w:rsidRPr="00AC77DF">
              <w:rPr>
                <w:lang w:val="x-none"/>
              </w:rPr>
              <w:t>二、締約國應致力於充分執行此權利，並應特別針對下列事項採取適當之措施：</w:t>
            </w:r>
          </w:p>
          <w:p w:rsidR="003807A5" w:rsidRPr="00AC77DF" w:rsidRDefault="00D90887" w:rsidP="00D90887">
            <w:pPr>
              <w:spacing w:line="360" w:lineRule="exact"/>
              <w:jc w:val="both"/>
              <w:rPr>
                <w:lang w:val="x-none"/>
              </w:rPr>
            </w:pPr>
            <w:r>
              <w:rPr>
                <w:rFonts w:hint="eastAsia"/>
                <w:lang w:val="x-none"/>
              </w:rPr>
              <w:t xml:space="preserve">　　</w:t>
            </w:r>
            <w:r w:rsidR="003807A5" w:rsidRPr="00AC77DF">
              <w:rPr>
                <w:lang w:val="x-none"/>
              </w:rPr>
              <w:t>(</w:t>
            </w:r>
            <w:r w:rsidR="003807A5" w:rsidRPr="00AC77DF">
              <w:rPr>
                <w:lang w:val="x-none"/>
              </w:rPr>
              <w:t>一</w:t>
            </w:r>
            <w:r w:rsidR="003807A5" w:rsidRPr="00AC77DF">
              <w:rPr>
                <w:lang w:val="x-none"/>
              </w:rPr>
              <w:t>)</w:t>
            </w:r>
            <w:r w:rsidR="003807A5" w:rsidRPr="00AC77DF">
              <w:rPr>
                <w:lang w:val="x-none"/>
              </w:rPr>
              <w:t>降低嬰幼兒之死亡率；</w:t>
            </w:r>
          </w:p>
          <w:p w:rsidR="003807A5" w:rsidRPr="00AC77DF" w:rsidRDefault="00D90887" w:rsidP="00D90887">
            <w:pPr>
              <w:spacing w:line="360" w:lineRule="exact"/>
              <w:ind w:left="905" w:hangingChars="377" w:hanging="905"/>
              <w:jc w:val="both"/>
              <w:rPr>
                <w:lang w:val="x-none"/>
              </w:rPr>
            </w:pPr>
            <w:r>
              <w:rPr>
                <w:rFonts w:hint="eastAsia"/>
                <w:lang w:val="x-none"/>
              </w:rPr>
              <w:t xml:space="preserve">　　</w:t>
            </w:r>
            <w:r w:rsidR="003807A5" w:rsidRPr="00AC77DF">
              <w:rPr>
                <w:lang w:val="x-none"/>
              </w:rPr>
              <w:t>(</w:t>
            </w:r>
            <w:r w:rsidR="003807A5" w:rsidRPr="00AC77DF">
              <w:rPr>
                <w:lang w:val="x-none"/>
              </w:rPr>
              <w:t>二</w:t>
            </w:r>
            <w:r w:rsidR="003807A5" w:rsidRPr="00AC77DF">
              <w:rPr>
                <w:lang w:val="x-none"/>
              </w:rPr>
              <w:t>)</w:t>
            </w:r>
            <w:r w:rsidR="003807A5" w:rsidRPr="00AC77DF">
              <w:rPr>
                <w:lang w:val="x-none"/>
              </w:rPr>
              <w:t>確保提供所有兒童所必須之醫療協助與健康照顧，並強調基礎健康照顧之發展；</w:t>
            </w:r>
          </w:p>
          <w:p w:rsidR="003807A5" w:rsidRPr="00AC77DF" w:rsidRDefault="00D90887" w:rsidP="00D90887">
            <w:pPr>
              <w:spacing w:line="360" w:lineRule="exact"/>
              <w:ind w:left="905" w:hangingChars="377" w:hanging="905"/>
              <w:jc w:val="both"/>
              <w:rPr>
                <w:lang w:val="x-none"/>
              </w:rPr>
            </w:pPr>
            <w:r>
              <w:rPr>
                <w:rFonts w:hint="eastAsia"/>
                <w:lang w:val="x-none"/>
              </w:rPr>
              <w:t xml:space="preserve">　　</w:t>
            </w:r>
            <w:r w:rsidR="003807A5" w:rsidRPr="00AC77DF">
              <w:rPr>
                <w:lang w:val="x-none"/>
              </w:rPr>
              <w:t>(</w:t>
            </w:r>
            <w:r w:rsidR="003807A5" w:rsidRPr="00AC77DF">
              <w:rPr>
                <w:lang w:val="x-none"/>
              </w:rPr>
              <w:t>三</w:t>
            </w:r>
            <w:r w:rsidR="003807A5" w:rsidRPr="00AC77DF">
              <w:rPr>
                <w:lang w:val="x-none"/>
              </w:rPr>
              <w:t>)</w:t>
            </w:r>
            <w:r w:rsidR="003807A5" w:rsidRPr="00AC77DF">
              <w:rPr>
                <w:lang w:val="x-none"/>
              </w:rPr>
              <w:t>消除疾病和營養不良的現象，包括在基礎健康照顧之架構下運用現行技術，以及透過提供適當營養食物和清潔之飲用水，並應考量環境污染之危險與風險；</w:t>
            </w:r>
          </w:p>
          <w:p w:rsidR="003807A5" w:rsidRPr="00AC77DF" w:rsidRDefault="00D90887" w:rsidP="00D90887">
            <w:pPr>
              <w:spacing w:line="360" w:lineRule="exact"/>
              <w:jc w:val="both"/>
              <w:rPr>
                <w:lang w:val="x-none"/>
              </w:rPr>
            </w:pPr>
            <w:r>
              <w:rPr>
                <w:rFonts w:hint="eastAsia"/>
                <w:lang w:val="x-none"/>
              </w:rPr>
              <w:t xml:space="preserve">　　</w:t>
            </w:r>
            <w:r w:rsidR="003807A5" w:rsidRPr="00AC77DF">
              <w:rPr>
                <w:lang w:val="x-none"/>
              </w:rPr>
              <w:t>(</w:t>
            </w:r>
            <w:r w:rsidR="003807A5" w:rsidRPr="00AC77DF">
              <w:rPr>
                <w:lang w:val="x-none"/>
              </w:rPr>
              <w:t>四</w:t>
            </w:r>
            <w:r w:rsidR="003807A5" w:rsidRPr="00AC77DF">
              <w:rPr>
                <w:lang w:val="x-none"/>
              </w:rPr>
              <w:t>)</w:t>
            </w:r>
            <w:r w:rsidR="003807A5" w:rsidRPr="00AC77DF">
              <w:rPr>
                <w:lang w:val="x-none"/>
              </w:rPr>
              <w:t>確保母親得到適當的產前與產後健康照顧；</w:t>
            </w:r>
          </w:p>
          <w:p w:rsidR="003807A5" w:rsidRPr="00D90887" w:rsidRDefault="00D90887" w:rsidP="00D90887">
            <w:pPr>
              <w:spacing w:line="360" w:lineRule="exact"/>
              <w:ind w:left="905" w:hangingChars="377" w:hanging="905"/>
              <w:jc w:val="both"/>
              <w:rPr>
                <w:lang w:val="x-none"/>
              </w:rPr>
            </w:pPr>
            <w:r>
              <w:rPr>
                <w:rFonts w:hint="eastAsia"/>
                <w:lang w:val="x-none"/>
              </w:rPr>
              <w:t xml:space="preserve">　　</w:t>
            </w:r>
            <w:r w:rsidR="003807A5" w:rsidRPr="00AC77DF">
              <w:rPr>
                <w:lang w:val="x-none"/>
              </w:rPr>
              <w:t>(</w:t>
            </w:r>
            <w:r w:rsidR="003807A5" w:rsidRPr="00AC77DF">
              <w:rPr>
                <w:lang w:val="x-none"/>
              </w:rPr>
              <w:t>五</w:t>
            </w:r>
            <w:r w:rsidR="003807A5" w:rsidRPr="00AC77DF">
              <w:rPr>
                <w:lang w:val="x-none"/>
              </w:rPr>
              <w:t>)</w:t>
            </w:r>
            <w:r w:rsidR="003807A5" w:rsidRPr="00D90887">
              <w:rPr>
                <w:lang w:val="x-none"/>
              </w:rPr>
              <w:t>確保社會各階層，尤其是父母與兒童，獲得有關兒童健康和營養、母乳育嬰之優點、個人與環境衛生以及防止意外事故之基本知識之教育並協助該等知識之運用；</w:t>
            </w:r>
          </w:p>
          <w:p w:rsidR="003807A5" w:rsidRPr="00AC77DF" w:rsidRDefault="00D90887" w:rsidP="00D90887">
            <w:pPr>
              <w:spacing w:line="360" w:lineRule="exact"/>
              <w:ind w:left="905" w:hangingChars="377" w:hanging="905"/>
              <w:jc w:val="both"/>
              <w:rPr>
                <w:lang w:val="x-none"/>
              </w:rPr>
            </w:pPr>
            <w:r>
              <w:rPr>
                <w:rFonts w:hint="eastAsia"/>
                <w:lang w:val="x-none"/>
              </w:rPr>
              <w:lastRenderedPageBreak/>
              <w:t xml:space="preserve">　　</w:t>
            </w:r>
            <w:r w:rsidR="003807A5" w:rsidRPr="00AC77DF">
              <w:rPr>
                <w:lang w:val="x-none"/>
              </w:rPr>
              <w:t>(</w:t>
            </w:r>
            <w:r w:rsidR="003807A5" w:rsidRPr="00AC77DF">
              <w:rPr>
                <w:lang w:val="x-none"/>
              </w:rPr>
              <w:t>六</w:t>
            </w:r>
            <w:r w:rsidR="003807A5" w:rsidRPr="00AC77DF">
              <w:rPr>
                <w:lang w:val="x-none"/>
              </w:rPr>
              <w:t>)</w:t>
            </w:r>
            <w:r w:rsidR="003807A5" w:rsidRPr="00AC77DF">
              <w:rPr>
                <w:lang w:val="x-none"/>
              </w:rPr>
              <w:t>發展預防健康照顧、針對父母以及家庭計劃教育與服務之指導方針。</w:t>
            </w:r>
          </w:p>
          <w:p w:rsidR="003807A5" w:rsidRPr="00AC77DF" w:rsidRDefault="003807A5" w:rsidP="00D90887">
            <w:pPr>
              <w:spacing w:line="360" w:lineRule="exact"/>
              <w:ind w:left="480" w:hangingChars="200" w:hanging="480"/>
              <w:jc w:val="both"/>
              <w:rPr>
                <w:lang w:val="x-none"/>
              </w:rPr>
            </w:pPr>
            <w:r w:rsidRPr="00AC77DF">
              <w:rPr>
                <w:lang w:val="x-none"/>
              </w:rPr>
              <w:t>三、締約國應致力採取一切有效與適當之措施，以革除對兒童健康有害之傳統習俗。</w:t>
            </w:r>
          </w:p>
          <w:p w:rsidR="003807A5" w:rsidRPr="00AC77DF" w:rsidRDefault="003807A5" w:rsidP="00D90887">
            <w:pPr>
              <w:spacing w:line="360" w:lineRule="exact"/>
              <w:ind w:left="480" w:hangingChars="200" w:hanging="480"/>
              <w:jc w:val="both"/>
              <w:rPr>
                <w:lang w:val="x-none"/>
              </w:rPr>
            </w:pPr>
            <w:r w:rsidRPr="00AC77DF">
              <w:rPr>
                <w:lang w:val="x-none"/>
              </w:rPr>
              <w:t>四、締約國承諾促進並鼓勵國際合作，以期逐步完全實現本條之權利。關於此，尤應特別考慮發展中國家之需要。</w:t>
            </w:r>
          </w:p>
        </w:tc>
      </w:tr>
    </w:tbl>
    <w:p w:rsidR="003807A5" w:rsidRPr="00AC77DF" w:rsidRDefault="00252036" w:rsidP="004B1F95">
      <w:pPr>
        <w:pStyle w:val="afff1"/>
        <w:spacing w:beforeLines="150" w:before="540" w:after="360"/>
      </w:pPr>
      <w:bookmarkStart w:id="347" w:name="_Toc528942509"/>
      <w:r>
        <w:rPr>
          <w:rFonts w:hint="eastAsia"/>
        </w:rPr>
        <w:lastRenderedPageBreak/>
        <w:t>(一)</w:t>
      </w:r>
      <w:r w:rsidR="003807A5" w:rsidRPr="00AC77DF">
        <w:t>案情簡述</w:t>
      </w:r>
      <w:bookmarkEnd w:id="347"/>
    </w:p>
    <w:p w:rsidR="003807A5" w:rsidRPr="00AC77DF" w:rsidRDefault="003807A5" w:rsidP="00B7222B">
      <w:pPr>
        <w:pStyle w:val="1---"/>
        <w:ind w:firstLine="480"/>
        <w:rPr>
          <w:szCs w:val="24"/>
        </w:rPr>
      </w:pPr>
      <w:r w:rsidRPr="00AC77DF">
        <w:t>我國兒童近視比率居高不下，雖衛福部及教育部已推動兒童視力保健相關計畫，惟成效有限，且跨部會橫向聯繫不足，爰經監察委員立案調查。</w:t>
      </w:r>
    </w:p>
    <w:p w:rsidR="003807A5" w:rsidRPr="00AC77DF" w:rsidRDefault="003F6235" w:rsidP="00FA42B3">
      <w:pPr>
        <w:pStyle w:val="afff1"/>
        <w:spacing w:before="360" w:after="360"/>
      </w:pPr>
      <w:bookmarkStart w:id="348" w:name="_Toc528942510"/>
      <w:r>
        <w:rPr>
          <w:rFonts w:hint="eastAsia"/>
        </w:rPr>
        <w:t>(二)</w:t>
      </w:r>
      <w:r w:rsidR="003807A5" w:rsidRPr="00AC77DF">
        <w:t>監察院調查發現與建議</w:t>
      </w:r>
      <w:bookmarkEnd w:id="348"/>
    </w:p>
    <w:p w:rsidR="003807A5" w:rsidRPr="00AC77DF" w:rsidRDefault="00FD29F8" w:rsidP="00D92DAE">
      <w:pPr>
        <w:pStyle w:val="1--13"/>
        <w:spacing w:before="180" w:after="180"/>
      </w:pPr>
      <w:r w:rsidRPr="008E1832">
        <w:rPr>
          <w:rFonts w:hint="eastAsia"/>
        </w:rPr>
        <w:t>˙</w:t>
      </w:r>
      <w:r w:rsidR="003807A5" w:rsidRPr="00AC77DF">
        <w:t>國小學童近視問題嚴重</w:t>
      </w:r>
    </w:p>
    <w:p w:rsidR="003807A5" w:rsidRPr="00AC77DF" w:rsidRDefault="003807A5" w:rsidP="00B7222B">
      <w:pPr>
        <w:pStyle w:val="1---"/>
        <w:ind w:firstLine="480"/>
        <w:rPr>
          <w:lang w:eastAsia="zh-TW"/>
        </w:rPr>
      </w:pPr>
      <w:r w:rsidRPr="00AC77DF">
        <w:t>研究指出，西元</w:t>
      </w:r>
      <w:r w:rsidRPr="00AC77DF">
        <w:t>2050</w:t>
      </w:r>
      <w:r w:rsidRPr="00AC77DF">
        <w:t>年全球近</w:t>
      </w:r>
      <w:r w:rsidRPr="00AC77DF">
        <w:t>100</w:t>
      </w:r>
      <w:r w:rsidRPr="00AC77DF">
        <w:t>億人口中，將有</w:t>
      </w:r>
      <w:r w:rsidRPr="00AC77DF">
        <w:t>50</w:t>
      </w:r>
      <w:r w:rsidRPr="00AC77DF">
        <w:t>億人口近視，其中五分之一（</w:t>
      </w:r>
      <w:r w:rsidRPr="00AC77DF">
        <w:t>10</w:t>
      </w:r>
      <w:r w:rsidRPr="00AC77DF">
        <w:t>億人口）因高度近視而有失明風險，全球將進入近視失明潮。因此呼籲世界各國應重視近視之預防及宣導。青少年的近視通常起始於</w:t>
      </w:r>
      <w:r w:rsidRPr="00AC77DF">
        <w:t>6</w:t>
      </w:r>
      <w:r w:rsidRPr="00AC77DF">
        <w:t>至</w:t>
      </w:r>
      <w:r w:rsidRPr="00AC77DF">
        <w:t>8</w:t>
      </w:r>
      <w:r w:rsidRPr="00AC77DF">
        <w:t>歲，鑑於我國國小學童近視問題嚴重，教育部及衛福部現雖已將近視引發失明之實證醫學納為宣導內容，惟宣導對象及範圍仍屬有限，有待</w:t>
      </w:r>
      <w:r w:rsidRPr="00AC77DF">
        <w:lastRenderedPageBreak/>
        <w:t>強化及精進。</w:t>
      </w:r>
    </w:p>
    <w:p w:rsidR="003807A5" w:rsidRPr="00AC77DF" w:rsidRDefault="003807A5" w:rsidP="00B7222B">
      <w:pPr>
        <w:pStyle w:val="1---"/>
        <w:ind w:firstLine="480"/>
        <w:rPr>
          <w:lang w:eastAsia="zh-TW"/>
        </w:rPr>
      </w:pPr>
      <w:r w:rsidRPr="00AC77DF">
        <w:t>教育部對於課後照顧中心學童之近視防治，目前僅提出強化照顧服務人員相關教育訓練之建議，欠缺具體有效因應方案。各直轄市、縣（市）政府對於學童課後照顧中心之規定，缺乏針對學童護眼的規範，肇致學童於侷限之室內持續用眼，加深近視問題。</w:t>
      </w:r>
    </w:p>
    <w:p w:rsidR="003807A5" w:rsidRPr="00AC77DF" w:rsidRDefault="00FD29F8" w:rsidP="00D92DAE">
      <w:pPr>
        <w:pStyle w:val="1--13"/>
        <w:spacing w:before="180" w:after="180"/>
      </w:pPr>
      <w:r w:rsidRPr="008E1832">
        <w:rPr>
          <w:rFonts w:hint="eastAsia"/>
        </w:rPr>
        <w:t>˙</w:t>
      </w:r>
      <w:r w:rsidR="003807A5" w:rsidRPr="00AC77DF">
        <w:t>檢查項目應與時俱進</w:t>
      </w:r>
    </w:p>
    <w:p w:rsidR="003807A5" w:rsidRPr="00AC77DF" w:rsidRDefault="003807A5" w:rsidP="00B7222B">
      <w:pPr>
        <w:pStyle w:val="1---"/>
        <w:ind w:firstLine="480"/>
        <w:rPr>
          <w:lang w:eastAsia="zh-TW"/>
        </w:rPr>
      </w:pPr>
      <w:r w:rsidRPr="00AC77DF">
        <w:t>衛福部對</w:t>
      </w:r>
      <w:r w:rsidRPr="00AC77DF">
        <w:t>7</w:t>
      </w:r>
      <w:r w:rsidRPr="00AC77DF">
        <w:t>歲以下兒童視力檢查的保健服務仍沿用</w:t>
      </w:r>
      <w:r w:rsidRPr="00AC77DF">
        <w:t>84</w:t>
      </w:r>
      <w:r w:rsidRPr="00AC77DF">
        <w:t>年所訂定的檢查項目，無法因應兒童嗜愛使用電子產品之現況而適時因應趨勢採滾動式的調整。此外，嬰幼兒的視力保健，</w:t>
      </w:r>
      <w:r w:rsidRPr="00D90887">
        <w:rPr>
          <w:spacing w:val="-14"/>
        </w:rPr>
        <w:t>在</w:t>
      </w:r>
      <w:r w:rsidRPr="00AC77DF">
        <w:t>3C</w:t>
      </w:r>
      <w:r w:rsidRPr="00AC77DF">
        <w:t>產品如此發達情況下，衛福部雖將之納入「托嬰中心評鑑作業」及「托育人員在職訓練課程實施計畫</w:t>
      </w:r>
      <w:r w:rsidRPr="00D90887">
        <w:rPr>
          <w:spacing w:val="-30"/>
        </w:rPr>
        <w:t>」</w:t>
      </w:r>
      <w:r w:rsidRPr="00AC77DF">
        <w:t>，然均非必評及必修項目，且嬰幼兒視力保健常識占建議修習課程之比率低，有待提升。</w:t>
      </w:r>
    </w:p>
    <w:p w:rsidR="003807A5" w:rsidRPr="00AC77DF" w:rsidRDefault="00FD29F8" w:rsidP="00D92DAE">
      <w:pPr>
        <w:pStyle w:val="1--13"/>
        <w:spacing w:before="180" w:after="180"/>
      </w:pPr>
      <w:r w:rsidRPr="008E1832">
        <w:rPr>
          <w:rFonts w:hint="eastAsia"/>
        </w:rPr>
        <w:t>˙</w:t>
      </w:r>
      <w:r w:rsidR="003807A5" w:rsidRPr="00AC77DF">
        <w:t>強化親職視力教育</w:t>
      </w:r>
    </w:p>
    <w:p w:rsidR="003807A5" w:rsidRPr="00AC77DF" w:rsidRDefault="003807A5" w:rsidP="00B7222B">
      <w:pPr>
        <w:pStyle w:val="1---"/>
        <w:ind w:firstLine="480"/>
        <w:rPr>
          <w:lang w:eastAsia="zh-TW"/>
        </w:rPr>
      </w:pPr>
      <w:r w:rsidRPr="00AC77DF">
        <w:t>教育部既已認同兒童視力健康屬家庭教育之範圍，且開始著手督導各直轄市、縣（市）政府利用辦理家庭教育課程、活動及親職教育時，將孩童近視防治問題納為宣導教育內容，自應持續付諸執行，強化家庭功能，共同維護孩童視力健康。</w:t>
      </w:r>
    </w:p>
    <w:p w:rsidR="003807A5" w:rsidRPr="00AC77DF" w:rsidRDefault="00FD29F8" w:rsidP="00D92DAE">
      <w:pPr>
        <w:pStyle w:val="1--13"/>
        <w:spacing w:before="180" w:after="180"/>
      </w:pPr>
      <w:r w:rsidRPr="008E1832">
        <w:rPr>
          <w:rFonts w:hint="eastAsia"/>
        </w:rPr>
        <w:t>˙</w:t>
      </w:r>
      <w:r w:rsidR="003807A5" w:rsidRPr="00AC77DF">
        <w:t>建立近視監測系統</w:t>
      </w:r>
    </w:p>
    <w:p w:rsidR="003807A5" w:rsidRPr="00AC77DF" w:rsidRDefault="003807A5" w:rsidP="00B7222B">
      <w:pPr>
        <w:pStyle w:val="1---"/>
        <w:ind w:firstLine="480"/>
        <w:rPr>
          <w:lang w:eastAsia="zh-TW"/>
        </w:rPr>
      </w:pPr>
      <w:r w:rsidRPr="00AC77DF">
        <w:t>衛福部國健署辦理「兒童青少年視力監測調查計畫</w:t>
      </w:r>
      <w:r w:rsidRPr="00D90887">
        <w:rPr>
          <w:spacing w:val="-30"/>
        </w:rPr>
        <w:t>」</w:t>
      </w:r>
      <w:r w:rsidRPr="00AC77DF">
        <w:t>，首次將調查對象擴及學齡前兒童，新增</w:t>
      </w:r>
      <w:r w:rsidRPr="00AC77DF">
        <w:t>3</w:t>
      </w:r>
      <w:r w:rsidRPr="00AC77DF">
        <w:t>歲至</w:t>
      </w:r>
      <w:r w:rsidRPr="00AC77DF">
        <w:t>5</w:t>
      </w:r>
      <w:r w:rsidRPr="00AC77DF">
        <w:t>歲兒童之近視監</w:t>
      </w:r>
      <w:r w:rsidRPr="00AC77DF">
        <w:lastRenderedPageBreak/>
        <w:t>測，此因應現今學齡前兒童接觸電子產品機率大增之趨勢，滾動檢討相關計畫之作為，足資肯定。惟原</w:t>
      </w:r>
      <w:r w:rsidRPr="00AC77DF">
        <w:t>101</w:t>
      </w:r>
      <w:r w:rsidRPr="00AC77DF">
        <w:t>年規劃辦理建立全人口監測系統，卻因招標不順，故對象限縮至</w:t>
      </w:r>
      <w:r w:rsidRPr="00AC77DF">
        <w:t>3</w:t>
      </w:r>
      <w:r w:rsidRPr="00AC77DF">
        <w:t>至</w:t>
      </w:r>
      <w:r w:rsidRPr="00AC77DF">
        <w:t>18</w:t>
      </w:r>
      <w:r w:rsidRPr="00AC77DF">
        <w:t>歲年齡層之兒童，至今我國仍缺乏全人口之完整圖像與危險因子深入之分析，衛福部應探究流標原因，及早建置全人口近視監測系統。</w:t>
      </w:r>
    </w:p>
    <w:p w:rsidR="003807A5" w:rsidRPr="00AC77DF" w:rsidRDefault="00FD29F8" w:rsidP="00D92DAE">
      <w:pPr>
        <w:pStyle w:val="1--13"/>
        <w:spacing w:before="180" w:after="180"/>
      </w:pPr>
      <w:r w:rsidRPr="008E1832">
        <w:rPr>
          <w:rFonts w:hint="eastAsia"/>
        </w:rPr>
        <w:t>˙</w:t>
      </w:r>
      <w:r w:rsidR="003807A5" w:rsidRPr="00AC77DF">
        <w:t>推動近視防治</w:t>
      </w:r>
    </w:p>
    <w:p w:rsidR="003807A5" w:rsidRPr="00AC77DF" w:rsidRDefault="003807A5" w:rsidP="00B7222B">
      <w:pPr>
        <w:pStyle w:val="1---"/>
        <w:ind w:firstLine="480"/>
      </w:pPr>
      <w:r w:rsidRPr="00AC77DF">
        <w:t>臺北市及新北市政府鑑於學童近視問題嚴重，為及時守護學童視力健康，主動推行學童近視防治相關措施，對於已近視之學童，則進行轉介矯治與追蹤管理，避免造成孩童一生的健康缺憾。雙北市政府之積極作為，值得推廣。為接軌國際對視力保健之推動，衛福部宜擷取二市府及國外經驗，檢討研議有效政策及配置相關經費，積極輔導各縣</w:t>
      </w:r>
      <w:r w:rsidR="00876D4C">
        <w:t>（</w:t>
      </w:r>
      <w:r w:rsidRPr="00AC77DF">
        <w:t>市）共</w:t>
      </w:r>
      <w:r w:rsidR="00876D4C">
        <w:rPr>
          <w:rFonts w:hint="eastAsia"/>
        </w:rPr>
        <w:t>同</w:t>
      </w:r>
      <w:r w:rsidRPr="00AC77DF">
        <w:t>維護學童之視力健康權益。</w:t>
      </w:r>
    </w:p>
    <w:p w:rsidR="003807A5" w:rsidRPr="00AC77DF" w:rsidRDefault="003807A5" w:rsidP="00B7222B">
      <w:pPr>
        <w:pStyle w:val="1---"/>
        <w:ind w:firstLine="480"/>
      </w:pPr>
      <w:r w:rsidRPr="00AC77DF">
        <w:t>依據本案調查意見</w:t>
      </w:r>
      <w:r w:rsidRPr="00AC77DF">
        <w:rPr>
          <w:rStyle w:val="aff2"/>
        </w:rPr>
        <w:footnoteReference w:id="89"/>
      </w:r>
      <w:r w:rsidRPr="00AC77DF">
        <w:t>，監察院函請衛福部及教育部檢討改進見復。</w:t>
      </w:r>
    </w:p>
    <w:p w:rsidR="003807A5" w:rsidRPr="00AC77DF" w:rsidRDefault="003F6235" w:rsidP="00FA42B3">
      <w:pPr>
        <w:pStyle w:val="afff1"/>
        <w:spacing w:before="360" w:after="360"/>
      </w:pPr>
      <w:bookmarkStart w:id="349" w:name="_Toc528942511"/>
      <w:r>
        <w:rPr>
          <w:rFonts w:hint="eastAsia"/>
        </w:rPr>
        <w:t>(三)</w:t>
      </w:r>
      <w:r w:rsidR="003807A5" w:rsidRPr="00AC77DF">
        <w:t>政府機關改善情形</w:t>
      </w:r>
      <w:bookmarkEnd w:id="349"/>
    </w:p>
    <w:p w:rsidR="003807A5" w:rsidRPr="00AC77DF" w:rsidRDefault="003807A5" w:rsidP="00E53322">
      <w:pPr>
        <w:pStyle w:val="1----"/>
        <w:ind w:left="600" w:hanging="360"/>
        <w:rPr>
          <w:b/>
          <w:i/>
        </w:rPr>
      </w:pPr>
      <w:r w:rsidRPr="00AC77DF">
        <w:t>1</w:t>
      </w:r>
      <w:r w:rsidRPr="00AC77DF">
        <w:t>、衛福部運用行政公益資源</w:t>
      </w:r>
      <w:r w:rsidR="002E31CA">
        <w:rPr>
          <w:rFonts w:hint="eastAsia"/>
        </w:rPr>
        <w:t>托</w:t>
      </w:r>
      <w:r w:rsidRPr="00AC77DF">
        <w:t>播</w:t>
      </w:r>
      <w:r w:rsidRPr="00AC77DF">
        <w:t>30</w:t>
      </w:r>
      <w:r w:rsidRPr="00AC77DF">
        <w:t>秒視力保健短片（臺視、中視、華視等</w:t>
      </w:r>
      <w:r w:rsidRPr="00D90887">
        <w:rPr>
          <w:spacing w:val="-30"/>
        </w:rPr>
        <w:t>）</w:t>
      </w:r>
      <w:r w:rsidRPr="00AC77DF">
        <w:t>、</w:t>
      </w:r>
      <w:r w:rsidRPr="00AC77DF">
        <w:t>106</w:t>
      </w:r>
      <w:r w:rsidRPr="00AC77DF">
        <w:t>年</w:t>
      </w:r>
      <w:r w:rsidRPr="00AC77DF">
        <w:t>8</w:t>
      </w:r>
      <w:r w:rsidRPr="00AC77DF">
        <w:t>月至</w:t>
      </w:r>
      <w:r w:rsidRPr="00AC77DF">
        <w:t>12</w:t>
      </w:r>
      <w:r w:rsidRPr="00AC77DF">
        <w:t>月電視托播「打敗惡視力篇」</w:t>
      </w:r>
      <w:r w:rsidRPr="00AC77DF">
        <w:t>225</w:t>
      </w:r>
      <w:r w:rsidRPr="00AC77DF">
        <w:t>檔、全國及地方電台分眾托播「珍愛好眼力</w:t>
      </w:r>
      <w:r w:rsidRPr="00AC77DF">
        <w:lastRenderedPageBreak/>
        <w:t>打敗惡視力篇（國語</w:t>
      </w:r>
      <w:r w:rsidRPr="00D90887">
        <w:rPr>
          <w:spacing w:val="-30"/>
        </w:rPr>
        <w:t>）」、</w:t>
      </w:r>
      <w:r w:rsidRPr="00AC77DF">
        <w:t>「護眼六招</w:t>
      </w:r>
      <w:r w:rsidR="000E22D5">
        <w:rPr>
          <w:rFonts w:hint="eastAsia"/>
        </w:rPr>
        <w:t>－</w:t>
      </w:r>
      <w:r w:rsidRPr="00AC77DF">
        <w:t>婆媳篇（</w:t>
      </w:r>
      <w:r w:rsidR="001E28E6">
        <w:rPr>
          <w:rFonts w:hint="eastAsia"/>
        </w:rPr>
        <w:t>臺</w:t>
      </w:r>
      <w:r w:rsidRPr="00AC77DF">
        <w:t>語）」</w:t>
      </w:r>
      <w:r w:rsidRPr="00AC77DF">
        <w:t>187</w:t>
      </w:r>
      <w:r w:rsidRPr="00AC77DF">
        <w:t>檔、於網路媒體以</w:t>
      </w:r>
      <w:r w:rsidRPr="00AC77DF">
        <w:t>30</w:t>
      </w:r>
      <w:r w:rsidRPr="00AC77DF">
        <w:t>秒短片「打敗惡視力篇</w:t>
      </w:r>
      <w:r w:rsidRPr="00D90887">
        <w:rPr>
          <w:spacing w:val="-30"/>
        </w:rPr>
        <w:t>」</w:t>
      </w:r>
      <w:r w:rsidR="001E28E6">
        <w:t>，</w:t>
      </w:r>
      <w:r w:rsidRPr="00AC77DF">
        <w:t>3</w:t>
      </w:r>
      <w:r w:rsidRPr="00AC77DF">
        <w:t>大電子報、</w:t>
      </w:r>
      <w:r w:rsidRPr="00AC77DF">
        <w:t>Google</w:t>
      </w:r>
      <w:r w:rsidRPr="00AC77DF">
        <w:t>、</w:t>
      </w:r>
      <w:r w:rsidRPr="00AC77DF">
        <w:t>YouTube</w:t>
      </w:r>
      <w:r w:rsidRPr="00AC77DF">
        <w:t>、</w:t>
      </w:r>
      <w:r w:rsidRPr="00AC77DF">
        <w:t>FB</w:t>
      </w:r>
      <w:r w:rsidRPr="00AC77DF">
        <w:t>粉絲團等露出觀看數／點擊數</w:t>
      </w:r>
      <w:r w:rsidRPr="00AC77DF">
        <w:t>2,760,381</w:t>
      </w:r>
      <w:r w:rsidRPr="00AC77DF">
        <w:t>次、針對</w:t>
      </w:r>
      <w:r w:rsidRPr="00AC77DF">
        <w:t>3-5</w:t>
      </w:r>
      <w:r w:rsidRPr="00AC77DF">
        <w:t>歲兒童補助製作繪本「小熊艾艾的大眼睛</w:t>
      </w:r>
      <w:r w:rsidRPr="00D90887">
        <w:rPr>
          <w:spacing w:val="-30"/>
        </w:rPr>
        <w:t>」</w:t>
      </w:r>
      <w:r w:rsidRPr="00AC77DF">
        <w:t>、</w:t>
      </w:r>
      <w:r w:rsidRPr="00AC77DF">
        <w:t>106</w:t>
      </w:r>
      <w:r w:rsidRPr="00AC77DF">
        <w:t>年已製作向家長說明之「兒童及青少年控制近視度數惡化，有哪些選擇</w:t>
      </w:r>
      <w:r w:rsidRPr="00D90887">
        <w:rPr>
          <w:spacing w:val="-30"/>
        </w:rPr>
        <w:t>？</w:t>
      </w:r>
      <w:r w:rsidRPr="00AC77DF">
        <w:t>」之</w:t>
      </w:r>
      <w:r w:rsidRPr="00AC77DF">
        <w:t>SDM</w:t>
      </w:r>
      <w:r w:rsidRPr="00AC77DF">
        <w:t>（</w:t>
      </w:r>
      <w:r w:rsidRPr="00AC77DF">
        <w:t>Shared Decision Making</w:t>
      </w:r>
      <w:r w:rsidRPr="00AC77DF">
        <w:t>，醫病共享決策）衛教素材、</w:t>
      </w:r>
      <w:r w:rsidRPr="00AC77DF">
        <w:t>106</w:t>
      </w:r>
      <w:r w:rsidRPr="00AC77DF">
        <w:t>年</w:t>
      </w:r>
      <w:r w:rsidRPr="00AC77DF">
        <w:t>6</w:t>
      </w:r>
      <w:r w:rsidRPr="00AC77DF">
        <w:t>月</w:t>
      </w:r>
      <w:r w:rsidRPr="00AC77DF">
        <w:t>9</w:t>
      </w:r>
      <w:r w:rsidRPr="00AC77DF">
        <w:t>日函文提供「打敗惡視力篇」</w:t>
      </w:r>
      <w:r w:rsidRPr="00AC77DF">
        <w:t>30</w:t>
      </w:r>
      <w:r w:rsidRPr="00AC77DF">
        <w:t>秒及</w:t>
      </w:r>
      <w:r w:rsidRPr="00AC77DF">
        <w:t>180</w:t>
      </w:r>
      <w:r w:rsidRPr="00AC77DF">
        <w:t>秒宣導短片及網站連結予勞動部、修訂托嬰中心評鑑指標等精進措施。</w:t>
      </w:r>
    </w:p>
    <w:p w:rsidR="003807A5" w:rsidRPr="00AC77DF" w:rsidRDefault="003807A5" w:rsidP="00E53322">
      <w:pPr>
        <w:pStyle w:val="1----"/>
        <w:ind w:left="600" w:hanging="360"/>
        <w:rPr>
          <w:b/>
          <w:i/>
        </w:rPr>
      </w:pPr>
      <w:r w:rsidRPr="00AC77DF">
        <w:t>2</w:t>
      </w:r>
      <w:r w:rsidRPr="00AC77DF">
        <w:t>、教育部已將「近視疾病易失明」列為宣導重點、持續辦理學童視力保健計畫、透過研習及會議跨大宣導、建置視力保健網頁、督導地方政府將課後照顧中心戶外活動時間納入稽查項目等策進作為。</w:t>
      </w:r>
    </w:p>
    <w:p w:rsidR="003807A5" w:rsidRPr="00AC77DF" w:rsidRDefault="003F6235" w:rsidP="00FA42B3">
      <w:pPr>
        <w:pStyle w:val="afff1"/>
        <w:spacing w:before="360" w:after="360"/>
      </w:pPr>
      <w:bookmarkStart w:id="350" w:name="_Toc528942512"/>
      <w:r>
        <w:rPr>
          <w:rFonts w:hint="eastAsia"/>
        </w:rPr>
        <w:t>(四)</w:t>
      </w:r>
      <w:r w:rsidR="003807A5" w:rsidRPr="00AC77DF">
        <w:t>案件進展</w:t>
      </w:r>
      <w:bookmarkEnd w:id="350"/>
    </w:p>
    <w:p w:rsidR="003807A5" w:rsidRDefault="003807A5" w:rsidP="00B7222B">
      <w:pPr>
        <w:pStyle w:val="1---"/>
        <w:ind w:firstLine="480"/>
        <w:rPr>
          <w:szCs w:val="24"/>
          <w:lang w:eastAsia="zh-TW"/>
        </w:rPr>
      </w:pPr>
      <w:r w:rsidRPr="00AC77DF">
        <w:t>持續瞭解衛福部及教育部改善情形，俾有效促進兒童視力保健</w:t>
      </w:r>
      <w:r w:rsidRPr="00AC77DF">
        <w:rPr>
          <w:szCs w:val="24"/>
        </w:rPr>
        <w:t>。</w:t>
      </w:r>
    </w:p>
    <w:p w:rsidR="003F6235" w:rsidRDefault="003F6235" w:rsidP="00B7222B">
      <w:pPr>
        <w:pStyle w:val="1---"/>
        <w:ind w:firstLine="480"/>
        <w:rPr>
          <w:szCs w:val="24"/>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2717"/>
      </w:tblGrid>
      <w:tr w:rsidR="003F6235" w:rsidTr="00D90887">
        <w:tc>
          <w:tcPr>
            <w:tcW w:w="2717" w:type="dxa"/>
            <w:shd w:val="clear" w:color="auto" w:fill="D9D9D9" w:themeFill="background1" w:themeFillShade="D9"/>
          </w:tcPr>
          <w:p w:rsidR="003F6235" w:rsidRDefault="003F6235" w:rsidP="003F6235">
            <w:pPr>
              <w:pStyle w:val="11-"/>
              <w:spacing w:before="72" w:after="108"/>
              <w:rPr>
                <w:b/>
                <w:szCs w:val="24"/>
                <w:lang w:eastAsia="zh-TW"/>
              </w:rPr>
            </w:pPr>
            <w:bookmarkStart w:id="351" w:name="_Toc535228377"/>
            <w:bookmarkStart w:id="352" w:name="_Toc4058788"/>
            <w:r w:rsidRPr="00AC77DF">
              <w:t>阻絕毒品入侵校園</w:t>
            </w:r>
            <w:bookmarkEnd w:id="351"/>
            <w:bookmarkEnd w:id="352"/>
          </w:p>
        </w:tc>
      </w:tr>
    </w:tbl>
    <w:p w:rsidR="003F6235" w:rsidRPr="00AC77DF" w:rsidRDefault="003F6235" w:rsidP="00B7222B">
      <w:pPr>
        <w:pStyle w:val="1---"/>
        <w:ind w:firstLine="480"/>
        <w:rPr>
          <w:b/>
          <w:szCs w:val="24"/>
          <w:lang w:eastAsia="zh-TW"/>
        </w:rPr>
      </w:pPr>
    </w:p>
    <w:tbl>
      <w:tblPr>
        <w:tblW w:w="0" w:type="auto"/>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16"/>
      </w:tblGrid>
      <w:tr w:rsidR="003807A5" w:rsidRPr="00AC77DF" w:rsidTr="001B7915">
        <w:tc>
          <w:tcPr>
            <w:tcW w:w="6516" w:type="dxa"/>
          </w:tcPr>
          <w:bookmarkEnd w:id="344"/>
          <w:p w:rsidR="003807A5" w:rsidRPr="00AC77DF" w:rsidRDefault="003807A5" w:rsidP="005D38D4">
            <w:pPr>
              <w:spacing w:line="360" w:lineRule="exact"/>
              <w:jc w:val="both"/>
              <w:rPr>
                <w:lang w:val="x-none"/>
              </w:rPr>
            </w:pPr>
            <w:r w:rsidRPr="00AC77DF">
              <w:rPr>
                <w:b/>
                <w:lang w:val="x-none"/>
              </w:rPr>
              <w:t>相關國際人權公約：</w:t>
            </w:r>
            <w:r w:rsidRPr="00AC77DF">
              <w:t>公民與政治權利國際公約第</w:t>
            </w:r>
            <w:r w:rsidRPr="00AC77DF">
              <w:t>24</w:t>
            </w:r>
            <w:r w:rsidRPr="00AC77DF">
              <w:t>條；兒童權利公約第</w:t>
            </w:r>
            <w:r w:rsidRPr="00AC77DF">
              <w:t>3</w:t>
            </w:r>
            <w:r w:rsidRPr="00AC77DF">
              <w:t>條、第</w:t>
            </w:r>
            <w:r w:rsidRPr="00AC77DF">
              <w:t>6</w:t>
            </w:r>
            <w:r w:rsidRPr="00AC77DF">
              <w:t>條、第</w:t>
            </w:r>
            <w:r w:rsidRPr="00AC77DF">
              <w:t>40</w:t>
            </w:r>
            <w:r w:rsidRPr="00AC77DF">
              <w:t>條</w:t>
            </w:r>
          </w:p>
          <w:p w:rsidR="003807A5" w:rsidRPr="00AC77DF" w:rsidRDefault="003807A5" w:rsidP="005D38D4">
            <w:pPr>
              <w:spacing w:line="360" w:lineRule="exact"/>
              <w:jc w:val="both"/>
              <w:rPr>
                <w:b/>
                <w:lang w:val="x-none"/>
              </w:rPr>
            </w:pPr>
            <w:r w:rsidRPr="00AC77DF">
              <w:rPr>
                <w:b/>
              </w:rPr>
              <w:lastRenderedPageBreak/>
              <w:t>公民與政治權利國際公約</w:t>
            </w:r>
            <w:r w:rsidRPr="00AC77DF">
              <w:rPr>
                <w:b/>
                <w:lang w:val="x-none"/>
              </w:rPr>
              <w:t>第</w:t>
            </w:r>
            <w:r w:rsidRPr="00AC77DF">
              <w:rPr>
                <w:b/>
                <w:lang w:val="x-none"/>
              </w:rPr>
              <w:t>24</w:t>
            </w:r>
            <w:r w:rsidRPr="00AC77DF">
              <w:rPr>
                <w:b/>
                <w:lang w:val="x-none"/>
              </w:rPr>
              <w:t>條</w:t>
            </w:r>
          </w:p>
          <w:p w:rsidR="003807A5" w:rsidRPr="00AC77DF" w:rsidRDefault="003807A5" w:rsidP="005D38D4">
            <w:pPr>
              <w:spacing w:line="360" w:lineRule="exact"/>
              <w:ind w:left="480" w:hangingChars="200" w:hanging="480"/>
              <w:jc w:val="both"/>
              <w:rPr>
                <w:lang w:val="x-none"/>
              </w:rPr>
            </w:pPr>
            <w:r w:rsidRPr="00AC77DF">
              <w:rPr>
                <w:lang w:val="x-none"/>
              </w:rPr>
              <w:t>一、所有兒童有權享受家庭、社會及國家為其未成年身分給予之必需保護措施，不因種族、膚色、性別、語言、宗教、民族本源或社會階級、財產、或出生而受歧視。</w:t>
            </w:r>
          </w:p>
          <w:p w:rsidR="003807A5" w:rsidRPr="00AC77DF" w:rsidRDefault="003807A5" w:rsidP="005D38D4">
            <w:pPr>
              <w:spacing w:line="360" w:lineRule="exact"/>
              <w:jc w:val="both"/>
              <w:rPr>
                <w:lang w:val="x-none"/>
              </w:rPr>
            </w:pPr>
            <w:r w:rsidRPr="00AC77DF">
              <w:rPr>
                <w:lang w:val="x-none"/>
              </w:rPr>
              <w:t>二、所有兒童出生後應立予登記，並取得名字。</w:t>
            </w:r>
          </w:p>
          <w:p w:rsidR="003807A5" w:rsidRPr="00AC77DF" w:rsidRDefault="003807A5" w:rsidP="005D38D4">
            <w:pPr>
              <w:spacing w:line="360" w:lineRule="exact"/>
              <w:jc w:val="both"/>
              <w:rPr>
                <w:lang w:val="x-none"/>
              </w:rPr>
            </w:pPr>
            <w:r w:rsidRPr="00AC77DF">
              <w:rPr>
                <w:lang w:val="x-none"/>
              </w:rPr>
              <w:t>三、所有兒童有取得國籍之權。</w:t>
            </w:r>
          </w:p>
          <w:p w:rsidR="003807A5" w:rsidRPr="00AC77DF" w:rsidRDefault="003807A5" w:rsidP="005D38D4">
            <w:pPr>
              <w:spacing w:line="360" w:lineRule="exact"/>
              <w:jc w:val="both"/>
              <w:rPr>
                <w:b/>
              </w:rPr>
            </w:pPr>
            <w:r w:rsidRPr="00AC77DF">
              <w:rPr>
                <w:b/>
              </w:rPr>
              <w:t>兒童權利公約第</w:t>
            </w:r>
            <w:r w:rsidRPr="00AC77DF">
              <w:rPr>
                <w:b/>
              </w:rPr>
              <w:t>3</w:t>
            </w:r>
            <w:r w:rsidRPr="00AC77DF">
              <w:rPr>
                <w:b/>
              </w:rPr>
              <w:t>條</w:t>
            </w:r>
          </w:p>
          <w:p w:rsidR="003807A5" w:rsidRPr="00AC77DF" w:rsidRDefault="003807A5" w:rsidP="005D38D4">
            <w:pPr>
              <w:spacing w:line="360" w:lineRule="exact"/>
              <w:ind w:left="480" w:hangingChars="200" w:hanging="480"/>
              <w:jc w:val="both"/>
              <w:rPr>
                <w:lang w:val="x-none"/>
              </w:rPr>
            </w:pPr>
            <w:r w:rsidRPr="00AC77DF">
              <w:t>一、所有關係兒童之事務，無論是由公私社會福利機構、法院、行政機關或立法機關之作為，均</w:t>
            </w:r>
            <w:r w:rsidRPr="00AC77DF">
              <w:rPr>
                <w:lang w:val="x-none"/>
              </w:rPr>
              <w:t>應以兒童最佳利益為優先考量。</w:t>
            </w:r>
          </w:p>
          <w:p w:rsidR="003807A5" w:rsidRPr="00AC77DF" w:rsidRDefault="003807A5" w:rsidP="005D38D4">
            <w:pPr>
              <w:spacing w:line="360" w:lineRule="exact"/>
              <w:ind w:left="480" w:hangingChars="200" w:hanging="480"/>
              <w:jc w:val="both"/>
              <w:rPr>
                <w:lang w:val="x-none"/>
              </w:rPr>
            </w:pPr>
            <w:r w:rsidRPr="00AC77DF">
              <w:rPr>
                <w:lang w:val="x-none"/>
              </w:rPr>
              <w:t>二、締約國承諾為確保兒童福祉所必要之與保護和照顧，應考量其父母、法定監護人或任何對其負有法律責任之個人之權利與義務，並採取一切適當的立法和行政措施達成之。</w:t>
            </w:r>
          </w:p>
          <w:p w:rsidR="003807A5" w:rsidRPr="00AC77DF" w:rsidRDefault="003807A5" w:rsidP="005D38D4">
            <w:pPr>
              <w:spacing w:line="360" w:lineRule="exact"/>
              <w:ind w:left="480" w:hangingChars="200" w:hanging="480"/>
              <w:jc w:val="both"/>
            </w:pPr>
            <w:r w:rsidRPr="00AC77DF">
              <w:rPr>
                <w:lang w:val="x-none"/>
              </w:rPr>
              <w:t>三、締約國應</w:t>
            </w:r>
            <w:r w:rsidRPr="00AC77DF">
              <w:t>確保負責照顧與保護兒童之機構，服務與設施符合主管機關所訂之標準，特別在安全、保健、工作人員數量與資格及有效監督等方面。</w:t>
            </w:r>
          </w:p>
          <w:p w:rsidR="003807A5" w:rsidRPr="00AC77DF" w:rsidRDefault="003807A5" w:rsidP="005D38D4">
            <w:pPr>
              <w:spacing w:line="360" w:lineRule="exact"/>
              <w:jc w:val="both"/>
              <w:rPr>
                <w:b/>
              </w:rPr>
            </w:pPr>
            <w:r w:rsidRPr="00AC77DF">
              <w:rPr>
                <w:b/>
              </w:rPr>
              <w:t>兒童權利公約第</w:t>
            </w:r>
            <w:r w:rsidRPr="00AC77DF">
              <w:rPr>
                <w:b/>
              </w:rPr>
              <w:t>6</w:t>
            </w:r>
            <w:r w:rsidRPr="00AC77DF">
              <w:rPr>
                <w:b/>
              </w:rPr>
              <w:t>條</w:t>
            </w:r>
          </w:p>
          <w:p w:rsidR="003807A5" w:rsidRPr="00AC77DF" w:rsidRDefault="003807A5" w:rsidP="005D38D4">
            <w:pPr>
              <w:spacing w:line="360" w:lineRule="exact"/>
              <w:jc w:val="both"/>
            </w:pPr>
            <w:r w:rsidRPr="00AC77DF">
              <w:t>一、締約國承認兒童有與生俱來之生命權。</w:t>
            </w:r>
          </w:p>
          <w:p w:rsidR="003807A5" w:rsidRPr="00AC77DF" w:rsidRDefault="003807A5" w:rsidP="005D38D4">
            <w:pPr>
              <w:spacing w:line="360" w:lineRule="exact"/>
              <w:jc w:val="both"/>
              <w:rPr>
                <w:rFonts w:eastAsia="微軟正黑體"/>
                <w:sz w:val="23"/>
                <w:szCs w:val="23"/>
              </w:rPr>
            </w:pPr>
            <w:r w:rsidRPr="00AC77DF">
              <w:t>二、締約國應盡最大可能確保兒童的生存與發展。</w:t>
            </w:r>
          </w:p>
          <w:p w:rsidR="003807A5" w:rsidRPr="00AC77DF" w:rsidRDefault="003807A5" w:rsidP="005D38D4">
            <w:pPr>
              <w:spacing w:line="360" w:lineRule="exact"/>
              <w:jc w:val="both"/>
              <w:rPr>
                <w:b/>
              </w:rPr>
            </w:pPr>
            <w:r w:rsidRPr="00AC77DF">
              <w:rPr>
                <w:b/>
              </w:rPr>
              <w:t>兒童權利公約第</w:t>
            </w:r>
            <w:r w:rsidRPr="00AC77DF">
              <w:rPr>
                <w:b/>
              </w:rPr>
              <w:t>40</w:t>
            </w:r>
            <w:r w:rsidRPr="00AC77DF">
              <w:rPr>
                <w:b/>
              </w:rPr>
              <w:t>條</w:t>
            </w:r>
          </w:p>
          <w:p w:rsidR="003807A5" w:rsidRPr="00AC77DF" w:rsidRDefault="003807A5" w:rsidP="005D38D4">
            <w:pPr>
              <w:spacing w:line="360" w:lineRule="exact"/>
              <w:ind w:left="480" w:hangingChars="200" w:hanging="480"/>
              <w:jc w:val="both"/>
              <w:rPr>
                <w:lang w:val="x-none"/>
              </w:rPr>
            </w:pPr>
            <w:r w:rsidRPr="00AC77DF">
              <w:rPr>
                <w:lang w:val="x-none"/>
              </w:rPr>
              <w:t>一、締約國對被指稱、指控或認為涉嫌觸犯刑事法律的兒童，應確認該等兒童有權獲得到符合以下情況之待遇：依兒童之年齡及對其重返社會，並在社會承擔建設性角色的期待下，促進兒童之尊嚴和價值感，以增強其對他</w:t>
            </w:r>
            <w:r w:rsidRPr="00AC77DF">
              <w:rPr>
                <w:lang w:val="x-none"/>
              </w:rPr>
              <w:lastRenderedPageBreak/>
              <w:t>人之人權與基本自由的尊重。</w:t>
            </w:r>
          </w:p>
          <w:p w:rsidR="003807A5" w:rsidRPr="00AC77DF" w:rsidRDefault="003807A5" w:rsidP="005D38D4">
            <w:pPr>
              <w:spacing w:line="360" w:lineRule="exact"/>
              <w:ind w:left="480" w:hangingChars="200" w:hanging="480"/>
              <w:jc w:val="both"/>
              <w:rPr>
                <w:lang w:val="x-none"/>
              </w:rPr>
            </w:pPr>
            <w:r w:rsidRPr="00AC77DF">
              <w:rPr>
                <w:lang w:val="x-none"/>
              </w:rPr>
              <w:t>二、為達此目的，並鑒於國際文件之相關規定，締約國尤應確保：</w:t>
            </w:r>
          </w:p>
          <w:p w:rsidR="003807A5" w:rsidRPr="00AC77DF" w:rsidRDefault="005D38D4" w:rsidP="005D38D4">
            <w:pPr>
              <w:spacing w:line="360" w:lineRule="exact"/>
              <w:ind w:left="912" w:hangingChars="380" w:hanging="912"/>
              <w:jc w:val="both"/>
              <w:rPr>
                <w:lang w:val="x-none"/>
              </w:rPr>
            </w:pPr>
            <w:r>
              <w:rPr>
                <w:rFonts w:hint="eastAsia"/>
                <w:lang w:val="x-none"/>
              </w:rPr>
              <w:t xml:space="preserve">　　</w:t>
            </w:r>
            <w:r w:rsidR="003807A5" w:rsidRPr="00AC77DF">
              <w:rPr>
                <w:lang w:val="x-none"/>
              </w:rPr>
              <w:t>(</w:t>
            </w:r>
            <w:r w:rsidR="003807A5" w:rsidRPr="00AC77DF">
              <w:rPr>
                <w:lang w:val="x-none"/>
              </w:rPr>
              <w:t>一</w:t>
            </w:r>
            <w:r w:rsidR="003807A5" w:rsidRPr="00AC77DF">
              <w:rPr>
                <w:lang w:val="x-none"/>
              </w:rPr>
              <w:t>)</w:t>
            </w:r>
            <w:r w:rsidR="003807A5" w:rsidRPr="00AC77DF">
              <w:rPr>
                <w:lang w:val="x-none"/>
              </w:rPr>
              <w:t>任何兒童，當其作為或不作為未經本國或國際法規所禁止時，不得被指稱、指控或認為涉嫌觸犯刑事法律。</w:t>
            </w:r>
          </w:p>
          <w:p w:rsidR="003807A5" w:rsidRPr="00AC77DF" w:rsidRDefault="005D38D4" w:rsidP="005D38D4">
            <w:pPr>
              <w:spacing w:line="360" w:lineRule="exact"/>
              <w:ind w:left="912" w:hangingChars="380" w:hanging="912"/>
              <w:jc w:val="both"/>
              <w:rPr>
                <w:lang w:val="x-none"/>
              </w:rPr>
            </w:pPr>
            <w:r>
              <w:rPr>
                <w:rFonts w:hint="eastAsia"/>
                <w:lang w:val="x-none"/>
              </w:rPr>
              <w:t xml:space="preserve">　　</w:t>
            </w:r>
            <w:r w:rsidR="003807A5" w:rsidRPr="00AC77DF">
              <w:rPr>
                <w:lang w:val="x-none"/>
              </w:rPr>
              <w:t>(</w:t>
            </w:r>
            <w:r w:rsidR="003807A5" w:rsidRPr="00AC77DF">
              <w:rPr>
                <w:lang w:val="x-none"/>
              </w:rPr>
              <w:t>二</w:t>
            </w:r>
            <w:r w:rsidR="003807A5" w:rsidRPr="00AC77DF">
              <w:rPr>
                <w:lang w:val="x-none"/>
              </w:rPr>
              <w:t>)</w:t>
            </w:r>
            <w:r w:rsidR="003807A5" w:rsidRPr="00AC77DF">
              <w:rPr>
                <w:lang w:val="x-none"/>
              </w:rPr>
              <w:t>針對被指稱或指控觸犯刑事法律之兒童，至少應獲得下列保證：</w:t>
            </w:r>
          </w:p>
          <w:p w:rsidR="003807A5" w:rsidRPr="00AC77DF" w:rsidRDefault="005D38D4" w:rsidP="005D38D4">
            <w:pPr>
              <w:spacing w:line="360" w:lineRule="exact"/>
              <w:jc w:val="both"/>
              <w:rPr>
                <w:lang w:val="x-none"/>
              </w:rPr>
            </w:pPr>
            <w:r>
              <w:rPr>
                <w:rFonts w:hint="eastAsia"/>
                <w:lang w:val="x-none"/>
              </w:rPr>
              <w:t xml:space="preserve">　　　　</w:t>
            </w:r>
            <w:r w:rsidR="003807A5" w:rsidRPr="00AC77DF">
              <w:rPr>
                <w:lang w:val="x-none"/>
              </w:rPr>
              <w:t>1.</w:t>
            </w:r>
            <w:r w:rsidR="003807A5" w:rsidRPr="00AC77DF">
              <w:rPr>
                <w:lang w:val="x-none"/>
              </w:rPr>
              <w:t>在依法判定有罪前，應推定為無罪；</w:t>
            </w:r>
          </w:p>
          <w:p w:rsidR="003807A5" w:rsidRPr="00AC77DF" w:rsidRDefault="005D38D4" w:rsidP="005D38D4">
            <w:pPr>
              <w:spacing w:line="360" w:lineRule="exact"/>
              <w:ind w:left="1152" w:hangingChars="480" w:hanging="1152"/>
              <w:jc w:val="both"/>
              <w:rPr>
                <w:lang w:val="x-none"/>
              </w:rPr>
            </w:pPr>
            <w:r>
              <w:rPr>
                <w:rFonts w:hint="eastAsia"/>
                <w:lang w:val="x-none"/>
              </w:rPr>
              <w:t xml:space="preserve">　　　　</w:t>
            </w:r>
            <w:r w:rsidR="003807A5" w:rsidRPr="00AC77DF">
              <w:rPr>
                <w:lang w:val="x-none"/>
              </w:rPr>
              <w:t>2.</w:t>
            </w:r>
            <w:r w:rsidR="003807A5" w:rsidRPr="00AC77DF">
              <w:rPr>
                <w:lang w:val="x-none"/>
              </w:rPr>
              <w:t>對其被控訴之罪名能夠迅速且直接地被告知，適當情況下經由父母或法定監護人告知本人，於準備與提出答辯時並獲得法律或其他適當之協助；</w:t>
            </w:r>
          </w:p>
          <w:p w:rsidR="003807A5" w:rsidRPr="00AC77DF" w:rsidRDefault="005D38D4" w:rsidP="005D38D4">
            <w:pPr>
              <w:spacing w:line="360" w:lineRule="exact"/>
              <w:ind w:left="1152" w:hangingChars="480" w:hanging="1152"/>
              <w:jc w:val="both"/>
              <w:rPr>
                <w:lang w:val="x-none"/>
              </w:rPr>
            </w:pPr>
            <w:r>
              <w:rPr>
                <w:rFonts w:hint="eastAsia"/>
                <w:lang w:val="x-none"/>
              </w:rPr>
              <w:t xml:space="preserve">　　　　</w:t>
            </w:r>
            <w:r w:rsidR="003807A5" w:rsidRPr="00AC77DF">
              <w:rPr>
                <w:lang w:val="x-none"/>
              </w:rPr>
              <w:t>3.</w:t>
            </w:r>
            <w:r w:rsidR="003807A5" w:rsidRPr="00AC77DF">
              <w:rPr>
                <w:lang w:val="x-none"/>
              </w:rPr>
              <w:t>要求有權、獨立且公正之機關或司法機構迅速依法公正審理，兒童並應獲得法律或其他適當之協助，且其父母或法定監護人亦應在場，惟經特別考量兒童之年齡或狀況認為其父母或法定監護人在場之作法不符合兒童最佳利益者除外；</w:t>
            </w:r>
          </w:p>
          <w:p w:rsidR="003807A5" w:rsidRPr="00AC77DF" w:rsidRDefault="005D38D4" w:rsidP="005D38D4">
            <w:pPr>
              <w:spacing w:line="360" w:lineRule="exact"/>
              <w:ind w:left="1152" w:hangingChars="480" w:hanging="1152"/>
              <w:jc w:val="both"/>
              <w:rPr>
                <w:lang w:val="x-none"/>
              </w:rPr>
            </w:pPr>
            <w:r>
              <w:rPr>
                <w:rFonts w:hint="eastAsia"/>
                <w:lang w:val="x-none"/>
              </w:rPr>
              <w:t xml:space="preserve">　　　　</w:t>
            </w:r>
            <w:r w:rsidR="003807A5" w:rsidRPr="00AC77DF">
              <w:rPr>
                <w:lang w:val="x-none"/>
              </w:rPr>
              <w:t>4.</w:t>
            </w:r>
            <w:r w:rsidR="003807A5" w:rsidRPr="00AC77DF">
              <w:rPr>
                <w:lang w:val="x-none"/>
              </w:rPr>
              <w:t>不得被迫作證或認罪；應可詰問或間接詰問對自身不利的證人，並且在平等之條件下，要求對自己有利的證人出庭並接受詰問；</w:t>
            </w:r>
          </w:p>
          <w:p w:rsidR="003807A5" w:rsidRPr="00AC77DF" w:rsidRDefault="005D38D4" w:rsidP="005D38D4">
            <w:pPr>
              <w:spacing w:line="360" w:lineRule="exact"/>
              <w:ind w:left="1152" w:hangingChars="480" w:hanging="1152"/>
              <w:jc w:val="both"/>
              <w:rPr>
                <w:lang w:val="x-none"/>
              </w:rPr>
            </w:pPr>
            <w:r>
              <w:rPr>
                <w:rFonts w:hint="eastAsia"/>
                <w:lang w:val="x-none"/>
              </w:rPr>
              <w:t xml:space="preserve">　　　　</w:t>
            </w:r>
            <w:r w:rsidR="003807A5" w:rsidRPr="00AC77DF">
              <w:rPr>
                <w:lang w:val="x-none"/>
              </w:rPr>
              <w:t>5.</w:t>
            </w:r>
            <w:r w:rsidR="003807A5" w:rsidRPr="00AC77DF">
              <w:rPr>
                <w:lang w:val="x-none"/>
              </w:rPr>
              <w:t>若經認定觸犯刑事法律，對該認定及因此所衍生之處置，有權要求較高層級之權責、獨立、公正機關或司法機關依法再為審查；</w:t>
            </w:r>
          </w:p>
          <w:p w:rsidR="003807A5" w:rsidRPr="00AC77DF" w:rsidRDefault="005D38D4" w:rsidP="005D38D4">
            <w:pPr>
              <w:spacing w:line="360" w:lineRule="exact"/>
              <w:ind w:left="1152" w:hangingChars="480" w:hanging="1152"/>
              <w:jc w:val="both"/>
              <w:rPr>
                <w:lang w:val="x-none"/>
              </w:rPr>
            </w:pPr>
            <w:r>
              <w:rPr>
                <w:rFonts w:hint="eastAsia"/>
                <w:lang w:val="x-none"/>
              </w:rPr>
              <w:t xml:space="preserve">　　　　</w:t>
            </w:r>
            <w:r w:rsidR="003807A5" w:rsidRPr="00AC77DF">
              <w:rPr>
                <w:lang w:val="x-none"/>
              </w:rPr>
              <w:t>6.</w:t>
            </w:r>
            <w:r w:rsidR="003807A5" w:rsidRPr="00AC77DF">
              <w:rPr>
                <w:lang w:val="x-none"/>
              </w:rPr>
              <w:t>若使用兒童不瞭解或不會說之語言，應提供免費之通譯；</w:t>
            </w:r>
          </w:p>
          <w:p w:rsidR="003807A5" w:rsidRPr="00AC77DF" w:rsidRDefault="005D38D4" w:rsidP="005D38D4">
            <w:pPr>
              <w:spacing w:line="360" w:lineRule="exact"/>
              <w:ind w:left="1152" w:hangingChars="480" w:hanging="1152"/>
              <w:jc w:val="both"/>
              <w:rPr>
                <w:lang w:val="x-none"/>
              </w:rPr>
            </w:pPr>
            <w:r>
              <w:rPr>
                <w:rFonts w:hint="eastAsia"/>
                <w:lang w:val="x-none"/>
              </w:rPr>
              <w:lastRenderedPageBreak/>
              <w:t xml:space="preserve">　　　　</w:t>
            </w:r>
            <w:r w:rsidR="003807A5" w:rsidRPr="00AC77DF">
              <w:rPr>
                <w:lang w:val="x-none"/>
              </w:rPr>
              <w:t>7.</w:t>
            </w:r>
            <w:r w:rsidR="003807A5" w:rsidRPr="00AC77DF">
              <w:rPr>
                <w:lang w:val="x-none"/>
              </w:rPr>
              <w:t>在前開程序之所有過程中，應充分尊重兒童之隱私。</w:t>
            </w:r>
          </w:p>
          <w:p w:rsidR="003807A5" w:rsidRPr="00AC77DF" w:rsidRDefault="003807A5" w:rsidP="005D38D4">
            <w:pPr>
              <w:spacing w:line="360" w:lineRule="exact"/>
              <w:ind w:left="480" w:hangingChars="200" w:hanging="480"/>
              <w:jc w:val="both"/>
              <w:rPr>
                <w:lang w:val="x-none"/>
              </w:rPr>
            </w:pPr>
            <w:r w:rsidRPr="00AC77DF">
              <w:rPr>
                <w:lang w:val="x-none"/>
              </w:rPr>
              <w:t>三、締約國對於被指稱、指控或確認為觸犯刑事法律之兒童，應特別設置適用之法律、程序、機關與機構，尤應：</w:t>
            </w:r>
          </w:p>
          <w:p w:rsidR="003807A5" w:rsidRPr="00AC77DF" w:rsidRDefault="005D38D4" w:rsidP="005D38D4">
            <w:pPr>
              <w:spacing w:line="360" w:lineRule="exact"/>
              <w:jc w:val="both"/>
              <w:rPr>
                <w:lang w:val="x-none"/>
              </w:rPr>
            </w:pPr>
            <w:r>
              <w:rPr>
                <w:rFonts w:hint="eastAsia"/>
                <w:lang w:val="x-none"/>
              </w:rPr>
              <w:t xml:space="preserve">　　</w:t>
            </w:r>
            <w:r w:rsidR="003807A5" w:rsidRPr="00AC77DF">
              <w:rPr>
                <w:lang w:val="x-none"/>
              </w:rPr>
              <w:t>(</w:t>
            </w:r>
            <w:r w:rsidR="003807A5" w:rsidRPr="00AC77DF">
              <w:rPr>
                <w:lang w:val="x-none"/>
              </w:rPr>
              <w:t>一</w:t>
            </w:r>
            <w:r w:rsidR="003807A5" w:rsidRPr="00AC77DF">
              <w:rPr>
                <w:lang w:val="x-none"/>
              </w:rPr>
              <w:t>)</w:t>
            </w:r>
            <w:r w:rsidR="003807A5" w:rsidRPr="00AC77DF">
              <w:rPr>
                <w:lang w:val="x-none"/>
              </w:rPr>
              <w:t>規定無觸犯刑事能力之最低年齡；</w:t>
            </w:r>
          </w:p>
          <w:p w:rsidR="003807A5" w:rsidRPr="00AC77DF" w:rsidRDefault="005D38D4" w:rsidP="005D38D4">
            <w:pPr>
              <w:spacing w:line="360" w:lineRule="exact"/>
              <w:ind w:left="912" w:hangingChars="380" w:hanging="912"/>
              <w:jc w:val="both"/>
              <w:rPr>
                <w:lang w:val="x-none"/>
              </w:rPr>
            </w:pPr>
            <w:r>
              <w:rPr>
                <w:rFonts w:hint="eastAsia"/>
                <w:lang w:val="x-none"/>
              </w:rPr>
              <w:t xml:space="preserve">　　</w:t>
            </w:r>
            <w:r w:rsidR="003807A5" w:rsidRPr="00AC77DF">
              <w:rPr>
                <w:lang w:val="x-none"/>
              </w:rPr>
              <w:t>(</w:t>
            </w:r>
            <w:r w:rsidR="003807A5" w:rsidRPr="00AC77DF">
              <w:rPr>
                <w:lang w:val="x-none"/>
              </w:rPr>
              <w:t>二</w:t>
            </w:r>
            <w:r w:rsidR="003807A5" w:rsidRPr="00AC77DF">
              <w:rPr>
                <w:lang w:val="x-none"/>
              </w:rPr>
              <w:t>)</w:t>
            </w:r>
            <w:r w:rsidR="003807A5" w:rsidRPr="00AC77DF">
              <w:rPr>
                <w:lang w:val="x-none"/>
              </w:rPr>
              <w:t>於適當與必要時，制定不對此等兒童訴諸司法程序之措施，惟須充分尊重人權與法律保障。</w:t>
            </w:r>
          </w:p>
          <w:p w:rsidR="003807A5" w:rsidRPr="00AC77DF" w:rsidRDefault="003807A5" w:rsidP="004B1F95">
            <w:pPr>
              <w:spacing w:afterLines="20" w:after="72" w:line="360" w:lineRule="exact"/>
              <w:ind w:left="480" w:hangingChars="200" w:hanging="480"/>
              <w:jc w:val="both"/>
              <w:rPr>
                <w:lang w:val="x-none"/>
              </w:rPr>
            </w:pPr>
            <w:r w:rsidRPr="00AC77DF">
              <w:rPr>
                <w:lang w:val="x-none"/>
              </w:rPr>
              <w:t>四、為確保兒童福祉，並合乎其自身狀況與違法情事，應採行多樣化之處置，例如照顧、輔導或監督裁定、諮商輔導、觀護、寄養照顧；教育或職業培訓方案或其他替代機構照顧之方式。</w:t>
            </w:r>
          </w:p>
        </w:tc>
      </w:tr>
    </w:tbl>
    <w:p w:rsidR="003807A5" w:rsidRPr="00AC77DF" w:rsidRDefault="003F6235" w:rsidP="00FA42B3">
      <w:pPr>
        <w:pStyle w:val="afff1"/>
        <w:spacing w:before="360" w:after="360"/>
      </w:pPr>
      <w:bookmarkStart w:id="353" w:name="_Toc528942484"/>
      <w:r>
        <w:rPr>
          <w:rFonts w:hint="eastAsia"/>
        </w:rPr>
        <w:lastRenderedPageBreak/>
        <w:t>(一)</w:t>
      </w:r>
      <w:r w:rsidR="003807A5" w:rsidRPr="00AC77DF">
        <w:t>案情簡述</w:t>
      </w:r>
      <w:bookmarkEnd w:id="353"/>
    </w:p>
    <w:p w:rsidR="003807A5" w:rsidRPr="00AC77DF" w:rsidRDefault="003807A5" w:rsidP="00B7222B">
      <w:pPr>
        <w:pStyle w:val="1---"/>
        <w:ind w:firstLine="480"/>
      </w:pPr>
      <w:r w:rsidRPr="00AC77DF">
        <w:t>有關媒體報導「學生吸毒，</w:t>
      </w:r>
      <w:r w:rsidRPr="00AC77DF">
        <w:t>20</w:t>
      </w:r>
      <w:r w:rsidRPr="00AC77DF">
        <w:t>倍速成長</w:t>
      </w:r>
      <w:r w:rsidRPr="00286D2C">
        <w:rPr>
          <w:spacing w:val="-30"/>
        </w:rPr>
        <w:t>」</w:t>
      </w:r>
      <w:r w:rsidRPr="00AC77DF">
        <w:t>，究校園反毒工作是否落實，如何從源頭阻絕毒品入侵校園，營造健康安全友善之校園環境，有待持續深入追蹤瞭解。為使學生免受毒品危害，監察院教育及文化委員會決議對本案進行專案調查研究。</w:t>
      </w:r>
    </w:p>
    <w:p w:rsidR="003807A5" w:rsidRPr="00AC77DF" w:rsidRDefault="003F6235" w:rsidP="00FA42B3">
      <w:pPr>
        <w:pStyle w:val="afff1"/>
        <w:spacing w:before="360" w:after="360"/>
      </w:pPr>
      <w:bookmarkStart w:id="354" w:name="_Toc528942485"/>
      <w:r>
        <w:rPr>
          <w:rFonts w:hint="eastAsia"/>
        </w:rPr>
        <w:t>(二)</w:t>
      </w:r>
      <w:r w:rsidR="003807A5" w:rsidRPr="00AC77DF">
        <w:t>調查發現與建議</w:t>
      </w:r>
      <w:bookmarkEnd w:id="354"/>
    </w:p>
    <w:p w:rsidR="003807A5" w:rsidRPr="00AC77DF" w:rsidRDefault="00FD29F8" w:rsidP="00D92DAE">
      <w:pPr>
        <w:pStyle w:val="1--13"/>
        <w:spacing w:before="180" w:after="180"/>
      </w:pPr>
      <w:r w:rsidRPr="008E1832">
        <w:rPr>
          <w:rFonts w:hint="eastAsia"/>
        </w:rPr>
        <w:t>˙</w:t>
      </w:r>
      <w:r w:rsidR="003807A5" w:rsidRPr="00AC77DF">
        <w:t>涉毒案件通報及追蹤待加強</w:t>
      </w:r>
    </w:p>
    <w:p w:rsidR="003807A5" w:rsidRPr="00AC77DF" w:rsidRDefault="003807A5" w:rsidP="00B7222B">
      <w:pPr>
        <w:pStyle w:val="1---"/>
        <w:ind w:firstLine="480"/>
      </w:pPr>
      <w:r w:rsidRPr="00AC77DF">
        <w:t>教育部校安中心藥物濫用學生通報人數與警方查獲少年、</w:t>
      </w:r>
      <w:r w:rsidRPr="00AC77DF">
        <w:lastRenderedPageBreak/>
        <w:t>青年涉毒人數落差甚鉅，學生藥物濫用統計人數嚴重失實，且該部迄未建立大專學生之學籍身分查核機制。警察機關查獲少年、青年涉毒案件，未落實身分清查並通報教育機關，致其等未能接受學校之常規輔導關懷。大專校院反毒工作，囿於「大學自主」之限制，難以深入獲致效果，且各地方教育局處迄未就春暉輔導個案之再犯情形追蹤、統計，致無法檢驗該輔導機制實施成效與提出改進方向。國民中小學中輟生安置就學就業工作不力，增加濫用藥物風險。另地方毒防中心未強化少輔會、少年警察隊功能，並結合校外會與校內輔導機制，建構校園安全防護網，避免幫派組織滲透校園，致力營造無毒健康成長環境。</w:t>
      </w:r>
    </w:p>
    <w:p w:rsidR="003807A5" w:rsidRPr="00AC77DF" w:rsidRDefault="003807A5" w:rsidP="00B7222B">
      <w:pPr>
        <w:pStyle w:val="1---"/>
        <w:ind w:firstLine="480"/>
      </w:pPr>
      <w:r w:rsidRPr="00AC77DF">
        <w:t>衛福部應整合各部會已建置之毒品及藥物濫用通報系統資料庫，確切核實藥物濫用相關數據，掌握國內毒品及藥物濫用通盤狀況。透過巨量資料深入分析，將研析成果轉換為具體政策建議，有效減少毒品黑數與防制漏洞。對於新興濫用物質宜研議是否仿效美國緊急列管及類似物質之行政管制措施，以防杜新興物質濫用及其危害擴大。另應積極發展各級毒品之戒癮指引，並參考國外街頭外展模式，實施青少年戒癮防治，避免青少年藥物濫用。</w:t>
      </w:r>
    </w:p>
    <w:p w:rsidR="003807A5" w:rsidRPr="00AC77DF" w:rsidRDefault="00FD29F8" w:rsidP="00D92DAE">
      <w:pPr>
        <w:pStyle w:val="1--13"/>
        <w:spacing w:before="180" w:after="180"/>
      </w:pPr>
      <w:r w:rsidRPr="008E1832">
        <w:rPr>
          <w:rFonts w:hint="eastAsia"/>
        </w:rPr>
        <w:t>˙</w:t>
      </w:r>
      <w:r w:rsidR="003807A5" w:rsidRPr="00AC77DF">
        <w:t>反毒業務專責人力不足</w:t>
      </w:r>
    </w:p>
    <w:p w:rsidR="003807A5" w:rsidRPr="00AC77DF" w:rsidRDefault="003807A5" w:rsidP="00B7222B">
      <w:pPr>
        <w:pStyle w:val="1---"/>
        <w:ind w:firstLine="480"/>
      </w:pPr>
      <w:r w:rsidRPr="00AC77DF">
        <w:t>法務部未設反毒業務專責單位、專責人力不足，對於長期政策規劃與法令研修，力有未逮。建議以績效指標引導檢察官採用附命完成戒癮治療之緩起訴方式，藉由各縣市之社會與醫療網絡，協助第一、第二級毒品成癮者戒除毒癮，鼓勵其自新</w:t>
      </w:r>
      <w:r w:rsidRPr="00AC77DF">
        <w:lastRenderedPageBreak/>
        <w:t>。並應持續督導各地檢署落實執行毒品犯罪所得之查扣及追繳事宜，將沒收毒品犯罪所得達成率，列為年度關鍵績效指標。提升觀察、勒戒及強制戒治費用繳交率之具體作為，提升緝毒的原動力，減少政府不必要開支，並符合公平原則。精進「毒品危害事件統一裁罰基準及講習辦法」有關罰鍰執行及毒品危害講習實施方式，以防制第三、第四級毒品濫用，維護青少年身心健全發展。</w:t>
      </w:r>
    </w:p>
    <w:p w:rsidR="003807A5" w:rsidRPr="00AC77DF" w:rsidRDefault="00FD29F8" w:rsidP="00D92DAE">
      <w:pPr>
        <w:pStyle w:val="1--13"/>
        <w:spacing w:before="180" w:after="180"/>
      </w:pPr>
      <w:r w:rsidRPr="008E1832">
        <w:rPr>
          <w:rFonts w:hint="eastAsia"/>
        </w:rPr>
        <w:t>˙</w:t>
      </w:r>
      <w:r w:rsidR="003807A5" w:rsidRPr="00AC77DF">
        <w:t>未能結合行政院反毒機制</w:t>
      </w:r>
    </w:p>
    <w:p w:rsidR="003807A5" w:rsidRPr="00AC77DF" w:rsidRDefault="003807A5" w:rsidP="00286D2C">
      <w:pPr>
        <w:pStyle w:val="1---"/>
        <w:ind w:firstLine="480"/>
        <w:jc w:val="distribute"/>
      </w:pPr>
      <w:r w:rsidRPr="00AC77DF">
        <w:t>行政院「反毒會報」各工作分組，自行其是，增</w:t>
      </w:r>
      <w:r w:rsidR="00B84B99">
        <w:rPr>
          <w:rFonts w:hint="eastAsia"/>
        </w:rPr>
        <w:t>加</w:t>
      </w:r>
      <w:r w:rsidRPr="00AC77DF">
        <w:t>協調整合難度。司法院久未派員參加反毒會報，亦未能結合行政院反毒機制，形成反毒工作缺漏；另地方毒防組織之編制、人力、經費均未臻妥善，均應檢討改進。至「毒品防制基金」之籌設</w:t>
      </w:r>
      <w:r w:rsidRPr="00286D2C">
        <w:rPr>
          <w:spacing w:val="-2"/>
        </w:rPr>
        <w:t>及相關法制作業，亦須積極推動，以拓展穩定之反毒業務財源。</w:t>
      </w:r>
    </w:p>
    <w:p w:rsidR="003807A5" w:rsidRPr="00AC77DF" w:rsidRDefault="003807A5" w:rsidP="00B7222B">
      <w:pPr>
        <w:pStyle w:val="1---"/>
        <w:ind w:firstLine="480"/>
      </w:pPr>
      <w:r w:rsidRPr="00AC77DF">
        <w:t>依據本案調查意見</w:t>
      </w:r>
      <w:r w:rsidRPr="00070156">
        <w:rPr>
          <w:rStyle w:val="aff2"/>
          <w:rFonts w:eastAsiaTheme="minorEastAsia"/>
        </w:rPr>
        <w:footnoteReference w:id="90"/>
      </w:r>
      <w:r w:rsidRPr="00AC77DF">
        <w:t>，監察院函請行政院檢討並督導教育部、衛福部、法務部、內政部辦理；另函請司法院參考辦理見復。</w:t>
      </w:r>
    </w:p>
    <w:p w:rsidR="003807A5" w:rsidRPr="00AC77DF" w:rsidRDefault="003F6235" w:rsidP="00FA42B3">
      <w:pPr>
        <w:pStyle w:val="afff1"/>
        <w:spacing w:before="360" w:after="360"/>
      </w:pPr>
      <w:bookmarkStart w:id="355" w:name="_Toc528942486"/>
      <w:r>
        <w:rPr>
          <w:rFonts w:hint="eastAsia"/>
        </w:rPr>
        <w:t>(三)</w:t>
      </w:r>
      <w:r w:rsidR="003807A5" w:rsidRPr="00AC77DF">
        <w:t>政府機關改善情形</w:t>
      </w:r>
      <w:bookmarkEnd w:id="355"/>
    </w:p>
    <w:p w:rsidR="003807A5" w:rsidRPr="00AC77DF" w:rsidRDefault="003807A5" w:rsidP="00E53322">
      <w:pPr>
        <w:pStyle w:val="1----"/>
        <w:ind w:left="600" w:hanging="360"/>
      </w:pPr>
      <w:r w:rsidRPr="00AC77DF">
        <w:t>1</w:t>
      </w:r>
      <w:r w:rsidRPr="00AC77DF">
        <w:t>、教育部業於「無毒新家園，反毒行動綱領」具體策進作為中，將偏鄉及青少年（校園）毒品防制列為重點項目之一。為解決教育部校安通報藥物濫用人數與警察機關查獲人</w:t>
      </w:r>
      <w:r w:rsidRPr="00AC77DF">
        <w:lastRenderedPageBreak/>
        <w:t>數間之落差，教育部業與警政署協調，自</w:t>
      </w:r>
      <w:r w:rsidRPr="00AC77DF">
        <w:t>106</w:t>
      </w:r>
      <w:r w:rsidRPr="00AC77DF">
        <w:t>年起，連結學生基本資料庫，提供教育單位與警察機關查獲</w:t>
      </w:r>
      <w:r w:rsidRPr="00AC77DF">
        <w:t>28</w:t>
      </w:r>
      <w:r w:rsidRPr="00AC77DF">
        <w:t>歲以下涉毒疑犯資料之勾稽，以確實掌握各校學生毒品濫用之個案人數，並加強學校輔導作為之督導。另該部邀集衛福部、地方政府及所轄中途學校等相關單位共同研議評估中途學校轉型之可行性。</w:t>
      </w:r>
    </w:p>
    <w:p w:rsidR="003807A5" w:rsidRPr="00AC77DF" w:rsidRDefault="003807A5" w:rsidP="00E53322">
      <w:pPr>
        <w:pStyle w:val="1----"/>
        <w:ind w:left="600" w:hanging="360"/>
      </w:pPr>
      <w:r w:rsidRPr="00AC77DF">
        <w:t>2</w:t>
      </w:r>
      <w:r w:rsidRPr="00AC77DF">
        <w:t>、衛福部強化非在學好奇誤用第三級、第四級毒品兒少之早期介入，培植藥癮治療人力，提升藥癮醫療質與量，並協助藥物濫用情形較嚴重或已有毒癮問題之青少年及早接受專業藥癮醫療，持續精進毒癮個案家庭支持方案，協助重建與修復家庭關係，促進復歸家庭與社會。</w:t>
      </w:r>
      <w:r w:rsidRPr="00AC77DF">
        <w:t>106</w:t>
      </w:r>
      <w:r w:rsidRPr="00AC77DF">
        <w:t>年</w:t>
      </w:r>
      <w:r w:rsidRPr="00AC77DF">
        <w:t>2</w:t>
      </w:r>
      <w:r w:rsidRPr="00AC77DF">
        <w:t>月</w:t>
      </w:r>
      <w:r w:rsidRPr="00AC77DF">
        <w:t>18</w:t>
      </w:r>
      <w:r w:rsidRPr="00AC77DF">
        <w:t>日就新興毒品之通報及列管流程部分，再次召集各部會研商並作成決議，將列管流程再縮短約</w:t>
      </w:r>
      <w:r w:rsidRPr="00AC77DF">
        <w:t>1</w:t>
      </w:r>
      <w:r w:rsidRPr="00AC77DF">
        <w:t>個月之時程。</w:t>
      </w:r>
    </w:p>
    <w:p w:rsidR="003807A5" w:rsidRPr="00AC77DF" w:rsidRDefault="003807A5" w:rsidP="00E53322">
      <w:pPr>
        <w:pStyle w:val="1----"/>
        <w:ind w:left="600" w:hanging="360"/>
      </w:pPr>
      <w:r w:rsidRPr="00AC77DF">
        <w:t>3</w:t>
      </w:r>
      <w:r w:rsidRPr="00AC77DF">
        <w:t>、法務部於</w:t>
      </w:r>
      <w:r w:rsidRPr="00AC77DF">
        <w:t>106</w:t>
      </w:r>
      <w:r w:rsidRPr="00AC77DF">
        <w:t>年</w:t>
      </w:r>
      <w:r w:rsidRPr="00AC77DF">
        <w:t>3</w:t>
      </w:r>
      <w:r w:rsidRPr="00AC77DF">
        <w:t>月起依行政院指示設置專責人力，從事毒品防制工作，另為強化斷根溯源力道及統整新興混合式毒品情資來源，高檢署業彙整各地資料，由全國毒品資料庫協助分析，統合標定管道來源，協同六大緝毒系統進行強力打擊。又該部研議修正「毒品危害防制條例」</w:t>
      </w:r>
      <w:r w:rsidRPr="00E75A4D">
        <w:rPr>
          <w:spacing w:val="-20"/>
        </w:rPr>
        <w:t>第</w:t>
      </w:r>
      <w:r w:rsidRPr="00AC77DF">
        <w:t>11</w:t>
      </w:r>
      <w:r w:rsidRPr="00AC77DF">
        <w:t>條之</w:t>
      </w:r>
      <w:r w:rsidRPr="00AC77DF">
        <w:t>1</w:t>
      </w:r>
      <w:r w:rsidRPr="00AC77DF">
        <w:t>規定，責成所屬研擬提升裁罰之繳交率及強制執行率研商對策，強化講習及裁罰之成效。並針對三、四級毒品成癮者的矯治、戒除強化政府之介入權力，幫助毒品施用者脫離毒品侵害，並研擬檢察官提升附命完成戒癮治療緩起訴比率及成效。</w:t>
      </w:r>
    </w:p>
    <w:p w:rsidR="003807A5" w:rsidRPr="00AC77DF" w:rsidRDefault="003807A5" w:rsidP="00E53322">
      <w:pPr>
        <w:pStyle w:val="1----"/>
        <w:ind w:left="600" w:hanging="360"/>
      </w:pPr>
      <w:r w:rsidRPr="00AC77DF">
        <w:t>4</w:t>
      </w:r>
      <w:r w:rsidRPr="00AC77DF">
        <w:t>、經濟部除與警政署建立通報機制，不定期實地查核先驅化學品工業原料之上中下游廠商，優先查核有疑慮之廠商及</w:t>
      </w:r>
      <w:r w:rsidRPr="00AC77DF">
        <w:lastRenderedPageBreak/>
        <w:t>申報異常之廠商，發現廠商申報異常或流向不明，而有供製造毒品之疑慮者，將主動提供情資予檢警調單位偵辦。</w:t>
      </w:r>
    </w:p>
    <w:p w:rsidR="003807A5" w:rsidRPr="00AC77DF" w:rsidRDefault="003807A5" w:rsidP="00E53322">
      <w:pPr>
        <w:pStyle w:val="1----"/>
        <w:ind w:left="600" w:hanging="360"/>
      </w:pPr>
      <w:r w:rsidRPr="00AC77DF">
        <w:t>5</w:t>
      </w:r>
      <w:r w:rsidRPr="00AC77DF">
        <w:t>、行政院持續積極推動「新世代反毒策略行動綱領</w:t>
      </w:r>
      <w:r w:rsidRPr="00286D2C">
        <w:rPr>
          <w:spacing w:val="-30"/>
        </w:rPr>
        <w:t>」</w:t>
      </w:r>
      <w:r w:rsidRPr="00AC77DF">
        <w:t>，並於</w:t>
      </w:r>
      <w:r w:rsidRPr="00AC77DF">
        <w:t>108</w:t>
      </w:r>
      <w:r w:rsidRPr="00AC77DF">
        <w:t>年</w:t>
      </w:r>
      <w:r w:rsidRPr="00AC77DF">
        <w:t>1</w:t>
      </w:r>
      <w:r w:rsidRPr="00AC77DF">
        <w:t>月</w:t>
      </w:r>
      <w:r w:rsidRPr="00AC77DF">
        <w:t>1</w:t>
      </w:r>
      <w:r w:rsidRPr="00AC77DF">
        <w:t>日成立「毒品防制基金</w:t>
      </w:r>
      <w:r w:rsidRPr="00286D2C">
        <w:rPr>
          <w:spacing w:val="-30"/>
        </w:rPr>
        <w:t>」</w:t>
      </w:r>
      <w:r w:rsidRPr="00AC77DF">
        <w:t>。</w:t>
      </w:r>
    </w:p>
    <w:p w:rsidR="003807A5" w:rsidRPr="00AC77DF" w:rsidRDefault="003F6235" w:rsidP="00FA42B3">
      <w:pPr>
        <w:pStyle w:val="afff1"/>
        <w:spacing w:before="360" w:after="360"/>
      </w:pPr>
      <w:bookmarkStart w:id="356" w:name="_Toc528942487"/>
      <w:r>
        <w:rPr>
          <w:rFonts w:hint="eastAsia"/>
        </w:rPr>
        <w:t>(四)</w:t>
      </w:r>
      <w:r w:rsidR="003807A5" w:rsidRPr="00AC77DF">
        <w:t>案件進展</w:t>
      </w:r>
      <w:bookmarkEnd w:id="356"/>
    </w:p>
    <w:p w:rsidR="003807A5" w:rsidRDefault="003807A5" w:rsidP="00B7222B">
      <w:pPr>
        <w:pStyle w:val="1---"/>
        <w:ind w:firstLine="480"/>
        <w:rPr>
          <w:lang w:eastAsia="zh-TW"/>
        </w:rPr>
      </w:pPr>
      <w:r w:rsidRPr="00AC77DF">
        <w:t>監察院仍持續追蹤業管機關辦理情形，促其採取積極有效作為，使學生免受毒品危害及健全其身心靈人格發展。</w:t>
      </w:r>
    </w:p>
    <w:p w:rsidR="003F6235" w:rsidRDefault="003F6235" w:rsidP="00B7222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3681"/>
      </w:tblGrid>
      <w:tr w:rsidR="003F6235" w:rsidTr="005408FF">
        <w:tc>
          <w:tcPr>
            <w:tcW w:w="3681" w:type="dxa"/>
            <w:shd w:val="clear" w:color="auto" w:fill="D9D9D9" w:themeFill="background1" w:themeFillShade="D9"/>
          </w:tcPr>
          <w:p w:rsidR="003F6235" w:rsidRDefault="003F6235" w:rsidP="003F6235">
            <w:pPr>
              <w:pStyle w:val="11-"/>
              <w:spacing w:before="72" w:after="108"/>
              <w:rPr>
                <w:lang w:eastAsia="zh-TW"/>
              </w:rPr>
            </w:pPr>
            <w:bookmarkStart w:id="357" w:name="_Toc528942498"/>
            <w:bookmarkStart w:id="358" w:name="_Toc535228378"/>
            <w:bookmarkStart w:id="359" w:name="_Toc4058789"/>
            <w:r w:rsidRPr="00AC77DF">
              <w:rPr>
                <w:lang w:eastAsia="zh-HK"/>
              </w:rPr>
              <w:t>防範</w:t>
            </w:r>
            <w:r w:rsidRPr="00AC77DF">
              <w:t>未成年少女懷孕生子</w:t>
            </w:r>
            <w:bookmarkEnd w:id="357"/>
            <w:bookmarkEnd w:id="358"/>
            <w:bookmarkEnd w:id="359"/>
          </w:p>
        </w:tc>
      </w:tr>
    </w:tbl>
    <w:p w:rsidR="003F6235" w:rsidRPr="00AC77DF" w:rsidRDefault="003F6235" w:rsidP="00B7222B">
      <w:pPr>
        <w:pStyle w:val="1---"/>
        <w:ind w:firstLine="480"/>
        <w:rPr>
          <w:lang w:eastAsia="zh-TW"/>
        </w:rPr>
      </w:pPr>
    </w:p>
    <w:tbl>
      <w:tblPr>
        <w:tblW w:w="4756" w:type="pct"/>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16"/>
      </w:tblGrid>
      <w:tr w:rsidR="003807A5" w:rsidRPr="00AC77DF" w:rsidTr="00AA52BB">
        <w:trPr>
          <w:trHeight w:val="3320"/>
        </w:trPr>
        <w:tc>
          <w:tcPr>
            <w:tcW w:w="5000" w:type="pct"/>
          </w:tcPr>
          <w:p w:rsidR="003807A5" w:rsidRPr="00AC77DF" w:rsidRDefault="003807A5" w:rsidP="005408FF">
            <w:pPr>
              <w:spacing w:line="360" w:lineRule="exact"/>
              <w:jc w:val="both"/>
              <w:rPr>
                <w:lang w:val="x-none"/>
              </w:rPr>
            </w:pPr>
            <w:bookmarkStart w:id="360" w:name="_Toc528942488"/>
            <w:r w:rsidRPr="00AC77DF">
              <w:rPr>
                <w:b/>
                <w:lang w:val="x-none"/>
              </w:rPr>
              <w:t>相關國際人權公約：</w:t>
            </w:r>
            <w:r w:rsidRPr="00AC77DF">
              <w:t>經濟社會文化權利國際公約第</w:t>
            </w:r>
            <w:r w:rsidRPr="00AC77DF">
              <w:t>10</w:t>
            </w:r>
            <w:r w:rsidRPr="00AC77DF">
              <w:t>條、第</w:t>
            </w:r>
            <w:r w:rsidRPr="00AC77DF">
              <w:t>12</w:t>
            </w:r>
            <w:r w:rsidRPr="00AC77DF">
              <w:t>條；消除對婦女一切形式歧視公約第</w:t>
            </w:r>
            <w:r w:rsidRPr="00AC77DF">
              <w:t>12</w:t>
            </w:r>
            <w:r w:rsidRPr="00AC77DF">
              <w:t>條</w:t>
            </w:r>
          </w:p>
          <w:p w:rsidR="003807A5" w:rsidRPr="00AC77DF" w:rsidRDefault="003807A5" w:rsidP="005408FF">
            <w:pPr>
              <w:spacing w:line="360" w:lineRule="exact"/>
              <w:jc w:val="both"/>
              <w:rPr>
                <w:b/>
                <w:lang w:val="x-none"/>
              </w:rPr>
            </w:pPr>
            <w:r w:rsidRPr="00AC77DF">
              <w:rPr>
                <w:b/>
                <w:lang w:val="x-none"/>
              </w:rPr>
              <w:t>消除對婦女一切形式歧視公約第</w:t>
            </w:r>
            <w:r w:rsidRPr="00AC77DF">
              <w:rPr>
                <w:b/>
                <w:lang w:val="x-none"/>
              </w:rPr>
              <w:t>12</w:t>
            </w:r>
            <w:r w:rsidRPr="00AC77DF">
              <w:rPr>
                <w:b/>
                <w:lang w:val="x-none"/>
              </w:rPr>
              <w:t>條</w:t>
            </w:r>
          </w:p>
          <w:p w:rsidR="003807A5" w:rsidRPr="00AC77DF" w:rsidRDefault="003807A5" w:rsidP="005408FF">
            <w:pPr>
              <w:spacing w:line="360" w:lineRule="exact"/>
              <w:ind w:left="204" w:hangingChars="85" w:hanging="204"/>
              <w:jc w:val="both"/>
              <w:rPr>
                <w:lang w:val="x-none"/>
              </w:rPr>
            </w:pPr>
            <w:r w:rsidRPr="00AC77DF">
              <w:rPr>
                <w:lang w:val="x-none"/>
              </w:rPr>
              <w:t>1.</w:t>
            </w:r>
            <w:r w:rsidRPr="00AC77DF">
              <w:rPr>
                <w:lang w:val="x-none"/>
              </w:rPr>
              <w:t>締約各國應採取一切適當措施以消除在保健方面對婦女的歧視，保證她們在男女平等的基礎上取得各種包括有關計劃生育的保健服務。</w:t>
            </w:r>
          </w:p>
          <w:p w:rsidR="003807A5" w:rsidRPr="00AC77DF" w:rsidRDefault="003807A5" w:rsidP="005408FF">
            <w:pPr>
              <w:spacing w:line="360" w:lineRule="exact"/>
              <w:ind w:left="204" w:hangingChars="85" w:hanging="204"/>
              <w:jc w:val="both"/>
              <w:rPr>
                <w:lang w:val="x-none"/>
              </w:rPr>
            </w:pPr>
            <w:r w:rsidRPr="00AC77DF">
              <w:rPr>
                <w:lang w:val="x-none"/>
              </w:rPr>
              <w:t>2.</w:t>
            </w:r>
            <w:r w:rsidRPr="00AC77DF">
              <w:rPr>
                <w:lang w:val="x-none"/>
              </w:rPr>
              <w:t>儘管有本條第</w:t>
            </w:r>
            <w:r w:rsidRPr="00AC77DF">
              <w:rPr>
                <w:lang w:val="x-none"/>
              </w:rPr>
              <w:t>1</w:t>
            </w:r>
            <w:r w:rsidRPr="00AC77DF">
              <w:rPr>
                <w:lang w:val="x-none"/>
              </w:rPr>
              <w:t>款的規定，締約各國應保證為婦女提供有關懷孕、分娩和產後期間的適當服務，必要時予以免費，並保證在懷孕和哺乳期間得到充分營養。</w:t>
            </w:r>
          </w:p>
        </w:tc>
      </w:tr>
    </w:tbl>
    <w:p w:rsidR="005408FF" w:rsidRDefault="005408FF" w:rsidP="00FA42B3">
      <w:pPr>
        <w:pStyle w:val="afff1"/>
        <w:spacing w:before="360" w:after="360"/>
      </w:pPr>
      <w:bookmarkStart w:id="361" w:name="_Toc528942499"/>
    </w:p>
    <w:p w:rsidR="003807A5" w:rsidRPr="00AC77DF" w:rsidRDefault="003F6235" w:rsidP="00FA42B3">
      <w:pPr>
        <w:pStyle w:val="afff1"/>
        <w:spacing w:before="360" w:after="360"/>
      </w:pPr>
      <w:r>
        <w:rPr>
          <w:rFonts w:hint="eastAsia"/>
        </w:rPr>
        <w:lastRenderedPageBreak/>
        <w:t>(一)</w:t>
      </w:r>
      <w:r w:rsidR="003807A5" w:rsidRPr="00AC77DF">
        <w:t>案情簡述</w:t>
      </w:r>
      <w:bookmarkEnd w:id="361"/>
    </w:p>
    <w:p w:rsidR="003807A5" w:rsidRPr="00AC77DF" w:rsidRDefault="003807A5" w:rsidP="00B7222B">
      <w:pPr>
        <w:pStyle w:val="1---"/>
        <w:ind w:firstLine="480"/>
      </w:pPr>
      <w:r w:rsidRPr="00AC77DF">
        <w:t>國內未成年少女懷孕及生子事件頻傳，影響青少年身心健康、學業及子女教養等問題，政府權責機關疑未積極宣導青少年之性教育及衛生保健觀念，監察委員爰立案調查。</w:t>
      </w:r>
    </w:p>
    <w:p w:rsidR="003807A5" w:rsidRPr="00AC77DF" w:rsidRDefault="003F6235" w:rsidP="00FA42B3">
      <w:pPr>
        <w:pStyle w:val="afff1"/>
        <w:spacing w:before="360" w:after="360"/>
      </w:pPr>
      <w:bookmarkStart w:id="362" w:name="_Toc528942500"/>
      <w:r>
        <w:rPr>
          <w:rFonts w:hint="eastAsia"/>
        </w:rPr>
        <w:t>(二)</w:t>
      </w:r>
      <w:r w:rsidR="003807A5" w:rsidRPr="00AC77DF">
        <w:t>調查發現與建議</w:t>
      </w:r>
      <w:bookmarkEnd w:id="362"/>
    </w:p>
    <w:p w:rsidR="003807A5" w:rsidRPr="00AC77DF" w:rsidRDefault="00FD29F8" w:rsidP="00D92DAE">
      <w:pPr>
        <w:pStyle w:val="1--13"/>
        <w:spacing w:before="180" w:after="180"/>
      </w:pPr>
      <w:r w:rsidRPr="008E1832">
        <w:rPr>
          <w:rFonts w:hint="eastAsia"/>
        </w:rPr>
        <w:t>˙</w:t>
      </w:r>
      <w:r w:rsidR="003807A5" w:rsidRPr="00AC77DF">
        <w:t>跨部會間服務資源缺乏整合</w:t>
      </w:r>
    </w:p>
    <w:p w:rsidR="003807A5" w:rsidRPr="00AC77DF" w:rsidRDefault="003807A5" w:rsidP="00B7222B">
      <w:pPr>
        <w:pStyle w:val="1---"/>
        <w:ind w:firstLine="480"/>
      </w:pPr>
      <w:r w:rsidRPr="00AC77DF">
        <w:t>我國未成年產母人數長達</w:t>
      </w:r>
      <w:r w:rsidRPr="00AC77DF">
        <w:t>10</w:t>
      </w:r>
      <w:r w:rsidRPr="00AC77DF">
        <w:t>年皆無法有效下降，影響兒童及青少年身心健康及受教權甚鉅。衛福部及教育部未能確實掌握未成年少女懷孕人數情形，也未建立相關勾稽比對機制，跨部會間之服務資源缺乏整合平台及關鍵績效指標，致政府對未成年少女懷孕問題與現實嚴重脫節。</w:t>
      </w:r>
    </w:p>
    <w:p w:rsidR="003807A5" w:rsidRPr="00AC77DF" w:rsidRDefault="003807A5" w:rsidP="00B7222B">
      <w:pPr>
        <w:pStyle w:val="1---"/>
        <w:ind w:firstLine="480"/>
        <w:rPr>
          <w:b/>
        </w:rPr>
      </w:pPr>
      <w:r w:rsidRPr="00AC77DF">
        <w:t>衛福部以未強制醫療院所須提報所設青少年親善門診服務量為由，致未能掌握青少年親善門診之服務情形及成效。直到監察院調查詢問後，始辦理相關業務之基礎統計。又統計結果顯示，</w:t>
      </w:r>
      <w:r w:rsidRPr="00AC77DF">
        <w:t>105</w:t>
      </w:r>
      <w:r w:rsidRPr="00AC77DF">
        <w:t>年</w:t>
      </w:r>
      <w:r w:rsidRPr="00AC77DF">
        <w:t>80</w:t>
      </w:r>
      <w:r w:rsidRPr="00AC77DF">
        <w:t>家青少年親善門診中有</w:t>
      </w:r>
      <w:r w:rsidRPr="00AC77DF">
        <w:t>25</w:t>
      </w:r>
      <w:r w:rsidRPr="00AC77DF">
        <w:t>家服務人次為</w:t>
      </w:r>
      <w:r w:rsidRPr="00AC77DF">
        <w:t>0</w:t>
      </w:r>
      <w:r w:rsidRPr="00AC77DF">
        <w:t>人，</w:t>
      </w:r>
      <w:r w:rsidRPr="00AC77DF">
        <w:t>12</w:t>
      </w:r>
      <w:r w:rsidRPr="00AC77DF">
        <w:t>家則無提報相關數據，核其政策立意良善，但執行成效不彰。</w:t>
      </w:r>
    </w:p>
    <w:p w:rsidR="003807A5" w:rsidRPr="00AC77DF" w:rsidRDefault="00FD29F8" w:rsidP="00D92DAE">
      <w:pPr>
        <w:pStyle w:val="1--13"/>
        <w:spacing w:before="180" w:after="180"/>
      </w:pPr>
      <w:r w:rsidRPr="008E1832">
        <w:rPr>
          <w:rFonts w:hint="eastAsia"/>
        </w:rPr>
        <w:t>˙</w:t>
      </w:r>
      <w:r w:rsidR="003807A5" w:rsidRPr="00AC77DF">
        <w:t>強化未成年少女懷孕生子之安置作業</w:t>
      </w:r>
    </w:p>
    <w:p w:rsidR="003807A5" w:rsidRPr="00AC77DF" w:rsidRDefault="003807A5" w:rsidP="00B7222B">
      <w:pPr>
        <w:pStyle w:val="1---"/>
        <w:ind w:firstLine="480"/>
        <w:rPr>
          <w:b/>
        </w:rPr>
      </w:pPr>
      <w:r w:rsidRPr="00AC77DF">
        <w:t>我國未成年少女懷孕生子後選擇留養人數愈趨增長，惟各地方政府對於因懷孕或生育而遭遇困境之兒少及其子女，所提</w:t>
      </w:r>
      <w:r w:rsidRPr="00AC77DF">
        <w:lastRenderedPageBreak/>
        <w:t>供之服務資源少，無法有效維護選擇留養孩子的兒少權益。行政院宜督促所屬檢討是類兒少及其子女之後續服務處遇及新生兒安置情形，並研議因應措施，以維護兒童及青少年健康成長及其人格和諧發展。</w:t>
      </w:r>
    </w:p>
    <w:p w:rsidR="003807A5" w:rsidRPr="00AC77DF" w:rsidRDefault="00FD29F8" w:rsidP="006B7CBE">
      <w:pPr>
        <w:pStyle w:val="1--13"/>
        <w:spacing w:before="180" w:after="180"/>
      </w:pPr>
      <w:r w:rsidRPr="008E1832">
        <w:rPr>
          <w:rFonts w:hint="eastAsia"/>
        </w:rPr>
        <w:t>˙</w:t>
      </w:r>
      <w:r w:rsidR="003807A5" w:rsidRPr="00AC77DF">
        <w:t>強化青少年性健康教育</w:t>
      </w:r>
    </w:p>
    <w:p w:rsidR="003807A5" w:rsidRPr="00AC77DF" w:rsidRDefault="003807A5" w:rsidP="00B7222B">
      <w:pPr>
        <w:pStyle w:val="1---"/>
        <w:ind w:firstLine="480"/>
        <w:rPr>
          <w:b/>
        </w:rPr>
      </w:pPr>
      <w:r w:rsidRPr="00AC77DF">
        <w:t>為培養學生建立健康安全之性觀念，行政院宜督促所屬強化青少年性健康教育，並因應新興數位時代趨勢，改善相關宣導策略及媒介應用，落實性教法等相關規定，以保障青少年之受教權及健康權。</w:t>
      </w:r>
    </w:p>
    <w:p w:rsidR="003807A5" w:rsidRPr="00AC77DF" w:rsidRDefault="003807A5" w:rsidP="00B7222B">
      <w:pPr>
        <w:pStyle w:val="1---"/>
        <w:ind w:firstLine="480"/>
      </w:pPr>
      <w:r w:rsidRPr="00AC77DF">
        <w:t>依據本案調查意見</w:t>
      </w:r>
      <w:r w:rsidRPr="00AC77DF">
        <w:rPr>
          <w:rStyle w:val="aff2"/>
        </w:rPr>
        <w:footnoteReference w:id="91"/>
      </w:r>
      <w:r w:rsidRPr="00AC77DF">
        <w:t>，監察院函請行政院轉督促所屬教育部、衛福部確實檢討改善見復。</w:t>
      </w:r>
    </w:p>
    <w:p w:rsidR="003807A5" w:rsidRPr="00AC77DF" w:rsidRDefault="003F6235" w:rsidP="00FA42B3">
      <w:pPr>
        <w:pStyle w:val="afff1"/>
        <w:spacing w:before="360" w:after="360"/>
      </w:pPr>
      <w:bookmarkStart w:id="363" w:name="_Toc528942501"/>
      <w:r>
        <w:rPr>
          <w:rFonts w:hint="eastAsia"/>
        </w:rPr>
        <w:t>(三)</w:t>
      </w:r>
      <w:r w:rsidR="003807A5" w:rsidRPr="00AC77DF">
        <w:t>政府機關改善情形</w:t>
      </w:r>
      <w:bookmarkEnd w:id="363"/>
      <w:r w:rsidR="003807A5" w:rsidRPr="00AC77DF">
        <w:t xml:space="preserve"> </w:t>
      </w:r>
    </w:p>
    <w:p w:rsidR="003807A5" w:rsidRPr="00AC77DF" w:rsidRDefault="003807A5" w:rsidP="00425EE5">
      <w:pPr>
        <w:pStyle w:val="1----"/>
        <w:ind w:left="600" w:hanging="360"/>
      </w:pPr>
      <w:r w:rsidRPr="00AC77DF">
        <w:t>1</w:t>
      </w:r>
      <w:r w:rsidRPr="00AC77DF">
        <w:t>、教育部統計</w:t>
      </w:r>
      <w:r w:rsidRPr="00AC77DF">
        <w:t>100</w:t>
      </w:r>
      <w:r w:rsidRPr="00AC77DF">
        <w:t>學年國小懷孕人數高達</w:t>
      </w:r>
      <w:r w:rsidRPr="00AC77DF">
        <w:t>22</w:t>
      </w:r>
      <w:r w:rsidRPr="00AC77DF">
        <w:t>名一節，查該學年度其他縣市填報資料均未有國小懷孕人數，本案刻正請高雄市政府教育局重新調卷檢視當年度填報資料，以確認數據之正確性。教育部未來將於統計資料彙整過程詳為檢核，以避免發生疏誤。另衛福部已於「</w:t>
      </w:r>
      <w:r w:rsidRPr="00AC77DF">
        <w:t>2025</w:t>
      </w:r>
      <w:r w:rsidRPr="00AC77DF">
        <w:t>年衛生福利政策白皮書」訂定「</w:t>
      </w:r>
      <w:r w:rsidRPr="00AC77DF">
        <w:t>15-19</w:t>
      </w:r>
      <w:r w:rsidRPr="00AC77DF">
        <w:t>歲青少女生育率」指標，並將目標值訂為全國維持或低於</w:t>
      </w:r>
      <w:r w:rsidRPr="00AC77DF">
        <w:t>4‰</w:t>
      </w:r>
      <w:r w:rsidRPr="00AC77DF">
        <w:t>、</w:t>
      </w:r>
      <w:r w:rsidRPr="00AC77DF">
        <w:t>2016</w:t>
      </w:r>
      <w:r w:rsidRPr="00AC77DF">
        <w:t>年最高之兩個縣市生育率（分別為</w:t>
      </w:r>
      <w:r w:rsidRPr="00AC77DF">
        <w:t>13‰</w:t>
      </w:r>
      <w:r w:rsidRPr="00AC77DF">
        <w:t>、</w:t>
      </w:r>
      <w:r w:rsidRPr="00AC77DF">
        <w:t>10‰</w:t>
      </w:r>
      <w:r w:rsidRPr="00AC77DF">
        <w:t>）、於</w:t>
      </w:r>
      <w:r w:rsidRPr="00AC77DF">
        <w:t>2020</w:t>
      </w:r>
      <w:r w:rsidRPr="00AC77DF">
        <w:t>年維持或低於</w:t>
      </w:r>
      <w:r w:rsidRPr="00AC77DF">
        <w:lastRenderedPageBreak/>
        <w:t>10‰</w:t>
      </w:r>
      <w:r w:rsidRPr="00AC77DF">
        <w:t>。此指標亦將依國際趨勢及我國現況，滾動式進行目標調整。</w:t>
      </w:r>
    </w:p>
    <w:p w:rsidR="003807A5" w:rsidRPr="00AC77DF" w:rsidRDefault="003807A5" w:rsidP="00425EE5">
      <w:pPr>
        <w:pStyle w:val="1----"/>
        <w:ind w:left="600" w:hanging="360"/>
      </w:pPr>
      <w:r w:rsidRPr="00AC77DF">
        <w:t>2</w:t>
      </w:r>
      <w:r w:rsidRPr="00AC77DF">
        <w:t>、衛福部國健署研議於</w:t>
      </w:r>
      <w:r w:rsidRPr="00AC77DF">
        <w:t>106</w:t>
      </w:r>
      <w:r w:rsidRPr="00AC77DF">
        <w:t>年建置「健康醫院」平台，且自同年起推動我國之「健康醫院」認證。目前已有</w:t>
      </w:r>
      <w:r w:rsidRPr="00AC77DF">
        <w:t>91</w:t>
      </w:r>
      <w:r w:rsidRPr="00AC77DF">
        <w:t>家醫院完成該認證，其中有</w:t>
      </w:r>
      <w:r w:rsidRPr="00AC77DF">
        <w:t>24</w:t>
      </w:r>
      <w:r w:rsidRPr="00AC77DF">
        <w:t>家辦理青少年親善門診服務。</w:t>
      </w:r>
    </w:p>
    <w:p w:rsidR="003807A5" w:rsidRPr="00AC77DF" w:rsidRDefault="003807A5" w:rsidP="00425EE5">
      <w:pPr>
        <w:pStyle w:val="1----"/>
        <w:ind w:left="600" w:hanging="360"/>
      </w:pPr>
      <w:r w:rsidRPr="00AC77DF">
        <w:t>3</w:t>
      </w:r>
      <w:r w:rsidRPr="00AC77DF">
        <w:t>、協同相關領域專家，共商如何進階推動青少年親善服務。</w:t>
      </w:r>
    </w:p>
    <w:p w:rsidR="003807A5" w:rsidRPr="00AC77DF" w:rsidRDefault="003807A5" w:rsidP="00425EE5">
      <w:pPr>
        <w:pStyle w:val="1----"/>
        <w:ind w:left="600" w:hanging="360"/>
      </w:pPr>
      <w:r w:rsidRPr="00AC77DF">
        <w:t>4</w:t>
      </w:r>
      <w:r w:rsidRPr="00AC77DF">
        <w:t>、</w:t>
      </w:r>
      <w:r w:rsidRPr="00AC77DF">
        <w:t>106</w:t>
      </w:r>
      <w:r w:rsidRPr="00AC77DF">
        <w:t>年</w:t>
      </w:r>
      <w:r w:rsidRPr="00AC77DF">
        <w:t>11</w:t>
      </w:r>
      <w:r w:rsidRPr="00AC77DF">
        <w:t>月止計</w:t>
      </w:r>
      <w:r w:rsidRPr="00AC77DF">
        <w:t>5</w:t>
      </w:r>
      <w:r w:rsidRPr="00AC77DF">
        <w:t>家兒少安置及教養機構可提供未成年懷孕少女安置輔導，</w:t>
      </w:r>
      <w:r w:rsidRPr="00AC77DF">
        <w:t>106</w:t>
      </w:r>
      <w:r w:rsidRPr="00AC77DF">
        <w:t>年迄今計安置</w:t>
      </w:r>
      <w:r w:rsidRPr="00AC77DF">
        <w:t>34</w:t>
      </w:r>
      <w:r w:rsidRPr="00AC77DF">
        <w:t>名是類個案。</w:t>
      </w:r>
    </w:p>
    <w:p w:rsidR="003807A5" w:rsidRPr="00AC77DF" w:rsidRDefault="003807A5" w:rsidP="00425EE5">
      <w:pPr>
        <w:pStyle w:val="1----"/>
        <w:ind w:left="600" w:hanging="360"/>
      </w:pPr>
      <w:r w:rsidRPr="00AC77DF">
        <w:t>5</w:t>
      </w:r>
      <w:r w:rsidRPr="00AC77DF">
        <w:t>、社家署另結合衛政資源介入提供預防保健及衛教指導，協助未成年父母提供年幼子女照護。</w:t>
      </w:r>
      <w:r w:rsidRPr="00AC77DF">
        <w:t>107</w:t>
      </w:r>
      <w:r w:rsidRPr="00AC77DF">
        <w:t>年度起針對社區風險（脆弱）家庭發展多元服務方案，並將未成年父母及子女列為服務對象。</w:t>
      </w:r>
    </w:p>
    <w:p w:rsidR="003807A5" w:rsidRPr="00AC77DF" w:rsidRDefault="003807A5" w:rsidP="00425EE5">
      <w:pPr>
        <w:pStyle w:val="1----"/>
        <w:ind w:left="600" w:hanging="360"/>
      </w:pPr>
      <w:r w:rsidRPr="00AC77DF">
        <w:t>6</w:t>
      </w:r>
      <w:r w:rsidRPr="00AC77DF">
        <w:t>、教育部</w:t>
      </w:r>
      <w:r w:rsidR="00B726A4" w:rsidRPr="00AC77DF">
        <w:t>國教署</w:t>
      </w:r>
      <w:r w:rsidRPr="00AC77DF">
        <w:t>於</w:t>
      </w:r>
      <w:r w:rsidRPr="00AC77DF">
        <w:t>106</w:t>
      </w:r>
      <w:r w:rsidRPr="00AC77DF">
        <w:t>年</w:t>
      </w:r>
      <w:r w:rsidRPr="00AC77DF">
        <w:t>12</w:t>
      </w:r>
      <w:r w:rsidRPr="00AC77DF">
        <w:t>月</w:t>
      </w:r>
      <w:r w:rsidRPr="00AC77DF">
        <w:t>4</w:t>
      </w:r>
      <w:r w:rsidRPr="00AC77DF">
        <w:t>日邀集學校代表召開「未成年少女懷孕相關法令之研修及教育現場處理之困境研商會議」，以瞭解教育現場遭遇困難、有待協助事項及相關法規。</w:t>
      </w:r>
    </w:p>
    <w:p w:rsidR="003807A5" w:rsidRPr="00AC77DF" w:rsidRDefault="003807A5" w:rsidP="00425EE5">
      <w:pPr>
        <w:pStyle w:val="1----"/>
        <w:ind w:left="600" w:hanging="360"/>
      </w:pPr>
      <w:r w:rsidRPr="00AC77DF">
        <w:t>7</w:t>
      </w:r>
      <w:r w:rsidRPr="00AC77DF">
        <w:t>、社家署辦理「未成年懷孕預防及家庭支持宣導計畫」，透過多元媒體及網路宣導策略，吸引更多青少年注意，讓未成年懷孕當事人、未成年小爸媽及其重要他人，知悉未成年懷孕諮詢及求助管道，協助有需求的兒少妥善面對處理並做好人生規劃。</w:t>
      </w:r>
    </w:p>
    <w:p w:rsidR="003807A5" w:rsidRPr="00AC77DF" w:rsidRDefault="003807A5" w:rsidP="00425EE5">
      <w:pPr>
        <w:pStyle w:val="1----"/>
        <w:ind w:left="600" w:hanging="360"/>
      </w:pPr>
      <w:r w:rsidRPr="00AC77DF">
        <w:t>8</w:t>
      </w:r>
      <w:r w:rsidRPr="00AC77DF">
        <w:t>、國健署已於</w:t>
      </w:r>
      <w:r w:rsidRPr="00AC77DF">
        <w:t>106</w:t>
      </w:r>
      <w:r w:rsidRPr="00AC77DF">
        <w:t>年</w:t>
      </w:r>
      <w:r w:rsidRPr="00AC77DF">
        <w:t>11</w:t>
      </w:r>
      <w:r w:rsidRPr="00AC77DF">
        <w:t>月</w:t>
      </w:r>
      <w:r w:rsidRPr="00AC77DF">
        <w:t>3</w:t>
      </w:r>
      <w:r w:rsidRPr="00AC77DF">
        <w:t>日進行青少年網站</w:t>
      </w:r>
      <w:r w:rsidR="000E22D5">
        <w:rPr>
          <w:rFonts w:hint="eastAsia"/>
        </w:rPr>
        <w:t>－</w:t>
      </w:r>
      <w:r w:rsidRPr="00AC77DF">
        <w:t>性福</w:t>
      </w:r>
      <w:r w:rsidRPr="00AC77DF">
        <w:t>e</w:t>
      </w:r>
      <w:r w:rsidRPr="00AC77DF">
        <w:t>學園（</w:t>
      </w:r>
      <w:r w:rsidRPr="00AC77DF">
        <w:t>http://young.hpa.gov.tw</w:t>
      </w:r>
      <w:r w:rsidRPr="00AC77DF">
        <w:t>）架構改版，以強化青少年瀏覽使用，俾利民眾透過手機、平板等行動裝置瀏覽，並於同年</w:t>
      </w:r>
      <w:r w:rsidRPr="00AC77DF">
        <w:t>11</w:t>
      </w:r>
      <w:r w:rsidRPr="00AC77DF">
        <w:t>月</w:t>
      </w:r>
      <w:r w:rsidRPr="00AC77DF">
        <w:t>15</w:t>
      </w:r>
      <w:r w:rsidRPr="00AC77DF">
        <w:t>日函請教育部轉各級學校、地方政府衛生局</w:t>
      </w:r>
      <w:r w:rsidRPr="00AC77DF">
        <w:lastRenderedPageBreak/>
        <w:t>協助傳播；為提供各類障別使用，配合</w:t>
      </w:r>
      <w:r>
        <w:rPr>
          <w:rFonts w:hint="eastAsia"/>
        </w:rPr>
        <w:t>通傳會</w:t>
      </w:r>
      <w:r w:rsidRPr="00AC77DF">
        <w:t>審查及檢測，於</w:t>
      </w:r>
      <w:r w:rsidRPr="00AC77DF">
        <w:t>106</w:t>
      </w:r>
      <w:r w:rsidRPr="00AC77DF">
        <w:t>年</w:t>
      </w:r>
      <w:r w:rsidRPr="00AC77DF">
        <w:t>12</w:t>
      </w:r>
      <w:r w:rsidRPr="00AC77DF">
        <w:t>月完成網站無障礙之</w:t>
      </w:r>
      <w:r w:rsidRPr="00AC77DF">
        <w:t>AA</w:t>
      </w:r>
      <w:r w:rsidRPr="00AC77DF">
        <w:t>等級認證作業；另規劃新增多元性別領域專家，協助網站內容審查，以使網站內容符合性平教育及性別多元之精神。</w:t>
      </w:r>
    </w:p>
    <w:p w:rsidR="003807A5" w:rsidRPr="00AC77DF" w:rsidRDefault="003F6235" w:rsidP="00FA42B3">
      <w:pPr>
        <w:pStyle w:val="afff1"/>
        <w:spacing w:before="360" w:after="360"/>
      </w:pPr>
      <w:bookmarkStart w:id="364" w:name="_Toc528942502"/>
      <w:r>
        <w:rPr>
          <w:rFonts w:hint="eastAsia"/>
        </w:rPr>
        <w:t>(四)</w:t>
      </w:r>
      <w:r w:rsidR="003807A5" w:rsidRPr="00AC77DF">
        <w:t>案件進展</w:t>
      </w:r>
      <w:bookmarkEnd w:id="364"/>
    </w:p>
    <w:p w:rsidR="003807A5" w:rsidRDefault="003807A5" w:rsidP="00B7222B">
      <w:pPr>
        <w:pStyle w:val="1---"/>
        <w:ind w:firstLine="480"/>
        <w:rPr>
          <w:lang w:eastAsia="zh-TW"/>
        </w:rPr>
      </w:pPr>
      <w:r w:rsidRPr="00AC77DF">
        <w:t>本案行政院雖已督促所屬提出檢討改善措施，惟相關權責機關尚未確實掌握未成年少女懷孕人數，亦無建立相關勾稽比對機制，諸多事項實徒具形式，且嚴重缺乏具體改善績效可資考評。監察院仍持續列管追蹤後續改善辦理情形，達成預防未成年少女懷孕及生子問題，</w:t>
      </w:r>
      <w:r w:rsidR="00755B13">
        <w:rPr>
          <w:rFonts w:hint="eastAsia"/>
        </w:rPr>
        <w:t>以</w:t>
      </w:r>
      <w:r w:rsidRPr="00AC77DF">
        <w:t>保障婦女權</w:t>
      </w:r>
      <w:r w:rsidR="00755B13">
        <w:rPr>
          <w:rFonts w:hint="eastAsia"/>
        </w:rPr>
        <w:t>益</w:t>
      </w:r>
      <w:r w:rsidRPr="00AC77DF">
        <w:t>。</w:t>
      </w:r>
    </w:p>
    <w:p w:rsidR="003F6235" w:rsidRDefault="003F6235" w:rsidP="00B7222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3964"/>
      </w:tblGrid>
      <w:tr w:rsidR="003F6235" w:rsidTr="00E75A4D">
        <w:tc>
          <w:tcPr>
            <w:tcW w:w="3964" w:type="dxa"/>
            <w:shd w:val="clear" w:color="auto" w:fill="D9D9D9" w:themeFill="background1" w:themeFillShade="D9"/>
          </w:tcPr>
          <w:p w:rsidR="003F6235" w:rsidRDefault="003F6235" w:rsidP="003F6235">
            <w:pPr>
              <w:pStyle w:val="11-"/>
              <w:spacing w:before="72" w:after="108"/>
              <w:rPr>
                <w:lang w:eastAsia="zh-TW"/>
              </w:rPr>
            </w:pPr>
            <w:bookmarkStart w:id="365" w:name="_Toc528942493"/>
            <w:bookmarkStart w:id="366" w:name="_Toc535228379"/>
            <w:bookmarkStart w:id="367" w:name="_Toc4058790"/>
            <w:r w:rsidRPr="00AC77DF">
              <w:t>精神疾患家庭</w:t>
            </w:r>
            <w:r w:rsidRPr="00AC77DF">
              <w:rPr>
                <w:lang w:eastAsia="zh-HK"/>
              </w:rPr>
              <w:t>之兒少</w:t>
            </w:r>
            <w:r w:rsidRPr="00AC77DF">
              <w:t>保護案</w:t>
            </w:r>
            <w:bookmarkEnd w:id="365"/>
            <w:bookmarkEnd w:id="366"/>
            <w:bookmarkEnd w:id="367"/>
          </w:p>
        </w:tc>
      </w:tr>
    </w:tbl>
    <w:p w:rsidR="003807A5" w:rsidRPr="00AC77DF" w:rsidRDefault="003807A5" w:rsidP="003F6235">
      <w:pPr>
        <w:pStyle w:val="1---"/>
        <w:ind w:firstLine="480"/>
      </w:pPr>
    </w:p>
    <w:tbl>
      <w:tblPr>
        <w:tblW w:w="4756" w:type="pct"/>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16"/>
      </w:tblGrid>
      <w:tr w:rsidR="003807A5" w:rsidRPr="00AC77DF" w:rsidTr="00E75A4D">
        <w:tc>
          <w:tcPr>
            <w:tcW w:w="5000" w:type="pct"/>
          </w:tcPr>
          <w:p w:rsidR="003807A5" w:rsidRPr="00AC77DF" w:rsidRDefault="003807A5" w:rsidP="00E75A4D">
            <w:pPr>
              <w:spacing w:line="360" w:lineRule="exact"/>
              <w:jc w:val="both"/>
              <w:rPr>
                <w:lang w:val="x-none"/>
              </w:rPr>
            </w:pPr>
            <w:r w:rsidRPr="00AC77DF">
              <w:rPr>
                <w:b/>
                <w:lang w:val="x-none"/>
              </w:rPr>
              <w:t>相關國際人權公約：</w:t>
            </w:r>
            <w:r w:rsidRPr="00AC77DF">
              <w:t>公民與政治權利國際公約第</w:t>
            </w:r>
            <w:r w:rsidRPr="00AC77DF">
              <w:t>24</w:t>
            </w:r>
            <w:r w:rsidRPr="00AC77DF">
              <w:t>條；經濟社會文化權利國際公約第</w:t>
            </w:r>
            <w:r w:rsidRPr="00AC77DF">
              <w:t>10</w:t>
            </w:r>
            <w:r w:rsidRPr="00AC77DF">
              <w:t>條；兒童權利公約前言、第</w:t>
            </w:r>
            <w:r w:rsidRPr="00AC77DF">
              <w:t>6</w:t>
            </w:r>
            <w:r w:rsidRPr="00AC77DF">
              <w:t>條、第</w:t>
            </w:r>
            <w:r w:rsidRPr="00AC77DF">
              <w:t>18</w:t>
            </w:r>
            <w:r w:rsidRPr="00AC77DF">
              <w:t>條、第</w:t>
            </w:r>
            <w:r w:rsidRPr="00AC77DF">
              <w:t>19</w:t>
            </w:r>
            <w:r w:rsidRPr="00AC77DF">
              <w:t>條</w:t>
            </w:r>
            <w:r w:rsidRPr="00AC77DF">
              <w:rPr>
                <w:lang w:val="x-none"/>
              </w:rPr>
              <w:t xml:space="preserve"> </w:t>
            </w:r>
          </w:p>
          <w:p w:rsidR="003807A5" w:rsidRPr="00AC77DF" w:rsidRDefault="003807A5" w:rsidP="00E75A4D">
            <w:pPr>
              <w:spacing w:line="360" w:lineRule="exact"/>
              <w:jc w:val="both"/>
              <w:rPr>
                <w:b/>
                <w:lang w:val="x-none"/>
              </w:rPr>
            </w:pPr>
            <w:r w:rsidRPr="00AC77DF">
              <w:rPr>
                <w:b/>
              </w:rPr>
              <w:t>公民與政治權利國際公約</w:t>
            </w:r>
            <w:r w:rsidRPr="00AC77DF">
              <w:rPr>
                <w:b/>
                <w:lang w:val="x-none"/>
              </w:rPr>
              <w:t>第</w:t>
            </w:r>
            <w:r w:rsidRPr="00AC77DF">
              <w:rPr>
                <w:b/>
                <w:lang w:val="x-none"/>
              </w:rPr>
              <w:t>24</w:t>
            </w:r>
            <w:r w:rsidRPr="00AC77DF">
              <w:rPr>
                <w:b/>
                <w:lang w:val="x-none"/>
              </w:rPr>
              <w:t>條</w:t>
            </w:r>
          </w:p>
          <w:p w:rsidR="003807A5" w:rsidRPr="00AC77DF" w:rsidRDefault="003807A5" w:rsidP="00E75A4D">
            <w:pPr>
              <w:spacing w:line="360" w:lineRule="exact"/>
              <w:ind w:left="480" w:hangingChars="200" w:hanging="480"/>
              <w:jc w:val="both"/>
              <w:rPr>
                <w:lang w:val="x-none"/>
              </w:rPr>
            </w:pPr>
            <w:r w:rsidRPr="00AC77DF">
              <w:rPr>
                <w:lang w:val="x-none"/>
              </w:rPr>
              <w:t>一、所有兒童有權享受家庭、社會及國家為其未成年身分給予之必需保護措施，不因種族、膚色、性別、語言、宗教、民族本源或社會階級、財產、或出生而受歧視。</w:t>
            </w:r>
          </w:p>
          <w:p w:rsidR="003807A5" w:rsidRPr="00AC77DF" w:rsidRDefault="003807A5" w:rsidP="00E75A4D">
            <w:pPr>
              <w:spacing w:line="360" w:lineRule="exact"/>
              <w:jc w:val="both"/>
              <w:rPr>
                <w:lang w:val="x-none"/>
              </w:rPr>
            </w:pPr>
            <w:r w:rsidRPr="00AC77DF">
              <w:rPr>
                <w:lang w:val="x-none"/>
              </w:rPr>
              <w:t>二、所有兒童出生後應立予登記，並取得名字。</w:t>
            </w:r>
          </w:p>
          <w:p w:rsidR="003807A5" w:rsidRPr="00AC77DF" w:rsidRDefault="003807A5" w:rsidP="00E75A4D">
            <w:pPr>
              <w:spacing w:line="360" w:lineRule="exact"/>
              <w:jc w:val="both"/>
              <w:rPr>
                <w:lang w:val="x-none"/>
              </w:rPr>
            </w:pPr>
            <w:r w:rsidRPr="00AC77DF">
              <w:rPr>
                <w:lang w:val="x-none"/>
              </w:rPr>
              <w:t>三、所有兒童有取得國籍之權。</w:t>
            </w:r>
          </w:p>
          <w:p w:rsidR="003807A5" w:rsidRPr="00AC77DF" w:rsidRDefault="003807A5" w:rsidP="00E75A4D">
            <w:pPr>
              <w:spacing w:line="360" w:lineRule="exact"/>
              <w:jc w:val="both"/>
              <w:rPr>
                <w:b/>
              </w:rPr>
            </w:pPr>
            <w:r w:rsidRPr="00AC77DF">
              <w:rPr>
                <w:b/>
              </w:rPr>
              <w:lastRenderedPageBreak/>
              <w:t>經濟社會文化權利國際公約第</w:t>
            </w:r>
            <w:r w:rsidRPr="00AC77DF">
              <w:rPr>
                <w:b/>
              </w:rPr>
              <w:t>10</w:t>
            </w:r>
            <w:r w:rsidRPr="00AC77DF">
              <w:rPr>
                <w:b/>
              </w:rPr>
              <w:t>條</w:t>
            </w:r>
          </w:p>
          <w:p w:rsidR="003807A5" w:rsidRPr="00AC77DF" w:rsidRDefault="003807A5" w:rsidP="00E75A4D">
            <w:pPr>
              <w:spacing w:line="360" w:lineRule="exact"/>
              <w:jc w:val="both"/>
            </w:pPr>
            <w:r w:rsidRPr="00AC77DF">
              <w:t>本公約締約國確認：</w:t>
            </w:r>
          </w:p>
          <w:p w:rsidR="003807A5" w:rsidRPr="00AC77DF" w:rsidRDefault="003807A5" w:rsidP="00E75A4D">
            <w:pPr>
              <w:spacing w:line="360" w:lineRule="exact"/>
              <w:ind w:left="480" w:hangingChars="200" w:hanging="480"/>
              <w:jc w:val="both"/>
              <w:rPr>
                <w:lang w:val="x-none"/>
              </w:rPr>
            </w:pPr>
            <w:r w:rsidRPr="00AC77DF">
              <w:t>一、家庭為社會之自然基本團體單位，應儘力廣予保護與協助，其成立及當其負責養護教育</w:t>
            </w:r>
            <w:r w:rsidRPr="00AC77DF">
              <w:rPr>
                <w:lang w:val="x-none"/>
              </w:rPr>
              <w:t>受扶養之兒童時，尤應予以保護與協助。婚姻必須婚嫁雙方自由同意方得締結。</w:t>
            </w:r>
          </w:p>
          <w:p w:rsidR="003807A5" w:rsidRPr="00AC77DF" w:rsidRDefault="003807A5" w:rsidP="00E75A4D">
            <w:pPr>
              <w:spacing w:line="360" w:lineRule="exact"/>
              <w:ind w:left="480" w:hangingChars="200" w:hanging="480"/>
              <w:jc w:val="both"/>
              <w:rPr>
                <w:lang w:val="x-none"/>
              </w:rPr>
            </w:pPr>
            <w:r w:rsidRPr="00AC77DF">
              <w:rPr>
                <w:lang w:val="x-none"/>
              </w:rPr>
              <w:t>二、母親於分娩前後相當期間內應受特別保護。工作之母親在此期間應享受照給薪資或有適當社會保障福利之休假。</w:t>
            </w:r>
          </w:p>
          <w:p w:rsidR="003807A5" w:rsidRPr="00AC77DF" w:rsidRDefault="003807A5" w:rsidP="00E75A4D">
            <w:pPr>
              <w:spacing w:line="360" w:lineRule="exact"/>
              <w:ind w:left="480" w:hangingChars="200" w:hanging="480"/>
              <w:jc w:val="both"/>
              <w:rPr>
                <w:b/>
              </w:rPr>
            </w:pPr>
            <w:r w:rsidRPr="00AC77DF">
              <w:rPr>
                <w:lang w:val="x-none"/>
              </w:rPr>
              <w:t>三、所有兒童及少年應有特種措施予以保護與協助，不得因出生或其他關係而受任何歧視。兒童及青年應有保障、免受經濟及社會剝削。凡僱用兒童及少年從事對其道德或健康有害、</w:t>
            </w:r>
            <w:r w:rsidRPr="00AC77DF">
              <w:t>或有生命危險、或可能妨礙正常發育之工作者均應依法懲罰。國家亦應訂定年齡限制，凡出資僱用未及齡之童工，均應禁止並應依法懲罰。</w:t>
            </w:r>
          </w:p>
          <w:p w:rsidR="003807A5" w:rsidRPr="00AC77DF" w:rsidRDefault="003807A5" w:rsidP="00E75A4D">
            <w:pPr>
              <w:spacing w:line="360" w:lineRule="exact"/>
              <w:jc w:val="both"/>
              <w:rPr>
                <w:b/>
              </w:rPr>
            </w:pPr>
            <w:r w:rsidRPr="00AC77DF">
              <w:rPr>
                <w:b/>
              </w:rPr>
              <w:t>兒童權利公約第</w:t>
            </w:r>
            <w:r w:rsidRPr="00AC77DF">
              <w:rPr>
                <w:b/>
              </w:rPr>
              <w:t>18</w:t>
            </w:r>
            <w:r w:rsidRPr="00AC77DF">
              <w:rPr>
                <w:b/>
              </w:rPr>
              <w:t>條</w:t>
            </w:r>
          </w:p>
          <w:p w:rsidR="003807A5" w:rsidRPr="00AC77DF" w:rsidRDefault="003807A5" w:rsidP="00E75A4D">
            <w:pPr>
              <w:spacing w:line="360" w:lineRule="exact"/>
              <w:ind w:left="480" w:hangingChars="200" w:hanging="480"/>
              <w:jc w:val="both"/>
              <w:rPr>
                <w:lang w:val="x-none"/>
              </w:rPr>
            </w:pPr>
            <w:r w:rsidRPr="00AC77DF">
              <w:t>一、締約國應盡其最大努力，確保父母雙方對兒童的養育與發展負共同責任的原則獲得確認</w:t>
            </w:r>
            <w:r w:rsidRPr="00AC77DF">
              <w:rPr>
                <w:lang w:val="x-none"/>
              </w:rPr>
              <w:t>。父母、或視情況而定的法定監護人對兒童之養育與發展負擔主要責任。兒童之最佳利益應為其基本考量。</w:t>
            </w:r>
          </w:p>
          <w:p w:rsidR="003807A5" w:rsidRPr="00AC77DF" w:rsidRDefault="003807A5" w:rsidP="00E75A4D">
            <w:pPr>
              <w:spacing w:line="360" w:lineRule="exact"/>
              <w:ind w:left="480" w:hangingChars="200" w:hanging="480"/>
              <w:jc w:val="both"/>
              <w:rPr>
                <w:lang w:val="x-none"/>
              </w:rPr>
            </w:pPr>
            <w:r w:rsidRPr="00AC77DF">
              <w:rPr>
                <w:lang w:val="x-none"/>
              </w:rPr>
              <w:t>二、為保證和促進本公約所揭示之權利，締約國應於父母與法定監護人在擔負養育兒童責任時給予適當之協助，並確保照顧兒童之機構、設施與服務業務之發展。</w:t>
            </w:r>
          </w:p>
          <w:p w:rsidR="003807A5" w:rsidRPr="00AC77DF" w:rsidRDefault="003807A5" w:rsidP="00E75A4D">
            <w:pPr>
              <w:spacing w:line="360" w:lineRule="exact"/>
              <w:ind w:left="480" w:hangingChars="200" w:hanging="480"/>
              <w:jc w:val="both"/>
            </w:pPr>
            <w:r w:rsidRPr="00AC77DF">
              <w:rPr>
                <w:lang w:val="x-none"/>
              </w:rPr>
              <w:t>三、締約</w:t>
            </w:r>
            <w:r w:rsidRPr="00AC77DF">
              <w:t>國應採取一切適當措施確保就業父母之子女有權享有依其資格應有之托兒服務與設施。</w:t>
            </w:r>
          </w:p>
          <w:p w:rsidR="003807A5" w:rsidRPr="00AC77DF" w:rsidRDefault="003807A5" w:rsidP="00E75A4D">
            <w:pPr>
              <w:spacing w:line="360" w:lineRule="exact"/>
              <w:jc w:val="both"/>
              <w:rPr>
                <w:b/>
              </w:rPr>
            </w:pPr>
            <w:r w:rsidRPr="00AC77DF">
              <w:rPr>
                <w:b/>
              </w:rPr>
              <w:lastRenderedPageBreak/>
              <w:t>兒童權利公約第</w:t>
            </w:r>
            <w:r w:rsidRPr="00AC77DF">
              <w:rPr>
                <w:b/>
              </w:rPr>
              <w:t>19</w:t>
            </w:r>
            <w:r w:rsidRPr="00AC77DF">
              <w:rPr>
                <w:b/>
              </w:rPr>
              <w:t>條</w:t>
            </w:r>
          </w:p>
          <w:p w:rsidR="003807A5" w:rsidRPr="00AC77DF" w:rsidRDefault="003807A5" w:rsidP="00E75A4D">
            <w:pPr>
              <w:spacing w:line="360" w:lineRule="exact"/>
              <w:ind w:left="480" w:hangingChars="200" w:hanging="480"/>
              <w:jc w:val="both"/>
              <w:rPr>
                <w:lang w:val="x-none"/>
              </w:rPr>
            </w:pPr>
            <w:r w:rsidRPr="00AC77DF">
              <w:rPr>
                <w:lang w:val="x-none"/>
              </w:rPr>
              <w:t>一、締約國應採取一切適當之立法、行政、社會與教育措施，保護兒童於受其父母、法定監護人或其他照顧兒童之人照顧時，不受到任何形式之身心暴力、傷害或虐待，疏忽或疏失，不當對待或剝削，包括性虐待。</w:t>
            </w:r>
          </w:p>
          <w:p w:rsidR="003807A5" w:rsidRPr="00AC77DF" w:rsidRDefault="003807A5" w:rsidP="00B302A1">
            <w:pPr>
              <w:spacing w:afterLines="20" w:after="72" w:line="360" w:lineRule="exact"/>
              <w:ind w:left="480" w:hangingChars="200" w:hanging="480"/>
              <w:jc w:val="both"/>
              <w:rPr>
                <w:lang w:val="x-none"/>
              </w:rPr>
            </w:pPr>
            <w:r w:rsidRPr="00AC77DF">
              <w:rPr>
                <w:lang w:val="x-none"/>
              </w:rPr>
              <w:t>二、此等保護措施，如為適當，應包括有效程序以建置社會規劃對兒童與其照顧者提供必要之支持，並對前述兒童不當對待事件採取其他預防方式與用以指認、報告、轉介、調查、處理與後續追蹤，以及，如適當的話，以司法介入。</w:t>
            </w:r>
          </w:p>
        </w:tc>
      </w:tr>
    </w:tbl>
    <w:p w:rsidR="003807A5" w:rsidRPr="00AC77DF" w:rsidRDefault="003F6235" w:rsidP="00B302A1">
      <w:pPr>
        <w:pStyle w:val="afff1"/>
        <w:spacing w:beforeLines="120" w:before="432" w:after="360"/>
      </w:pPr>
      <w:bookmarkStart w:id="368" w:name="_Toc528942494"/>
      <w:r>
        <w:rPr>
          <w:rFonts w:hint="eastAsia"/>
        </w:rPr>
        <w:lastRenderedPageBreak/>
        <w:t>(一)</w:t>
      </w:r>
      <w:r w:rsidR="003807A5" w:rsidRPr="00AC77DF">
        <w:t>案情簡述</w:t>
      </w:r>
      <w:bookmarkEnd w:id="368"/>
    </w:p>
    <w:p w:rsidR="003807A5" w:rsidRPr="00AC77DF" w:rsidRDefault="003807A5" w:rsidP="00B7222B">
      <w:pPr>
        <w:pStyle w:val="1---"/>
        <w:ind w:firstLine="480"/>
        <w:rPr>
          <w:b/>
        </w:rPr>
      </w:pPr>
      <w:r w:rsidRPr="00AC77DF">
        <w:t>104</w:t>
      </w:r>
      <w:r w:rsidRPr="00AC77DF">
        <w:t>年</w:t>
      </w:r>
      <w:r w:rsidRPr="00AC77DF">
        <w:t>7</w:t>
      </w:r>
      <w:r w:rsidRPr="00AC77DF">
        <w:t>月</w:t>
      </w:r>
      <w:r w:rsidRPr="00AC77DF">
        <w:t>11</w:t>
      </w:r>
      <w:r w:rsidRPr="00AC77DF">
        <w:t>日臺南市發生</w:t>
      </w:r>
      <w:r w:rsidRPr="00AC77DF">
        <w:t>1</w:t>
      </w:r>
      <w:r w:rsidRPr="00AC77DF">
        <w:t>名</w:t>
      </w:r>
      <w:r w:rsidRPr="00AC77DF">
        <w:t>2</w:t>
      </w:r>
      <w:r w:rsidRPr="00AC77DF">
        <w:t>歲蔡姓男童疑似遭罹患精神疾病之父親虐死，相關權責機關對於精神疾病及經濟弱勢家庭是否已善盡追蹤訪視之責？對於兒童主要照顧者為精神疾患之家庭，應如何協助？衛政與社政機關對於兒童保護，有無建立及落實合作機制？監察委員爰立案調查。</w:t>
      </w:r>
    </w:p>
    <w:p w:rsidR="003807A5" w:rsidRPr="00AC77DF" w:rsidRDefault="003F6235" w:rsidP="00FA42B3">
      <w:pPr>
        <w:pStyle w:val="afff1"/>
        <w:spacing w:before="360" w:after="360"/>
      </w:pPr>
      <w:bookmarkStart w:id="369" w:name="_Toc528942495"/>
      <w:r>
        <w:rPr>
          <w:rFonts w:hint="eastAsia"/>
        </w:rPr>
        <w:t>(二)</w:t>
      </w:r>
      <w:r w:rsidR="003807A5" w:rsidRPr="00AC77DF">
        <w:t>調查發現與建議</w:t>
      </w:r>
      <w:bookmarkEnd w:id="369"/>
    </w:p>
    <w:p w:rsidR="003807A5" w:rsidRPr="00AC77DF" w:rsidRDefault="00FD29F8" w:rsidP="006B7CBE">
      <w:pPr>
        <w:pStyle w:val="1--13"/>
        <w:spacing w:before="180" w:after="180"/>
        <w:rPr>
          <w:rFonts w:eastAsiaTheme="majorEastAsia"/>
        </w:rPr>
      </w:pPr>
      <w:r w:rsidRPr="008E1832">
        <w:rPr>
          <w:rFonts w:hint="eastAsia"/>
        </w:rPr>
        <w:t>˙</w:t>
      </w:r>
      <w:r w:rsidR="003807A5" w:rsidRPr="00AC77DF">
        <w:t>關懷訪視，流於形式</w:t>
      </w:r>
    </w:p>
    <w:p w:rsidR="003807A5" w:rsidRPr="00AC77DF" w:rsidRDefault="003807A5" w:rsidP="00B7222B">
      <w:pPr>
        <w:pStyle w:val="1---"/>
        <w:ind w:firstLine="480"/>
        <w:rPr>
          <w:b/>
        </w:rPr>
      </w:pPr>
      <w:r w:rsidRPr="00AC77DF">
        <w:t>「精神病患社區關懷訪視」是政府建構社會安全網的具體措施，惟臺南市中西區衛生所對於社區精神病人的照護管理及</w:t>
      </w:r>
      <w:r w:rsidRPr="00AC77DF">
        <w:lastRenderedPageBreak/>
        <w:t>追蹤關懷訪視，流於形式，訪視紀錄也不確實，臺南市政府衛生局怠於督導及稽核，使得該項社會安全機制完全失靈，最終發生蔡父因情緒失控而掐死蔡童的悲劇。</w:t>
      </w:r>
    </w:p>
    <w:p w:rsidR="003807A5" w:rsidRPr="00AC77DF" w:rsidRDefault="003807A5" w:rsidP="00B7222B">
      <w:pPr>
        <w:pStyle w:val="1---"/>
        <w:ind w:firstLine="480"/>
        <w:rPr>
          <w:lang w:eastAsia="zh-TW"/>
        </w:rPr>
      </w:pPr>
      <w:r w:rsidRPr="00AC77DF">
        <w:t>本案為低收入戶，蔡童又屬</w:t>
      </w:r>
      <w:r w:rsidRPr="00AC77DF">
        <w:t>6</w:t>
      </w:r>
      <w:r w:rsidRPr="00AC77DF">
        <w:t>歲以下的幼童，加上蔡父患有精神疾病，獨自背負著全家經濟重擔，卻長期失業。臺南市政府雖將蔡童納入「</w:t>
      </w:r>
      <w:r w:rsidRPr="00AC77DF">
        <w:t>6</w:t>
      </w:r>
      <w:r w:rsidRPr="00AC77DF">
        <w:t>歲以下弱勢兒童主動關懷方案</w:t>
      </w:r>
      <w:r w:rsidRPr="00E75A4D">
        <w:rPr>
          <w:spacing w:val="-30"/>
        </w:rPr>
        <w:t>」</w:t>
      </w:r>
      <w:r w:rsidRPr="00AC77DF">
        <w:t>，惟社政單位僅訪視</w:t>
      </w:r>
      <w:r w:rsidRPr="00AC77DF">
        <w:t>1</w:t>
      </w:r>
      <w:r w:rsidRPr="00AC77DF">
        <w:t>次，即未再追蹤關懷，也未與網絡單位聯繫合作，以持續掌握蔡童受照顧狀況；衛政單位對於蔡童遲遲未能完成預防接種，直到期限將屆始安排家訪，惟在未及家訪前，即發生蔡父失控掐死蔡童的憾事。</w:t>
      </w:r>
    </w:p>
    <w:p w:rsidR="003807A5" w:rsidRPr="00AC77DF" w:rsidRDefault="00FD29F8" w:rsidP="006B7CBE">
      <w:pPr>
        <w:pStyle w:val="1--13"/>
        <w:spacing w:before="180" w:after="180"/>
      </w:pPr>
      <w:r w:rsidRPr="008E1832">
        <w:rPr>
          <w:rFonts w:hint="eastAsia"/>
        </w:rPr>
        <w:t>˙</w:t>
      </w:r>
      <w:r w:rsidR="003807A5" w:rsidRPr="00AC77DF">
        <w:t>未建立資源整合及共享機制</w:t>
      </w:r>
    </w:p>
    <w:p w:rsidR="003807A5" w:rsidRPr="00AC77DF" w:rsidRDefault="003807A5" w:rsidP="00B7222B">
      <w:pPr>
        <w:pStyle w:val="1---"/>
        <w:ind w:firstLine="480"/>
        <w:rPr>
          <w:b/>
        </w:rPr>
      </w:pPr>
      <w:r w:rsidRPr="00AC77DF">
        <w:t>衛福部雖已推行「</w:t>
      </w:r>
      <w:r w:rsidRPr="00AC77DF">
        <w:t>6</w:t>
      </w:r>
      <w:r w:rsidRPr="00AC77DF">
        <w:t>歲以下弱勢兒童主動關懷方案</w:t>
      </w:r>
      <w:r w:rsidRPr="00E75A4D">
        <w:rPr>
          <w:spacing w:val="-30"/>
        </w:rPr>
        <w:t>」</w:t>
      </w:r>
      <w:r w:rsidRPr="00AC77DF">
        <w:t>，以預防兒虐不幸事件的發生，惟本案家庭同時存在許多危機因子，臺南市政府相關機關卻各行其是，彼此欠缺有效的聯繫合作機制，無法全盤掌握及整合案家所有的風險因子及兒虐徵兆。</w:t>
      </w:r>
    </w:p>
    <w:p w:rsidR="003807A5" w:rsidRPr="00AC77DF" w:rsidRDefault="003807A5" w:rsidP="00E75A4D">
      <w:pPr>
        <w:pStyle w:val="1---"/>
        <w:ind w:firstLine="480"/>
        <w:jc w:val="distribute"/>
        <w:rPr>
          <w:b/>
        </w:rPr>
      </w:pPr>
      <w:r w:rsidRPr="00AC77DF">
        <w:t>依據本案調查意見</w:t>
      </w:r>
      <w:r w:rsidRPr="00AC77DF">
        <w:rPr>
          <w:rStyle w:val="aff2"/>
        </w:rPr>
        <w:footnoteReference w:id="92"/>
      </w:r>
      <w:r w:rsidRPr="00AC77DF">
        <w:t>，監察院糾正臺南市政府衛生局，並</w:t>
      </w:r>
      <w:r w:rsidRPr="00E75A4D">
        <w:rPr>
          <w:spacing w:val="-2"/>
        </w:rPr>
        <w:t>函請該府確實檢討改進見復；另函請衛福部確實檢討改進見復。</w:t>
      </w:r>
    </w:p>
    <w:p w:rsidR="003807A5" w:rsidRPr="00AC77DF" w:rsidRDefault="003F6235" w:rsidP="00FA42B3">
      <w:pPr>
        <w:pStyle w:val="afff1"/>
        <w:spacing w:before="360" w:after="360"/>
      </w:pPr>
      <w:bookmarkStart w:id="370" w:name="_Toc528942496"/>
      <w:r>
        <w:rPr>
          <w:rFonts w:hint="eastAsia"/>
        </w:rPr>
        <w:t>(三)</w:t>
      </w:r>
      <w:r w:rsidR="003807A5" w:rsidRPr="00AC77DF">
        <w:t>政府機關改善情形</w:t>
      </w:r>
      <w:bookmarkEnd w:id="370"/>
    </w:p>
    <w:p w:rsidR="003807A5" w:rsidRPr="00AC77DF" w:rsidRDefault="003807A5" w:rsidP="00425EE5">
      <w:pPr>
        <w:pStyle w:val="1----"/>
        <w:ind w:left="600" w:hanging="360"/>
      </w:pPr>
      <w:r w:rsidRPr="00AC77DF">
        <w:t>1</w:t>
      </w:r>
      <w:r w:rsidRPr="00AC77DF">
        <w:t>、經衛福部持續督導並提出改善意見後，臺南市政府已訂定相關作業規範、召開督導會議、檢討社區個案追蹤情形、</w:t>
      </w:r>
      <w:r w:rsidRPr="00AC77DF">
        <w:lastRenderedPageBreak/>
        <w:t>強化跨單位聯繫、進行督導考核等，並已納</w:t>
      </w:r>
      <w:r w:rsidR="000E210E">
        <w:rPr>
          <w:rFonts w:hint="eastAsia"/>
          <w:lang w:eastAsia="zh-TW"/>
        </w:rPr>
        <w:t>入</w:t>
      </w:r>
      <w:r w:rsidRPr="00AC77DF">
        <w:t>例行作為。</w:t>
      </w:r>
    </w:p>
    <w:p w:rsidR="003807A5" w:rsidRPr="00AC77DF" w:rsidRDefault="003807A5" w:rsidP="00425EE5">
      <w:pPr>
        <w:pStyle w:val="1----"/>
        <w:ind w:left="600" w:hanging="360"/>
      </w:pPr>
      <w:r w:rsidRPr="00AC77DF">
        <w:t>2</w:t>
      </w:r>
      <w:r w:rsidRPr="00AC77DF">
        <w:t>、為強化醫療機構與公共衛生體系之結合，以銜接出院病人後續社區追蹤照護銜接機制，衛福部已責成地方衛生局督促醫療機構將精神病人出院準備計畫上傳精神照護資訊管理系統，以利分派公共衛生護士收案管理，並將醫療機構上傳出院準備計畫後，公共衛生護士於兩星期內之訪視率，列為該部補助各地方政府辦理「整合型心理健康計畫」之衡量指標。此外，該部已於</w:t>
      </w:r>
      <w:r w:rsidRPr="00AC77DF">
        <w:t>106</w:t>
      </w:r>
      <w:r w:rsidRPr="00AC77DF">
        <w:t>年</w:t>
      </w:r>
      <w:r w:rsidRPr="00AC77DF">
        <w:t>7</w:t>
      </w:r>
      <w:r w:rsidRPr="00AC77DF">
        <w:t>月進行精神照護資訊管理系統之「系統功能增修</w:t>
      </w:r>
      <w:r w:rsidRPr="00E75A4D">
        <w:rPr>
          <w:spacing w:val="-26"/>
        </w:rPr>
        <w:t>」</w:t>
      </w:r>
      <w:r w:rsidRPr="00AC77DF">
        <w:t>，針對系統功能訪視紀錄單選項之「就醫現況」選擇「病情不穩定」及「不規則就醫</w:t>
      </w:r>
      <w:r w:rsidRPr="00E75A4D">
        <w:rPr>
          <w:spacing w:val="-26"/>
        </w:rPr>
        <w:t>」、</w:t>
      </w:r>
      <w:r w:rsidRPr="00AC77DF">
        <w:t>「拒絕就醫」之情形，依照顧級數，訂</w:t>
      </w:r>
      <w:r w:rsidRPr="00E75A4D">
        <w:rPr>
          <w:spacing w:val="-26"/>
        </w:rPr>
        <w:t>定</w:t>
      </w:r>
      <w:r w:rsidRPr="00AC77DF">
        <w:t>1</w:t>
      </w:r>
      <w:r w:rsidRPr="00E75A4D">
        <w:rPr>
          <w:spacing w:val="-26"/>
        </w:rPr>
        <w:t>4</w:t>
      </w:r>
      <w:r w:rsidRPr="00AC77DF">
        <w:t>日</w:t>
      </w:r>
      <w:r w:rsidRPr="00E75A4D">
        <w:rPr>
          <w:spacing w:val="-26"/>
        </w:rPr>
        <w:t>及</w:t>
      </w:r>
      <w:r w:rsidRPr="00AC77DF">
        <w:t>30</w:t>
      </w:r>
      <w:r w:rsidRPr="00E75A4D">
        <w:rPr>
          <w:spacing w:val="2"/>
        </w:rPr>
        <w:t>日再訪機制，以利掌握個案就醫資訊，於必要時協助就醫。</w:t>
      </w:r>
    </w:p>
    <w:p w:rsidR="003807A5" w:rsidRDefault="003807A5" w:rsidP="00425EE5">
      <w:pPr>
        <w:pStyle w:val="1----"/>
        <w:ind w:left="600" w:hanging="360"/>
        <w:rPr>
          <w:lang w:eastAsia="zh-TW"/>
        </w:rPr>
      </w:pPr>
      <w:r w:rsidRPr="00AC77DF">
        <w:t>3</w:t>
      </w:r>
      <w:r w:rsidRPr="00AC77DF">
        <w:t>、衛福部於</w:t>
      </w:r>
      <w:r w:rsidRPr="00AC77DF">
        <w:t>106</w:t>
      </w:r>
      <w:r w:rsidRPr="00AC77DF">
        <w:t>年運用公益彩券回饋金辦理「強化潛在兒少高風險家庭預警篩檢機制計畫</w:t>
      </w:r>
      <w:r w:rsidRPr="00E75A4D">
        <w:rPr>
          <w:spacing w:val="-26"/>
        </w:rPr>
        <w:t>」</w:t>
      </w:r>
      <w:r w:rsidRPr="00AC77DF">
        <w:t>，規劃透過兒少高風險家庭個案管理平台個案資料與精照管理系統、自殺防治系統、婦幼安全通報系統、刑案資訊整合系統、受刑人資料庫、獄政系統、全國幼兒園幼生管理系統、托育人員登記管理資訊系統等之個案資料進行比對，並在既有</w:t>
      </w:r>
      <w:r w:rsidRPr="00AC77DF">
        <w:t>6</w:t>
      </w:r>
      <w:r w:rsidRPr="00AC77DF">
        <w:t>歲以下弱勢兒童主動關懷個案管理平台擴充資料交換，以提升社工員訪視時之敏感度。藉由前開資訊系統的比對，倘家庭具風險因子較高者，則加強訪視並結合相關網絡單位共同提供適切服務。</w:t>
      </w:r>
    </w:p>
    <w:p w:rsidR="00E75A4D" w:rsidRPr="00E75A4D" w:rsidRDefault="00E75A4D" w:rsidP="00425EE5">
      <w:pPr>
        <w:pStyle w:val="1----"/>
        <w:ind w:left="600" w:hanging="360"/>
        <w:rPr>
          <w:dstrike/>
          <w:lang w:eastAsia="zh-TW"/>
        </w:rPr>
      </w:pPr>
    </w:p>
    <w:p w:rsidR="003807A5" w:rsidRPr="00AC77DF" w:rsidRDefault="003F6235" w:rsidP="00FA42B3">
      <w:pPr>
        <w:pStyle w:val="afff1"/>
        <w:spacing w:before="360" w:after="360"/>
      </w:pPr>
      <w:bookmarkStart w:id="371" w:name="_Toc528942497"/>
      <w:r>
        <w:rPr>
          <w:rFonts w:hint="eastAsia"/>
        </w:rPr>
        <w:lastRenderedPageBreak/>
        <w:t>(四)</w:t>
      </w:r>
      <w:r w:rsidR="003807A5" w:rsidRPr="00AC77DF">
        <w:t>案件進展</w:t>
      </w:r>
      <w:bookmarkEnd w:id="371"/>
    </w:p>
    <w:p w:rsidR="003807A5" w:rsidRDefault="003807A5" w:rsidP="00B7222B">
      <w:pPr>
        <w:pStyle w:val="1---"/>
        <w:ind w:firstLine="480"/>
        <w:rPr>
          <w:lang w:eastAsia="zh-TW"/>
        </w:rPr>
      </w:pPr>
      <w:r w:rsidRPr="00AC77DF">
        <w:t>本案相關機關已針對缺失進行檢討並提出改善措施，惟為避免此類不幸事件再次發生，仍請衛福部持續督促臺南市政府落實各項改善措施，並自行列管追蹤。</w:t>
      </w:r>
    </w:p>
    <w:p w:rsidR="003F6235" w:rsidRDefault="003F6235" w:rsidP="00B7222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5410"/>
      </w:tblGrid>
      <w:tr w:rsidR="003F6235" w:rsidTr="00E75A4D">
        <w:tc>
          <w:tcPr>
            <w:tcW w:w="5410" w:type="dxa"/>
            <w:shd w:val="clear" w:color="auto" w:fill="D9D9D9" w:themeFill="background1" w:themeFillShade="D9"/>
          </w:tcPr>
          <w:p w:rsidR="003F6235" w:rsidRDefault="003F6235" w:rsidP="003F6235">
            <w:pPr>
              <w:pStyle w:val="11-"/>
              <w:spacing w:before="72" w:after="108"/>
              <w:rPr>
                <w:lang w:eastAsia="zh-TW"/>
              </w:rPr>
            </w:pPr>
            <w:bookmarkStart w:id="372" w:name="_Toc535228380"/>
            <w:bookmarkStart w:id="373" w:name="_Toc4058791"/>
            <w:r w:rsidRPr="00AC77DF">
              <w:t>失智症資訊揭露未盡</w:t>
            </w:r>
            <w:r w:rsidR="000E210E">
              <w:rPr>
                <w:rFonts w:hint="eastAsia"/>
                <w:lang w:eastAsia="zh-TW"/>
              </w:rPr>
              <w:t>及</w:t>
            </w:r>
            <w:r w:rsidRPr="00AC77DF">
              <w:t>時</w:t>
            </w:r>
            <w:bookmarkEnd w:id="372"/>
            <w:r>
              <w:rPr>
                <w:rFonts w:hint="eastAsia"/>
                <w:lang w:eastAsia="zh-HK"/>
              </w:rPr>
              <w:t>且服務量不足</w:t>
            </w:r>
            <w:bookmarkEnd w:id="373"/>
          </w:p>
        </w:tc>
      </w:tr>
      <w:bookmarkEnd w:id="360"/>
    </w:tbl>
    <w:p w:rsidR="003807A5" w:rsidRPr="00AC77DF" w:rsidRDefault="003807A5" w:rsidP="003F6235">
      <w:pPr>
        <w:pStyle w:val="1---"/>
        <w:ind w:firstLine="480"/>
      </w:pPr>
    </w:p>
    <w:tbl>
      <w:tblPr>
        <w:tblW w:w="4777" w:type="pct"/>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44"/>
      </w:tblGrid>
      <w:tr w:rsidR="003807A5" w:rsidRPr="00AC77DF" w:rsidTr="00E75A4D">
        <w:tc>
          <w:tcPr>
            <w:tcW w:w="5000" w:type="pct"/>
          </w:tcPr>
          <w:p w:rsidR="003807A5" w:rsidRPr="00AC77DF" w:rsidRDefault="003807A5" w:rsidP="00E75A4D">
            <w:pPr>
              <w:spacing w:line="360" w:lineRule="exact"/>
              <w:jc w:val="both"/>
              <w:rPr>
                <w:lang w:val="x-none"/>
              </w:rPr>
            </w:pPr>
            <w:r w:rsidRPr="00AC77DF">
              <w:rPr>
                <w:b/>
                <w:lang w:val="x-none"/>
              </w:rPr>
              <w:t>相關國際人權公約：</w:t>
            </w:r>
            <w:r w:rsidRPr="00AC77DF">
              <w:t>公民與政治權利國際公約第</w:t>
            </w:r>
            <w:r w:rsidRPr="00AC77DF">
              <w:t>2</w:t>
            </w:r>
            <w:r w:rsidRPr="00AC77DF">
              <w:t>條、第</w:t>
            </w:r>
            <w:r w:rsidRPr="00AC77DF">
              <w:t>6</w:t>
            </w:r>
            <w:r w:rsidRPr="00AC77DF">
              <w:t>條第</w:t>
            </w:r>
            <w:r w:rsidRPr="00AC77DF">
              <w:t>1</w:t>
            </w:r>
            <w:r w:rsidRPr="00AC77DF">
              <w:t>項；經濟社會文化權利國際公約第</w:t>
            </w:r>
            <w:r w:rsidRPr="00AC77DF">
              <w:t>2</w:t>
            </w:r>
            <w:r w:rsidRPr="00AC77DF">
              <w:t>條、第</w:t>
            </w:r>
            <w:r w:rsidRPr="00AC77DF">
              <w:t>3</w:t>
            </w:r>
            <w:r w:rsidRPr="00AC77DF">
              <w:t>條、第</w:t>
            </w:r>
            <w:r w:rsidRPr="00AC77DF">
              <w:t>9</w:t>
            </w:r>
            <w:r w:rsidRPr="00AC77DF">
              <w:t>條、第</w:t>
            </w:r>
            <w:r w:rsidRPr="00AC77DF">
              <w:t>12</w:t>
            </w:r>
            <w:r w:rsidRPr="00AC77DF">
              <w:t>條</w:t>
            </w:r>
          </w:p>
          <w:p w:rsidR="003807A5" w:rsidRPr="00AC77DF" w:rsidRDefault="003807A5" w:rsidP="00E75A4D">
            <w:pPr>
              <w:spacing w:line="360" w:lineRule="exact"/>
              <w:jc w:val="both"/>
              <w:rPr>
                <w:b/>
                <w:lang w:val="x-none"/>
              </w:rPr>
            </w:pPr>
            <w:r w:rsidRPr="00AC77DF">
              <w:rPr>
                <w:b/>
              </w:rPr>
              <w:t>公民與政治權利國際公約</w:t>
            </w:r>
            <w:r w:rsidRPr="00AC77DF">
              <w:rPr>
                <w:b/>
                <w:lang w:val="x-none"/>
              </w:rPr>
              <w:t>第</w:t>
            </w:r>
            <w:r w:rsidRPr="00AC77DF">
              <w:rPr>
                <w:b/>
                <w:lang w:val="x-none"/>
              </w:rPr>
              <w:t>2</w:t>
            </w:r>
            <w:r w:rsidRPr="00AC77DF">
              <w:rPr>
                <w:b/>
                <w:lang w:val="x-none"/>
              </w:rPr>
              <w:t>條</w:t>
            </w:r>
          </w:p>
          <w:p w:rsidR="003807A5" w:rsidRPr="00AC77DF" w:rsidRDefault="003807A5" w:rsidP="00E75A4D">
            <w:pPr>
              <w:kinsoku w:val="0"/>
              <w:spacing w:line="360" w:lineRule="exact"/>
              <w:ind w:left="480" w:hangingChars="200" w:hanging="480"/>
              <w:jc w:val="both"/>
              <w:rPr>
                <w:lang w:val="x-none"/>
              </w:rPr>
            </w:pPr>
            <w:r w:rsidRPr="00AC77DF">
              <w:rPr>
                <w:lang w:val="x-none"/>
              </w:rPr>
              <w:t>一、本公約締約國承允尊重並確保所有境內受其管轄之人，無分種族、膚色、性別、語言、宗教、政見或其他主張、民族本源或社會階級、財產、出生或其他身分等等，一律享受本公約所確認之權利。</w:t>
            </w:r>
          </w:p>
          <w:p w:rsidR="003807A5" w:rsidRPr="00AC77DF" w:rsidRDefault="003807A5" w:rsidP="00E75A4D">
            <w:pPr>
              <w:spacing w:line="360" w:lineRule="exact"/>
              <w:ind w:left="480" w:hangingChars="200" w:hanging="480"/>
              <w:jc w:val="both"/>
              <w:rPr>
                <w:lang w:val="x-none"/>
              </w:rPr>
            </w:pPr>
            <w:r w:rsidRPr="00AC77DF">
              <w:rPr>
                <w:lang w:val="x-none"/>
              </w:rPr>
              <w:t>二、本公約締約國承允遇現行立法或其他措施尚無規定時，各依本國憲法程序，並遵照本公約規定，採取必要步驟，制定必要之立法或其他措施，以實現本公約所確認之權利。</w:t>
            </w:r>
          </w:p>
          <w:p w:rsidR="003807A5" w:rsidRPr="00AC77DF" w:rsidRDefault="003807A5" w:rsidP="00E75A4D">
            <w:pPr>
              <w:spacing w:line="360" w:lineRule="exact"/>
              <w:jc w:val="both"/>
              <w:rPr>
                <w:lang w:val="x-none"/>
              </w:rPr>
            </w:pPr>
            <w:r w:rsidRPr="00AC77DF">
              <w:rPr>
                <w:lang w:val="x-none"/>
              </w:rPr>
              <w:t>三、本公約締約國承允：</w:t>
            </w:r>
          </w:p>
          <w:p w:rsidR="003807A5" w:rsidRPr="00AC77DF" w:rsidRDefault="00E75A4D" w:rsidP="00E75A4D">
            <w:pPr>
              <w:kinsoku w:val="0"/>
              <w:spacing w:line="360" w:lineRule="exact"/>
              <w:ind w:left="912" w:hangingChars="380" w:hanging="912"/>
              <w:jc w:val="both"/>
              <w:rPr>
                <w:lang w:val="x-none"/>
              </w:rPr>
            </w:pPr>
            <w:r>
              <w:rPr>
                <w:rFonts w:hint="eastAsia"/>
                <w:lang w:val="x-none"/>
              </w:rPr>
              <w:t xml:space="preserve">　　</w:t>
            </w:r>
            <w:r>
              <w:rPr>
                <w:rFonts w:hint="eastAsia"/>
                <w:lang w:val="x-none"/>
              </w:rPr>
              <w:t>(</w:t>
            </w:r>
            <w:r w:rsidR="003807A5" w:rsidRPr="00AC77DF">
              <w:rPr>
                <w:lang w:val="x-none"/>
              </w:rPr>
              <w:t>一</w:t>
            </w:r>
            <w:r>
              <w:rPr>
                <w:rFonts w:hint="eastAsia"/>
                <w:lang w:val="x-none"/>
              </w:rPr>
              <w:t>)</w:t>
            </w:r>
            <w:r w:rsidR="003807A5" w:rsidRPr="00AC77DF">
              <w:rPr>
                <w:lang w:val="x-none"/>
              </w:rPr>
              <w:t>確保任何人所享本公約確認之權利或自由如遭受侵害，均獲有效之救濟，公務員執行職務所犯之侵權行為，亦不例外；</w:t>
            </w:r>
          </w:p>
          <w:p w:rsidR="003807A5" w:rsidRPr="00AC77DF" w:rsidRDefault="00E75A4D" w:rsidP="00E75A4D">
            <w:pPr>
              <w:kinsoku w:val="0"/>
              <w:spacing w:line="360" w:lineRule="exact"/>
              <w:ind w:left="912" w:hangingChars="380" w:hanging="912"/>
              <w:jc w:val="both"/>
              <w:rPr>
                <w:lang w:val="x-none"/>
              </w:rPr>
            </w:pPr>
            <w:r>
              <w:rPr>
                <w:rFonts w:hint="eastAsia"/>
                <w:lang w:val="x-none"/>
              </w:rPr>
              <w:lastRenderedPageBreak/>
              <w:t xml:space="preserve">　　</w:t>
            </w:r>
            <w:r>
              <w:rPr>
                <w:rFonts w:hint="eastAsia"/>
                <w:lang w:val="x-none"/>
              </w:rPr>
              <w:t>(</w:t>
            </w:r>
            <w:r w:rsidR="003807A5" w:rsidRPr="00AC77DF">
              <w:rPr>
                <w:lang w:val="x-none"/>
              </w:rPr>
              <w:t>二</w:t>
            </w:r>
            <w:r>
              <w:rPr>
                <w:rFonts w:hint="eastAsia"/>
                <w:lang w:val="x-none"/>
              </w:rPr>
              <w:t>)</w:t>
            </w:r>
            <w:r w:rsidR="003807A5" w:rsidRPr="00AC77DF">
              <w:rPr>
                <w:lang w:val="x-none"/>
              </w:rPr>
              <w:t>確保上項救濟聲請人之救濟權利，由主管司法、行政或立法當局裁定，或由該國法律制度規定之其他主管當局裁定，並推廣司法救濟之機會；</w:t>
            </w:r>
          </w:p>
          <w:p w:rsidR="003807A5" w:rsidRPr="00AC77DF" w:rsidRDefault="00E75A4D" w:rsidP="00E75A4D">
            <w:pPr>
              <w:spacing w:line="360" w:lineRule="exact"/>
              <w:jc w:val="both"/>
              <w:rPr>
                <w:lang w:val="x-none"/>
              </w:rPr>
            </w:pPr>
            <w:r>
              <w:rPr>
                <w:rFonts w:hint="eastAsia"/>
                <w:lang w:val="x-none"/>
              </w:rPr>
              <w:t xml:space="preserve">　　</w:t>
            </w:r>
            <w:r>
              <w:rPr>
                <w:rFonts w:hint="eastAsia"/>
                <w:lang w:val="x-none"/>
              </w:rPr>
              <w:t>(</w:t>
            </w:r>
            <w:r w:rsidR="003807A5" w:rsidRPr="00AC77DF">
              <w:rPr>
                <w:lang w:val="x-none"/>
              </w:rPr>
              <w:t>三</w:t>
            </w:r>
            <w:r>
              <w:rPr>
                <w:rFonts w:hint="eastAsia"/>
                <w:lang w:val="x-none"/>
              </w:rPr>
              <w:t>)</w:t>
            </w:r>
            <w:r w:rsidR="003807A5" w:rsidRPr="00AC77DF">
              <w:rPr>
                <w:lang w:val="x-none"/>
              </w:rPr>
              <w:t>確保上項救濟一經核准，主管當局概予執行。</w:t>
            </w:r>
          </w:p>
          <w:p w:rsidR="003807A5" w:rsidRPr="00AC77DF" w:rsidRDefault="003807A5" w:rsidP="00E75A4D">
            <w:pPr>
              <w:spacing w:line="360" w:lineRule="exact"/>
              <w:jc w:val="both"/>
              <w:rPr>
                <w:b/>
                <w:lang w:val="x-none"/>
              </w:rPr>
            </w:pPr>
            <w:r w:rsidRPr="00AC77DF">
              <w:rPr>
                <w:b/>
              </w:rPr>
              <w:t>經濟社會文化權利國際公約</w:t>
            </w:r>
            <w:r w:rsidRPr="00AC77DF">
              <w:rPr>
                <w:b/>
                <w:lang w:val="x-none"/>
              </w:rPr>
              <w:t>第</w:t>
            </w:r>
            <w:r w:rsidRPr="00AC77DF">
              <w:rPr>
                <w:b/>
                <w:lang w:val="x-none"/>
              </w:rPr>
              <w:t>2</w:t>
            </w:r>
            <w:r w:rsidRPr="00AC77DF">
              <w:rPr>
                <w:b/>
                <w:lang w:val="x-none"/>
              </w:rPr>
              <w:t>條</w:t>
            </w:r>
          </w:p>
          <w:p w:rsidR="003807A5" w:rsidRPr="00AC77DF" w:rsidRDefault="003807A5" w:rsidP="00E75A4D">
            <w:pPr>
              <w:spacing w:line="360" w:lineRule="exact"/>
              <w:ind w:left="480" w:hangingChars="200" w:hanging="480"/>
              <w:jc w:val="both"/>
              <w:rPr>
                <w:lang w:val="x-none"/>
              </w:rPr>
            </w:pPr>
            <w:r w:rsidRPr="00AC77DF">
              <w:rPr>
                <w:lang w:val="x-none"/>
              </w:rPr>
              <w:t>一、本公約締約國承允盡其資源能力所及，各自並藉國際協助與合作，特別在經濟與技術方面之協助與合作採取種種步驟，務期以所有適當方法，尤其包括通過立法措施，逐漸使本公約所確認之各種權利完全實現。</w:t>
            </w:r>
          </w:p>
          <w:p w:rsidR="003807A5" w:rsidRPr="00AC77DF" w:rsidRDefault="003807A5" w:rsidP="00E75A4D">
            <w:pPr>
              <w:spacing w:line="360" w:lineRule="exact"/>
              <w:ind w:left="480" w:hangingChars="200" w:hanging="480"/>
              <w:jc w:val="both"/>
              <w:rPr>
                <w:lang w:val="x-none"/>
              </w:rPr>
            </w:pPr>
            <w:r w:rsidRPr="00AC77DF">
              <w:rPr>
                <w:lang w:val="x-none"/>
              </w:rPr>
              <w:t>二、本公約締約國承允保證人人行使本公約所載之各種權利，不因種族、膚色、性別、語言、宗教、政見或其他主張、民族本源或社會階級、財產、出生或其他身分等等而受歧視。</w:t>
            </w:r>
          </w:p>
          <w:p w:rsidR="003807A5" w:rsidRPr="00AC77DF" w:rsidRDefault="003807A5" w:rsidP="00E75A4D">
            <w:pPr>
              <w:spacing w:line="360" w:lineRule="exact"/>
              <w:ind w:left="480" w:hangingChars="200" w:hanging="480"/>
              <w:jc w:val="both"/>
              <w:rPr>
                <w:lang w:val="x-none"/>
              </w:rPr>
            </w:pPr>
            <w:r w:rsidRPr="00AC77DF">
              <w:rPr>
                <w:lang w:val="x-none"/>
              </w:rPr>
              <w:t>三、發展中國家在適當顧及人權及國民經濟之情形下，得決定保證非本國國民享受本公約所確認經濟權利之程度。</w:t>
            </w:r>
          </w:p>
          <w:p w:rsidR="003807A5" w:rsidRPr="00AC77DF" w:rsidRDefault="003807A5" w:rsidP="00E75A4D">
            <w:pPr>
              <w:spacing w:line="360" w:lineRule="exact"/>
              <w:jc w:val="both"/>
              <w:rPr>
                <w:b/>
                <w:lang w:val="x-none"/>
              </w:rPr>
            </w:pPr>
            <w:r w:rsidRPr="00AC77DF">
              <w:rPr>
                <w:b/>
              </w:rPr>
              <w:t>經濟社會文化權利國際公約</w:t>
            </w:r>
            <w:r w:rsidRPr="00AC77DF">
              <w:rPr>
                <w:b/>
                <w:lang w:val="x-none"/>
              </w:rPr>
              <w:t>第</w:t>
            </w:r>
            <w:r w:rsidRPr="00AC77DF">
              <w:rPr>
                <w:b/>
                <w:lang w:val="x-none"/>
              </w:rPr>
              <w:t>9</w:t>
            </w:r>
            <w:r w:rsidRPr="00AC77DF">
              <w:rPr>
                <w:b/>
                <w:lang w:val="x-none"/>
              </w:rPr>
              <w:t>條</w:t>
            </w:r>
          </w:p>
          <w:p w:rsidR="003807A5" w:rsidRPr="00AC77DF" w:rsidRDefault="003807A5" w:rsidP="00FD6062">
            <w:pPr>
              <w:spacing w:afterLines="30" w:after="108" w:line="360" w:lineRule="exact"/>
              <w:jc w:val="both"/>
              <w:rPr>
                <w:lang w:val="x-none"/>
              </w:rPr>
            </w:pPr>
            <w:r w:rsidRPr="00AC77DF">
              <w:rPr>
                <w:lang w:val="x-none"/>
              </w:rPr>
              <w:t>本公約締約國確認人人有權享受社會保障，包括社會保險。</w:t>
            </w:r>
          </w:p>
        </w:tc>
      </w:tr>
    </w:tbl>
    <w:p w:rsidR="003807A5" w:rsidRPr="00AC77DF" w:rsidRDefault="003F6235" w:rsidP="00FA42B3">
      <w:pPr>
        <w:pStyle w:val="afff1"/>
        <w:spacing w:before="360" w:after="360"/>
      </w:pPr>
      <w:bookmarkStart w:id="374" w:name="_Toc528942489"/>
      <w:r>
        <w:rPr>
          <w:rFonts w:hint="eastAsia"/>
        </w:rPr>
        <w:lastRenderedPageBreak/>
        <w:t>(一)</w:t>
      </w:r>
      <w:r w:rsidR="003807A5" w:rsidRPr="00AC77DF">
        <w:t>案情簡述</w:t>
      </w:r>
      <w:bookmarkEnd w:id="374"/>
    </w:p>
    <w:p w:rsidR="003807A5" w:rsidRPr="00AC77DF" w:rsidRDefault="003807A5" w:rsidP="00B7222B">
      <w:pPr>
        <w:pStyle w:val="1---"/>
        <w:ind w:firstLine="480"/>
      </w:pPr>
      <w:r w:rsidRPr="00AC77DF">
        <w:t>審計部中央政府</w:t>
      </w:r>
      <w:r w:rsidRPr="00AC77DF">
        <w:t>104</w:t>
      </w:r>
      <w:r w:rsidRPr="00AC77DF">
        <w:t>年度總決算審核報告對失智症防治照護綱領暨方案提出審核意見，指出失智症資訊揭露未盡</w:t>
      </w:r>
      <w:r w:rsidR="000E210E">
        <w:rPr>
          <w:rFonts w:hint="eastAsia"/>
          <w:lang w:eastAsia="zh-TW"/>
        </w:rPr>
        <w:t>及</w:t>
      </w:r>
      <w:r w:rsidRPr="00AC77DF">
        <w:t>時便民，服務量能仍有不足，監察委員爰立案調查。</w:t>
      </w:r>
    </w:p>
    <w:p w:rsidR="003807A5" w:rsidRPr="00AC77DF" w:rsidRDefault="003F6235" w:rsidP="00FA42B3">
      <w:pPr>
        <w:pStyle w:val="afff1"/>
        <w:spacing w:before="360" w:after="360"/>
      </w:pPr>
      <w:bookmarkStart w:id="375" w:name="_Toc528942490"/>
      <w:r>
        <w:rPr>
          <w:rFonts w:hint="eastAsia"/>
        </w:rPr>
        <w:lastRenderedPageBreak/>
        <w:t>(二)</w:t>
      </w:r>
      <w:r w:rsidR="003807A5" w:rsidRPr="00AC77DF">
        <w:t>調查發現與建議</w:t>
      </w:r>
      <w:bookmarkEnd w:id="375"/>
    </w:p>
    <w:p w:rsidR="003807A5" w:rsidRPr="00AC77DF" w:rsidRDefault="00FD29F8" w:rsidP="006B7CBE">
      <w:pPr>
        <w:pStyle w:val="1--13"/>
        <w:spacing w:before="180" w:after="180"/>
      </w:pPr>
      <w:r w:rsidRPr="008E1832">
        <w:rPr>
          <w:rFonts w:hint="eastAsia"/>
        </w:rPr>
        <w:t>˙</w:t>
      </w:r>
      <w:r w:rsidR="003807A5" w:rsidRPr="00AC77DF">
        <w:t>提高民眾對失智症之正確認知</w:t>
      </w:r>
    </w:p>
    <w:p w:rsidR="003807A5" w:rsidRPr="00AC77DF" w:rsidRDefault="003807A5" w:rsidP="00B7222B">
      <w:pPr>
        <w:pStyle w:val="1---"/>
        <w:ind w:firstLine="480"/>
      </w:pPr>
      <w:r w:rsidRPr="00AC77DF">
        <w:t>國內有許多失智症者隱藏在社區中未被發現，衛福部應提高社區及民眾對失智症之正確認知及警覺性，並結合醫療照護、社區據點、社會福利團體及村里等社區組織，主動發掘社區內認知功能障礙及疑似失智症者，協助其等至醫療院所</w:t>
      </w:r>
      <w:r w:rsidR="000E210E">
        <w:rPr>
          <w:rFonts w:hint="eastAsia"/>
          <w:lang w:eastAsia="zh-TW"/>
        </w:rPr>
        <w:t>及</w:t>
      </w:r>
      <w:r w:rsidRPr="00AC77DF">
        <w:t>時進行篩檢或診斷，使個案及早接受醫療及照護。</w:t>
      </w:r>
    </w:p>
    <w:p w:rsidR="003807A5" w:rsidRPr="00AC77DF" w:rsidRDefault="003807A5" w:rsidP="00B7222B">
      <w:pPr>
        <w:pStyle w:val="1---"/>
        <w:ind w:firstLine="480"/>
      </w:pPr>
      <w:r w:rsidRPr="00AC77DF">
        <w:t>國內失智症確診率約</w:t>
      </w:r>
      <w:r w:rsidRPr="00AC77DF">
        <w:t>3</w:t>
      </w:r>
      <w:r w:rsidRPr="00AC77DF">
        <w:t>成，與</w:t>
      </w:r>
      <w:r w:rsidRPr="00AC77DF">
        <w:t>WHO</w:t>
      </w:r>
      <w:r w:rsidRPr="00AC77DF">
        <w:t>訂定之目標</w:t>
      </w:r>
      <w:r w:rsidRPr="00510AAB">
        <w:rPr>
          <w:spacing w:val="-10"/>
        </w:rPr>
        <w:t>值</w:t>
      </w:r>
      <w:r w:rsidRPr="00AC77DF">
        <w:t>50%</w:t>
      </w:r>
      <w:r w:rsidRPr="00AC77DF">
        <w:t>有明顯落差，衛福部應促進基層照護體系對失智症者照護需求之認知，將失智症防治作為基層保健醫療照護之重要環節，並建置可近性高之失智症評估及診治網絡，及早發現失智症者，並適時介入協助。</w:t>
      </w:r>
    </w:p>
    <w:p w:rsidR="003807A5" w:rsidRPr="00AC77DF" w:rsidRDefault="00FD29F8" w:rsidP="006B7CBE">
      <w:pPr>
        <w:pStyle w:val="1--13"/>
        <w:spacing w:before="180" w:after="180"/>
        <w:rPr>
          <w:b/>
        </w:rPr>
      </w:pPr>
      <w:r w:rsidRPr="008E1832">
        <w:rPr>
          <w:rFonts w:hint="eastAsia"/>
        </w:rPr>
        <w:t>˙</w:t>
      </w:r>
      <w:r w:rsidR="003807A5" w:rsidRPr="00AC77DF">
        <w:t>失智症照顧資源不足</w:t>
      </w:r>
    </w:p>
    <w:p w:rsidR="003807A5" w:rsidRPr="00AC77DF" w:rsidRDefault="003807A5" w:rsidP="00B7222B">
      <w:pPr>
        <w:pStyle w:val="1---"/>
        <w:ind w:firstLine="480"/>
      </w:pPr>
      <w:r w:rsidRPr="00AC77DF">
        <w:t>失智症者接受長照十年計畫服務人數甚，衛福部應協助失智症者依其不同病程之需求獲得早期介入服務及適當治療，延緩惡化及維持生活品質，並紓解家庭照顧者之沈重壓力。</w:t>
      </w:r>
    </w:p>
    <w:p w:rsidR="003807A5" w:rsidRPr="00AC77DF" w:rsidRDefault="003807A5" w:rsidP="00B7222B">
      <w:pPr>
        <w:pStyle w:val="1---"/>
        <w:ind w:firstLine="480"/>
      </w:pPr>
      <w:r w:rsidRPr="00AC77DF">
        <w:t>相較於國內失智人口，國內失智症照顧資源仍嚴重不足，衛福部應加速資源之佈建，協助民間服務提供單位解決土地使用、建築取得等問題。行政院宜協助衛福部與內政部營建署、消防署跨專業之協調與聯繫，研議法規鬆綁之可行性，減少單位取得提供服務所需空間之困難。</w:t>
      </w:r>
    </w:p>
    <w:p w:rsidR="003807A5" w:rsidRPr="00AC77DF" w:rsidRDefault="003807A5" w:rsidP="00B7222B">
      <w:pPr>
        <w:pStyle w:val="1---"/>
        <w:ind w:firstLine="480"/>
        <w:rPr>
          <w:lang w:eastAsia="zh-TW"/>
        </w:rPr>
      </w:pPr>
      <w:r w:rsidRPr="00AC77DF">
        <w:t>國內目前有</w:t>
      </w:r>
      <w:r w:rsidRPr="00AC77DF">
        <w:t>8</w:t>
      </w:r>
      <w:r w:rsidRPr="00AC77DF">
        <w:t>縣市失智症者機構住宿式服務未達佈建目標</w:t>
      </w:r>
      <w:r w:rsidRPr="00AC77DF">
        <w:lastRenderedPageBreak/>
        <w:t>，且有為數不少之失智症者住進未設有失智專區之住宿型機構，衛福部應強化失智症專責床位之佈建；另護理之家及老人福利機構設立失智專區並未統一相關之設置標準，亦請衛福部研議其適當性。</w:t>
      </w:r>
    </w:p>
    <w:p w:rsidR="003807A5" w:rsidRPr="00AC77DF" w:rsidRDefault="00FD29F8" w:rsidP="006B7CBE">
      <w:pPr>
        <w:pStyle w:val="1--13"/>
        <w:spacing w:before="180" w:after="180"/>
      </w:pPr>
      <w:r w:rsidRPr="008E1832">
        <w:rPr>
          <w:rFonts w:hint="eastAsia"/>
        </w:rPr>
        <w:t>˙</w:t>
      </w:r>
      <w:r w:rsidR="003807A5" w:rsidRPr="00AC77DF">
        <w:t>強化家庭照顧者支持網絡</w:t>
      </w:r>
    </w:p>
    <w:p w:rsidR="003807A5" w:rsidRPr="00AC77DF" w:rsidRDefault="003807A5" w:rsidP="00B7222B">
      <w:pPr>
        <w:pStyle w:val="1---"/>
        <w:ind w:firstLine="480"/>
        <w:rPr>
          <w:lang w:eastAsia="zh-TW"/>
        </w:rPr>
      </w:pPr>
      <w:r w:rsidRPr="00AC77DF">
        <w:t>失智症家庭照顧者在長期照顧失智症者之過程中，將面臨各項挑戰，目前能獲得之照顧者支持卻相當有限。衛福部應強化家庭照顧者支持網絡，提供諮詢、多元支持性服務，並加強提供照顧技能之教育訓練，協助紓解照顧重擔。</w:t>
      </w:r>
    </w:p>
    <w:p w:rsidR="003807A5" w:rsidRPr="00AC77DF" w:rsidRDefault="00FD29F8" w:rsidP="006B7CBE">
      <w:pPr>
        <w:pStyle w:val="1--13"/>
        <w:spacing w:before="180" w:after="180"/>
      </w:pPr>
      <w:r w:rsidRPr="008E1832">
        <w:rPr>
          <w:rFonts w:hint="eastAsia"/>
        </w:rPr>
        <w:t>˙</w:t>
      </w:r>
      <w:r w:rsidR="003807A5" w:rsidRPr="00AC77DF">
        <w:t>整合醫療及照顧之服務資源</w:t>
      </w:r>
    </w:p>
    <w:p w:rsidR="003807A5" w:rsidRPr="00AC77DF" w:rsidRDefault="003807A5" w:rsidP="00B7222B">
      <w:pPr>
        <w:pStyle w:val="1---"/>
        <w:ind w:firstLine="480"/>
      </w:pPr>
      <w:r w:rsidRPr="00AC77DF">
        <w:t>國內目前醫院失智症整合門診未強制要求設置個案管理師，亦未設置全國失智症登錄管理系統，故各級醫院及社區尚無法整合醫療及照顧之服務資源，且未能持續追蹤個案醫療及長照服務使用狀況。衛福部宜建置個案管理及資源整合機制，提供失智症者個別化、整合性且連續性之服務。</w:t>
      </w:r>
    </w:p>
    <w:p w:rsidR="003807A5" w:rsidRPr="00AC77DF" w:rsidRDefault="003807A5" w:rsidP="00B7222B">
      <w:pPr>
        <w:pStyle w:val="1---"/>
        <w:ind w:firstLine="480"/>
        <w:rPr>
          <w:lang w:eastAsia="zh-TW"/>
        </w:rPr>
      </w:pPr>
      <w:r w:rsidRPr="00AC77DF">
        <w:t>106</w:t>
      </w:r>
      <w:r w:rsidRPr="00AC77DF">
        <w:t>年長照照顧服務員人力有</w:t>
      </w:r>
      <w:r w:rsidRPr="00AC77DF">
        <w:t>5,295</w:t>
      </w:r>
      <w:r w:rsidRPr="00AC77DF">
        <w:t>人至</w:t>
      </w:r>
      <w:r w:rsidRPr="00AC77DF">
        <w:t>12,981</w:t>
      </w:r>
      <w:r w:rsidRPr="00AC77DF">
        <w:t>人之缺口，醫事專業人力及社工人力各有</w:t>
      </w:r>
      <w:r w:rsidRPr="00AC77DF">
        <w:t>8,422</w:t>
      </w:r>
      <w:r w:rsidRPr="00AC77DF">
        <w:t>人及</w:t>
      </w:r>
      <w:r w:rsidRPr="00AC77DF">
        <w:t>648</w:t>
      </w:r>
      <w:r w:rsidRPr="00AC77DF">
        <w:t>人之缺口；單以長照照顧服務員計算，</w:t>
      </w:r>
      <w:r w:rsidRPr="00AC77DF">
        <w:t>107</w:t>
      </w:r>
      <w:r w:rsidRPr="00AC77DF">
        <w:t>年需增加</w:t>
      </w:r>
      <w:r w:rsidRPr="00AC77DF">
        <w:t>11,368</w:t>
      </w:r>
      <w:r w:rsidRPr="00AC77DF">
        <w:t>人、</w:t>
      </w:r>
      <w:r w:rsidRPr="00AC77DF">
        <w:t>108</w:t>
      </w:r>
      <w:r w:rsidRPr="00AC77DF">
        <w:t>年需增加</w:t>
      </w:r>
      <w:r w:rsidRPr="00AC77DF">
        <w:t>13,801</w:t>
      </w:r>
      <w:r w:rsidRPr="00AC77DF">
        <w:t>人、</w:t>
      </w:r>
      <w:r w:rsidRPr="00AC77DF">
        <w:t>109</w:t>
      </w:r>
      <w:r w:rsidRPr="00AC77DF">
        <w:t>年需增加</w:t>
      </w:r>
      <w:r w:rsidRPr="00AC77DF">
        <w:t>15,855</w:t>
      </w:r>
      <w:r w:rsidRPr="00AC77DF">
        <w:t>人，即</w:t>
      </w:r>
      <w:r w:rsidRPr="00AC77DF">
        <w:t>4</w:t>
      </w:r>
      <w:r w:rsidRPr="00AC77DF">
        <w:t>年內需再增加</w:t>
      </w:r>
      <w:r w:rsidRPr="00AC77DF">
        <w:t>4</w:t>
      </w:r>
      <w:r w:rsidRPr="00AC77DF">
        <w:t>至</w:t>
      </w:r>
      <w:r w:rsidRPr="00AC77DF">
        <w:t>5</w:t>
      </w:r>
      <w:r w:rsidRPr="00AC77DF">
        <w:t>萬人；而失智症者需要長時間之陪伴及專業看護，較失能者更難照顧，未來勢必面臨照護人力及知能不足之問題。衛福部應加速充實失智症長照服務人力，並強化培訓醫事、社福及長照相關人員對失智症之照顧知識及技能。</w:t>
      </w:r>
    </w:p>
    <w:p w:rsidR="003807A5" w:rsidRPr="00AC77DF" w:rsidRDefault="00FD29F8" w:rsidP="006B7CBE">
      <w:pPr>
        <w:pStyle w:val="1--13"/>
        <w:spacing w:before="180" w:after="180"/>
      </w:pPr>
      <w:r w:rsidRPr="008E1832">
        <w:rPr>
          <w:rFonts w:hint="eastAsia"/>
        </w:rPr>
        <w:lastRenderedPageBreak/>
        <w:t>˙</w:t>
      </w:r>
      <w:r w:rsidR="003807A5" w:rsidRPr="00AC77DF">
        <w:t>提供友善照護環境</w:t>
      </w:r>
    </w:p>
    <w:p w:rsidR="003807A5" w:rsidRPr="00AC77DF" w:rsidRDefault="003807A5" w:rsidP="00B7222B">
      <w:pPr>
        <w:pStyle w:val="1---"/>
        <w:ind w:firstLine="480"/>
      </w:pPr>
      <w:r w:rsidRPr="00AC77DF">
        <w:t>國健署已推動高齡友善健康照護機構認證，提供長者友善支持之照護環境，惟深入社區之基層院所參與意願低，有待強化參與誘因，以達成政策目標。</w:t>
      </w:r>
    </w:p>
    <w:p w:rsidR="003807A5" w:rsidRPr="00AC77DF" w:rsidRDefault="003807A5" w:rsidP="00B7222B">
      <w:pPr>
        <w:pStyle w:val="1---"/>
        <w:ind w:firstLine="480"/>
      </w:pPr>
      <w:r w:rsidRPr="00AC77DF">
        <w:t>依據本案調查意見</w:t>
      </w:r>
      <w:r w:rsidRPr="00CD57A3">
        <w:rPr>
          <w:rStyle w:val="aff2"/>
          <w:color w:val="000000" w:themeColor="text1"/>
        </w:rPr>
        <w:footnoteReference w:id="93"/>
      </w:r>
      <w:r w:rsidRPr="00AC77DF">
        <w:t>，監察院函請行政院參考；另函請衛福部檢討改進見復。</w:t>
      </w:r>
    </w:p>
    <w:p w:rsidR="003807A5" w:rsidRPr="00AC77DF" w:rsidRDefault="003F6235" w:rsidP="00FA42B3">
      <w:pPr>
        <w:pStyle w:val="afff1"/>
        <w:spacing w:before="360" w:after="360"/>
      </w:pPr>
      <w:bookmarkStart w:id="376" w:name="_Toc528942491"/>
      <w:r>
        <w:rPr>
          <w:rFonts w:hint="eastAsia"/>
        </w:rPr>
        <w:t>(三)</w:t>
      </w:r>
      <w:r w:rsidR="003807A5" w:rsidRPr="00AC77DF">
        <w:t>政府機關改善情形</w:t>
      </w:r>
      <w:bookmarkEnd w:id="376"/>
    </w:p>
    <w:p w:rsidR="003807A5" w:rsidRPr="00AC77DF" w:rsidRDefault="003807A5" w:rsidP="00425EE5">
      <w:pPr>
        <w:pStyle w:val="1----"/>
        <w:ind w:left="600" w:hanging="360"/>
      </w:pPr>
      <w:r w:rsidRPr="00AC77DF">
        <w:t>1</w:t>
      </w:r>
      <w:r w:rsidRPr="00AC77DF">
        <w:t>、衛福部為提高社區民眾對失智症之正確認知及警覺性，及使社區中疑似個案早期發現、診療與照護，研擬相關推動策略。</w:t>
      </w:r>
    </w:p>
    <w:p w:rsidR="003807A5" w:rsidRPr="00AC77DF" w:rsidRDefault="003807A5" w:rsidP="00425EE5">
      <w:pPr>
        <w:pStyle w:val="1----"/>
        <w:ind w:left="600" w:hanging="360"/>
      </w:pPr>
      <w:r w:rsidRPr="00AC77DF">
        <w:t>2</w:t>
      </w:r>
      <w:r w:rsidRPr="00AC77DF">
        <w:t>、強化失智社區個案管理機制，廣設失智社區服務據點，強化長者社區預防照顧服務，提升社區照顧關懷據點服務志工對失智症相關服務知能，以利進行後續轉介。</w:t>
      </w:r>
    </w:p>
    <w:p w:rsidR="003807A5" w:rsidRPr="00AC77DF" w:rsidRDefault="003807A5" w:rsidP="00425EE5">
      <w:pPr>
        <w:pStyle w:val="1----"/>
        <w:ind w:left="600" w:hanging="360"/>
      </w:pPr>
      <w:r w:rsidRPr="00AC77DF">
        <w:t>3</w:t>
      </w:r>
      <w:r w:rsidRPr="00AC77DF">
        <w:t>、為及早發現，並適時介入協助，衛福部研擬強化醫事專業人員失智症醫療照護知能等推動策略。</w:t>
      </w:r>
    </w:p>
    <w:p w:rsidR="003807A5" w:rsidRDefault="003807A5" w:rsidP="00425EE5">
      <w:pPr>
        <w:pStyle w:val="1----"/>
        <w:ind w:left="600" w:hanging="360"/>
        <w:rPr>
          <w:lang w:eastAsia="zh-TW"/>
        </w:rPr>
      </w:pPr>
      <w:r w:rsidRPr="00AC77DF">
        <w:t>4</w:t>
      </w:r>
      <w:r w:rsidRPr="00AC77DF">
        <w:t>、為延緩惡化及維持生活品質，並紓解家庭照顧者之沈重壓力，</w:t>
      </w:r>
      <w:r w:rsidR="00585341" w:rsidRPr="00AC77DF">
        <w:t>衛福部</w:t>
      </w:r>
      <w:r w:rsidRPr="00AC77DF">
        <w:t>長照十年計畫</w:t>
      </w:r>
      <w:r w:rsidRPr="00AC77DF">
        <w:t>2.0</w:t>
      </w:r>
      <w:r w:rsidRPr="00AC77DF">
        <w:t>推動失智照護政策，著重增強失智照護資源佈建及個案服務管理機制，並廣設失智社區服務據點，以建構失智症照顧者支持服務網絡。</w:t>
      </w:r>
    </w:p>
    <w:p w:rsidR="00FD6062" w:rsidRPr="00AC77DF" w:rsidRDefault="00FD6062" w:rsidP="00425EE5">
      <w:pPr>
        <w:pStyle w:val="1----"/>
        <w:ind w:left="600" w:hanging="360"/>
        <w:rPr>
          <w:lang w:eastAsia="zh-TW"/>
        </w:rPr>
      </w:pPr>
    </w:p>
    <w:p w:rsidR="003807A5" w:rsidRPr="00AC77DF" w:rsidRDefault="003F6235" w:rsidP="00FA42B3">
      <w:pPr>
        <w:pStyle w:val="afff1"/>
        <w:spacing w:before="360" w:after="360"/>
      </w:pPr>
      <w:bookmarkStart w:id="377" w:name="_Toc528942492"/>
      <w:r>
        <w:rPr>
          <w:rFonts w:hint="eastAsia"/>
        </w:rPr>
        <w:lastRenderedPageBreak/>
        <w:t>(四)</w:t>
      </w:r>
      <w:r w:rsidR="003807A5" w:rsidRPr="00AC77DF">
        <w:t>案件進展</w:t>
      </w:r>
      <w:bookmarkEnd w:id="377"/>
    </w:p>
    <w:p w:rsidR="003807A5" w:rsidRDefault="003807A5" w:rsidP="00B7222B">
      <w:pPr>
        <w:pStyle w:val="1---"/>
        <w:ind w:firstLine="480"/>
        <w:rPr>
          <w:lang w:eastAsia="zh-TW"/>
        </w:rPr>
      </w:pPr>
      <w:r w:rsidRPr="00AC77DF">
        <w:t>按「家有一老，如有一寶</w:t>
      </w:r>
      <w:r w:rsidRPr="00510AAB">
        <w:rPr>
          <w:spacing w:val="-26"/>
        </w:rPr>
        <w:t>」</w:t>
      </w:r>
      <w:r w:rsidRPr="00AC77DF">
        <w:t>，如何達到「老吾老，以及人之老」禮運大同世界，任重道遠，此乃醫療人權重要目標</w:t>
      </w:r>
      <w:r w:rsidR="0017465D">
        <w:t>。</w:t>
      </w:r>
      <w:r w:rsidRPr="00AC77DF">
        <w:t>監察院為國家人權院，為有效解決失智症資訊揭露未盡</w:t>
      </w:r>
      <w:r w:rsidR="000E210E">
        <w:rPr>
          <w:rFonts w:hint="eastAsia"/>
          <w:lang w:eastAsia="zh-TW"/>
        </w:rPr>
        <w:t>及</w:t>
      </w:r>
      <w:r w:rsidRPr="00AC77DF">
        <w:t>時便民，服務量能仍有不足等情，監察院仍持續列管追蹤</w:t>
      </w:r>
      <w:r w:rsidR="00AE4905" w:rsidRPr="00AC77DF">
        <w:t>本案</w:t>
      </w:r>
      <w:r w:rsidRPr="00AC77DF">
        <w:t>改善情形，以</w:t>
      </w:r>
      <w:r w:rsidR="00AE4905">
        <w:rPr>
          <w:rFonts w:hint="eastAsia"/>
        </w:rPr>
        <w:t>保障</w:t>
      </w:r>
      <w:r w:rsidRPr="00AC77DF">
        <w:t>失智者及其照顧者之基本人權。</w:t>
      </w:r>
    </w:p>
    <w:p w:rsidR="003F6235" w:rsidRDefault="003F6235" w:rsidP="00B7222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4560"/>
      </w:tblGrid>
      <w:tr w:rsidR="003F6235" w:rsidTr="00510AAB">
        <w:tc>
          <w:tcPr>
            <w:tcW w:w="4560" w:type="dxa"/>
            <w:shd w:val="clear" w:color="auto" w:fill="D9D9D9" w:themeFill="background1" w:themeFillShade="D9"/>
          </w:tcPr>
          <w:p w:rsidR="003F6235" w:rsidRDefault="003F6235" w:rsidP="003F6235">
            <w:pPr>
              <w:pStyle w:val="11-"/>
              <w:spacing w:before="72" w:after="108"/>
              <w:rPr>
                <w:b/>
                <w:lang w:eastAsia="zh-TW"/>
              </w:rPr>
            </w:pPr>
            <w:bookmarkStart w:id="378" w:name="_Toc528942458"/>
            <w:bookmarkStart w:id="379" w:name="_Toc535228381"/>
            <w:bookmarkStart w:id="380" w:name="_Toc4058792"/>
            <w:r w:rsidRPr="00AC77DF">
              <w:t>補助榮民裝配輔具迄無適法程序</w:t>
            </w:r>
            <w:bookmarkEnd w:id="378"/>
            <w:bookmarkEnd w:id="379"/>
            <w:bookmarkEnd w:id="380"/>
          </w:p>
        </w:tc>
      </w:tr>
    </w:tbl>
    <w:p w:rsidR="003F6235" w:rsidRPr="00AC77DF" w:rsidRDefault="003F6235" w:rsidP="00B7222B">
      <w:pPr>
        <w:pStyle w:val="1---"/>
        <w:ind w:firstLine="480"/>
        <w:rPr>
          <w:b/>
          <w:lang w:eastAsia="zh-TW"/>
        </w:rPr>
      </w:pPr>
    </w:p>
    <w:tbl>
      <w:tblPr>
        <w:tblW w:w="4777" w:type="pct"/>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44"/>
      </w:tblGrid>
      <w:tr w:rsidR="003807A5" w:rsidRPr="00AC77DF" w:rsidTr="00FD6062">
        <w:trPr>
          <w:trHeight w:val="5151"/>
        </w:trPr>
        <w:tc>
          <w:tcPr>
            <w:tcW w:w="5000" w:type="pct"/>
          </w:tcPr>
          <w:p w:rsidR="003807A5" w:rsidRPr="00AC77DF" w:rsidRDefault="003807A5" w:rsidP="00510AAB">
            <w:pPr>
              <w:spacing w:line="360" w:lineRule="exact"/>
              <w:jc w:val="both"/>
              <w:rPr>
                <w:lang w:val="x-none"/>
              </w:rPr>
            </w:pPr>
            <w:r w:rsidRPr="00AC77DF">
              <w:rPr>
                <w:b/>
                <w:lang w:val="x-none"/>
              </w:rPr>
              <w:t>相關國際人權公約：</w:t>
            </w:r>
            <w:r w:rsidRPr="00AC77DF">
              <w:t>經濟社會文化權利國際公約</w:t>
            </w:r>
            <w:r w:rsidRPr="00510AAB">
              <w:rPr>
                <w:spacing w:val="-20"/>
              </w:rPr>
              <w:t>第</w:t>
            </w:r>
            <w:r w:rsidRPr="00AC77DF">
              <w:t>12</w:t>
            </w:r>
            <w:r w:rsidRPr="00AC77DF">
              <w:t>條；經濟社會文化權利國際公約第</w:t>
            </w:r>
            <w:r w:rsidRPr="00AC77DF">
              <w:t>5</w:t>
            </w:r>
            <w:r w:rsidRPr="00AC77DF">
              <w:t>號一般性意見</w:t>
            </w:r>
          </w:p>
          <w:p w:rsidR="003807A5" w:rsidRPr="00AC77DF" w:rsidRDefault="003807A5" w:rsidP="00510AAB">
            <w:pPr>
              <w:spacing w:line="360" w:lineRule="exact"/>
              <w:jc w:val="both"/>
              <w:rPr>
                <w:b/>
                <w:lang w:val="x-none"/>
              </w:rPr>
            </w:pPr>
            <w:r w:rsidRPr="00AC77DF">
              <w:rPr>
                <w:b/>
              </w:rPr>
              <w:t>經濟社會文化權利國際公約第</w:t>
            </w:r>
            <w:r w:rsidRPr="00AC77DF">
              <w:rPr>
                <w:b/>
              </w:rPr>
              <w:t>12</w:t>
            </w:r>
            <w:r w:rsidRPr="00AC77DF">
              <w:rPr>
                <w:b/>
              </w:rPr>
              <w:t>條</w:t>
            </w:r>
          </w:p>
          <w:p w:rsidR="003807A5" w:rsidRPr="00AC77DF" w:rsidRDefault="003807A5" w:rsidP="00510AAB">
            <w:pPr>
              <w:spacing w:line="360" w:lineRule="exact"/>
              <w:ind w:left="480" w:hangingChars="200" w:hanging="480"/>
              <w:jc w:val="both"/>
              <w:rPr>
                <w:lang w:val="x-none"/>
              </w:rPr>
            </w:pPr>
            <w:r w:rsidRPr="00AC77DF">
              <w:rPr>
                <w:lang w:val="x-none"/>
              </w:rPr>
              <w:t>一、本公約締約國確認人人有權享受可能達到之最高標準之身體與精神健康。</w:t>
            </w:r>
          </w:p>
          <w:p w:rsidR="003807A5" w:rsidRPr="00AC77DF" w:rsidRDefault="003807A5" w:rsidP="00510AAB">
            <w:pPr>
              <w:spacing w:line="360" w:lineRule="exact"/>
              <w:ind w:left="480" w:hangingChars="200" w:hanging="480"/>
              <w:jc w:val="both"/>
              <w:rPr>
                <w:lang w:val="x-none"/>
              </w:rPr>
            </w:pPr>
            <w:r w:rsidRPr="00AC77DF">
              <w:rPr>
                <w:lang w:val="x-none"/>
              </w:rPr>
              <w:t>二、本公約締約國為求充分實現此種權利所採取之步驟，應包括為達成下列目的所必要之措施：</w:t>
            </w:r>
          </w:p>
          <w:p w:rsidR="003807A5" w:rsidRPr="00AC77DF" w:rsidRDefault="00510AAB" w:rsidP="00510AAB">
            <w:pPr>
              <w:spacing w:line="360" w:lineRule="exact"/>
              <w:ind w:left="900" w:hangingChars="375" w:hanging="900"/>
              <w:jc w:val="both"/>
              <w:rPr>
                <w:lang w:val="x-none"/>
              </w:rPr>
            </w:pPr>
            <w:r>
              <w:rPr>
                <w:rFonts w:hint="eastAsia"/>
                <w:lang w:val="x-none"/>
              </w:rPr>
              <w:t xml:space="preserve">　　</w:t>
            </w:r>
            <w:r>
              <w:rPr>
                <w:rFonts w:hint="eastAsia"/>
                <w:lang w:val="x-none"/>
              </w:rPr>
              <w:t>(</w:t>
            </w:r>
            <w:r w:rsidR="003807A5" w:rsidRPr="00AC77DF">
              <w:rPr>
                <w:lang w:val="x-none"/>
              </w:rPr>
              <w:t>一</w:t>
            </w:r>
            <w:r>
              <w:rPr>
                <w:rFonts w:hint="eastAsia"/>
                <w:lang w:val="x-none"/>
              </w:rPr>
              <w:t>)</w:t>
            </w:r>
            <w:r w:rsidR="003807A5" w:rsidRPr="00AC77DF">
              <w:rPr>
                <w:lang w:val="x-none"/>
              </w:rPr>
              <w:t>設法減低死產率及嬰兒死亡率，並促進兒童之健康發育；</w:t>
            </w:r>
          </w:p>
          <w:p w:rsidR="003807A5" w:rsidRPr="00AC77DF" w:rsidRDefault="00510AAB" w:rsidP="00510AAB">
            <w:pPr>
              <w:spacing w:line="360" w:lineRule="exact"/>
              <w:jc w:val="both"/>
              <w:rPr>
                <w:lang w:val="x-none"/>
              </w:rPr>
            </w:pPr>
            <w:r>
              <w:rPr>
                <w:rFonts w:hint="eastAsia"/>
                <w:lang w:val="x-none"/>
              </w:rPr>
              <w:t xml:space="preserve">　　</w:t>
            </w:r>
            <w:r>
              <w:rPr>
                <w:rFonts w:hint="eastAsia"/>
                <w:lang w:val="x-none"/>
              </w:rPr>
              <w:t>(</w:t>
            </w:r>
            <w:r w:rsidR="003807A5" w:rsidRPr="00AC77DF">
              <w:rPr>
                <w:lang w:val="x-none"/>
              </w:rPr>
              <w:t>二</w:t>
            </w:r>
            <w:r>
              <w:rPr>
                <w:rFonts w:hint="eastAsia"/>
                <w:lang w:val="x-none"/>
              </w:rPr>
              <w:t>)</w:t>
            </w:r>
            <w:r w:rsidR="003807A5" w:rsidRPr="00AC77DF">
              <w:rPr>
                <w:lang w:val="x-none"/>
              </w:rPr>
              <w:t>改良環境及工業衛生之所有方面；</w:t>
            </w:r>
          </w:p>
          <w:p w:rsidR="003807A5" w:rsidRPr="00AC77DF" w:rsidRDefault="00510AAB" w:rsidP="00510AAB">
            <w:pPr>
              <w:spacing w:line="360" w:lineRule="exact"/>
              <w:ind w:left="900" w:hangingChars="375" w:hanging="900"/>
              <w:jc w:val="both"/>
              <w:rPr>
                <w:lang w:val="x-none"/>
              </w:rPr>
            </w:pPr>
            <w:r>
              <w:rPr>
                <w:rFonts w:hint="eastAsia"/>
                <w:lang w:val="x-none"/>
              </w:rPr>
              <w:t xml:space="preserve">　　</w:t>
            </w:r>
            <w:r>
              <w:rPr>
                <w:rFonts w:hint="eastAsia"/>
                <w:lang w:val="x-none"/>
              </w:rPr>
              <w:t>(</w:t>
            </w:r>
            <w:r w:rsidR="003807A5" w:rsidRPr="00AC77DF">
              <w:rPr>
                <w:lang w:val="x-none"/>
              </w:rPr>
              <w:t>三</w:t>
            </w:r>
            <w:r>
              <w:rPr>
                <w:rFonts w:hint="eastAsia"/>
                <w:lang w:val="x-none"/>
              </w:rPr>
              <w:t>)</w:t>
            </w:r>
            <w:r w:rsidR="003807A5" w:rsidRPr="00AC77DF">
              <w:rPr>
                <w:lang w:val="x-none"/>
              </w:rPr>
              <w:t>預防、療治及撲滅各種傳染病、風土病、職業病及其他疾病；</w:t>
            </w:r>
          </w:p>
          <w:p w:rsidR="003807A5" w:rsidRPr="00AC77DF" w:rsidRDefault="00510AAB" w:rsidP="00510AAB">
            <w:pPr>
              <w:spacing w:line="360" w:lineRule="exact"/>
              <w:ind w:left="900" w:hangingChars="375" w:hanging="900"/>
              <w:jc w:val="both"/>
              <w:rPr>
                <w:lang w:val="x-none"/>
              </w:rPr>
            </w:pPr>
            <w:r>
              <w:rPr>
                <w:rFonts w:hint="eastAsia"/>
                <w:lang w:val="x-none"/>
              </w:rPr>
              <w:t xml:space="preserve">　　</w:t>
            </w:r>
            <w:r>
              <w:rPr>
                <w:rFonts w:hint="eastAsia"/>
                <w:lang w:val="x-none"/>
              </w:rPr>
              <w:t>(</w:t>
            </w:r>
            <w:r w:rsidR="003807A5" w:rsidRPr="00AC77DF">
              <w:rPr>
                <w:lang w:val="x-none"/>
              </w:rPr>
              <w:t>四</w:t>
            </w:r>
            <w:r>
              <w:rPr>
                <w:rFonts w:hint="eastAsia"/>
                <w:lang w:val="x-none"/>
              </w:rPr>
              <w:t>)</w:t>
            </w:r>
            <w:r w:rsidR="003807A5" w:rsidRPr="00AC77DF">
              <w:rPr>
                <w:lang w:val="x-none"/>
              </w:rPr>
              <w:t>創造環境，確保人人患病時均能享受醫藥服務與醫藥護理。</w:t>
            </w:r>
          </w:p>
        </w:tc>
      </w:tr>
    </w:tbl>
    <w:p w:rsidR="003807A5" w:rsidRPr="00AC77DF" w:rsidRDefault="00894B45" w:rsidP="00FA42B3">
      <w:pPr>
        <w:pStyle w:val="afff1"/>
        <w:spacing w:before="360" w:after="360"/>
      </w:pPr>
      <w:bookmarkStart w:id="381" w:name="_Toc528942459"/>
      <w:r>
        <w:rPr>
          <w:rFonts w:hint="eastAsia"/>
        </w:rPr>
        <w:lastRenderedPageBreak/>
        <w:t>(一)</w:t>
      </w:r>
      <w:r w:rsidR="003807A5" w:rsidRPr="00AC77DF">
        <w:t>案情簡述</w:t>
      </w:r>
      <w:bookmarkEnd w:id="381"/>
    </w:p>
    <w:p w:rsidR="003807A5" w:rsidRPr="00AC77DF" w:rsidRDefault="003807A5" w:rsidP="00B7222B">
      <w:pPr>
        <w:pStyle w:val="1---"/>
        <w:ind w:firstLine="480"/>
        <w:rPr>
          <w:szCs w:val="24"/>
        </w:rPr>
      </w:pPr>
      <w:r w:rsidRPr="00AC77DF">
        <w:t>退輔會補助年長及身心障礙榮民裝配醫療輔具，惟委託臺北榮民總醫院（簡稱臺北榮總）辦理採購作業迄無相關適法程序，又部分項目收取之價差逾採購價格</w:t>
      </w:r>
      <w:r w:rsidRPr="00AC77DF">
        <w:t>5</w:t>
      </w:r>
      <w:r w:rsidRPr="00AC77DF">
        <w:t>成，似非妥適，爰經監察委員立案調查。</w:t>
      </w:r>
    </w:p>
    <w:p w:rsidR="003807A5" w:rsidRPr="00AC77DF" w:rsidRDefault="00894B45" w:rsidP="00FA42B3">
      <w:pPr>
        <w:pStyle w:val="afff1"/>
        <w:spacing w:before="360" w:after="360"/>
      </w:pPr>
      <w:bookmarkStart w:id="382" w:name="_Toc528942460"/>
      <w:r>
        <w:rPr>
          <w:rFonts w:hint="eastAsia"/>
        </w:rPr>
        <w:t>(二)</w:t>
      </w:r>
      <w:r w:rsidR="003807A5" w:rsidRPr="00AC77DF">
        <w:t>監察院調查發現</w:t>
      </w:r>
      <w:bookmarkEnd w:id="382"/>
    </w:p>
    <w:p w:rsidR="003807A5" w:rsidRPr="00AC77DF" w:rsidRDefault="00FD29F8" w:rsidP="006B7CBE">
      <w:pPr>
        <w:pStyle w:val="1--13"/>
        <w:spacing w:before="180" w:after="180"/>
      </w:pPr>
      <w:bookmarkStart w:id="383" w:name="_Toc499740002"/>
      <w:bookmarkStart w:id="384" w:name="_Toc499733727"/>
      <w:r w:rsidRPr="008E1832">
        <w:rPr>
          <w:rFonts w:hint="eastAsia"/>
        </w:rPr>
        <w:t>˙</w:t>
      </w:r>
      <w:r w:rsidR="003807A5" w:rsidRPr="00AC77DF">
        <w:t>辦理補助違反採購規定</w:t>
      </w:r>
    </w:p>
    <w:p w:rsidR="003807A5" w:rsidRPr="00AC77DF" w:rsidRDefault="003807A5" w:rsidP="00B7222B">
      <w:pPr>
        <w:pStyle w:val="1---"/>
        <w:ind w:firstLine="480"/>
      </w:pPr>
      <w:r w:rsidRPr="00AC77DF">
        <w:t>依政府採購法之規定，為建立政府採購制度，政府機關辦理財物之買受及勞務之委任，應依該法規定辦理。然退輔會辦理「退除役官兵身心障礙重建及醫療輔助器具」補助作業，卻以「簡化作業流程」及「全程服務榮民」為由，長久以來採「預算撥付」及「任務交付」方式，專案簽准委由臺北榮總執行，違反政府機關辦理採購，應依政府採購法辦理之規定。</w:t>
      </w:r>
    </w:p>
    <w:p w:rsidR="003807A5" w:rsidRPr="00AC77DF" w:rsidRDefault="00FD29F8" w:rsidP="006B7CBE">
      <w:pPr>
        <w:pStyle w:val="1--13"/>
        <w:spacing w:before="180" w:after="180"/>
      </w:pPr>
      <w:r w:rsidRPr="008E1832">
        <w:rPr>
          <w:rFonts w:hint="eastAsia"/>
        </w:rPr>
        <w:t>˙</w:t>
      </w:r>
      <w:r w:rsidR="003807A5" w:rsidRPr="00AC77DF">
        <w:t>醫療輔具售價高於採購價格尚屬有據</w:t>
      </w:r>
    </w:p>
    <w:p w:rsidR="003807A5" w:rsidRPr="00AC77DF" w:rsidRDefault="003807A5" w:rsidP="00B7222B">
      <w:pPr>
        <w:pStyle w:val="1---"/>
        <w:ind w:firstLine="480"/>
      </w:pPr>
      <w:r w:rsidRPr="00AC77DF">
        <w:t>現行醫療機構醫療費用之收費主要以醫用者意見、成本分析、市場行情、醫療設施水準及同等級以上醫療機構之相同項目收費等因素而訂定。臺北榮總身障中心因為臺北榮總所屬醫療單位，且因該院為醫學中心，而身障中心輔具提供係以整體復健醫療為服務，雖醫療輔具售價高於採購價格，然其內含行政、衛教、技術、專業評估及服務、相關人事、場地成本等，</w:t>
      </w:r>
      <w:r w:rsidRPr="00AC77DF">
        <w:lastRenderedPageBreak/>
        <w:t>尚屬有據。又該中心輔具售價相較市場售價行情，除屬客製化及材質與規格較市面不同而高於市售價格外，尚符臺北市政府衛生局公告藥材、醫材及特材費用按進價</w:t>
      </w:r>
      <w:r w:rsidRPr="002752F7">
        <w:rPr>
          <w:spacing w:val="-12"/>
        </w:rPr>
        <w:t>加</w:t>
      </w:r>
      <w:r w:rsidRPr="00AC77DF">
        <w:t>0%-50%</w:t>
      </w:r>
      <w:r w:rsidRPr="00AC77DF">
        <w:t>原則。對於該中心辦理榮民各項醫療輔具之售價，宜建立市場訪價機制，定期檢討售價之適當性，以節省公帑造福更多榮民之需。</w:t>
      </w:r>
    </w:p>
    <w:p w:rsidR="003807A5" w:rsidRPr="00AC77DF" w:rsidRDefault="00FD29F8" w:rsidP="006B7CBE">
      <w:pPr>
        <w:pStyle w:val="1--13"/>
        <w:spacing w:before="180" w:after="180"/>
      </w:pPr>
      <w:r w:rsidRPr="008E1832">
        <w:rPr>
          <w:rFonts w:hint="eastAsia"/>
        </w:rPr>
        <w:t>˙</w:t>
      </w:r>
      <w:r w:rsidR="003807A5" w:rsidRPr="00AC77DF">
        <w:t>身心障礙榮民之輔具補助評估</w:t>
      </w:r>
    </w:p>
    <w:p w:rsidR="003807A5" w:rsidRPr="00AC77DF" w:rsidRDefault="003807A5" w:rsidP="00B7222B">
      <w:pPr>
        <w:pStyle w:val="1---"/>
        <w:ind w:firstLine="480"/>
      </w:pPr>
      <w:r w:rsidRPr="00AC77DF">
        <w:t>國內</w:t>
      </w:r>
      <w:r w:rsidR="003272B4" w:rsidRPr="00AC77DF">
        <w:t>身心障礙者</w:t>
      </w:r>
      <w:r w:rsidRPr="00AC77DF">
        <w:t>係依身心障礙者權益保障法</w:t>
      </w:r>
      <w:r w:rsidR="00B7065B">
        <w:t>（</w:t>
      </w:r>
      <w:r w:rsidR="00B7065B">
        <w:rPr>
          <w:rFonts w:hint="eastAsia"/>
        </w:rPr>
        <w:t>簡稱</w:t>
      </w:r>
      <w:r w:rsidR="00B7065B" w:rsidRPr="00AC77DF">
        <w:t>身權法</w:t>
      </w:r>
      <w:r w:rsidR="00B7065B">
        <w:t>）</w:t>
      </w:r>
      <w:r w:rsidRPr="00AC77DF">
        <w:t>取得醫療輔具相關資源，而具榮民身分者則依退輔會相關規範取得醫療輔具資源。然我國</w:t>
      </w:r>
      <w:r w:rsidRPr="00AC77DF">
        <w:t>96</w:t>
      </w:r>
      <w:r w:rsidRPr="00AC77DF">
        <w:t>年將身心障礙鑑定與需求評估新制（</w:t>
      </w:r>
      <w:r w:rsidRPr="00AC77DF">
        <w:t>ICF</w:t>
      </w:r>
      <w:r w:rsidRPr="00AC77DF">
        <w:t>）納入</w:t>
      </w:r>
      <w:r w:rsidR="00B7065B" w:rsidRPr="00AC77DF">
        <w:t>身權法</w:t>
      </w:r>
      <w:r w:rsidRPr="00AC77DF">
        <w:t>修法並自</w:t>
      </w:r>
      <w:r w:rsidRPr="00AC77DF">
        <w:t>101</w:t>
      </w:r>
      <w:r w:rsidRPr="00AC77DF">
        <w:t>年全面施行，退輔會宜結合現行新制評估精神，研議相關法規修改之必要性及可行性，提供更適宜之醫療輔具予身心、生理機能障礙及孱弱之榮民，以更符其生活實際需求。</w:t>
      </w:r>
    </w:p>
    <w:p w:rsidR="003807A5" w:rsidRPr="00AC77DF" w:rsidRDefault="00FD29F8" w:rsidP="006B7CBE">
      <w:pPr>
        <w:pStyle w:val="1--13"/>
        <w:spacing w:before="180" w:after="180"/>
      </w:pPr>
      <w:r w:rsidRPr="008E1832">
        <w:rPr>
          <w:rFonts w:hint="eastAsia"/>
        </w:rPr>
        <w:t>˙</w:t>
      </w:r>
      <w:r w:rsidR="003807A5" w:rsidRPr="00AC77DF">
        <w:t>調整臺北榮總身障中心營運</w:t>
      </w:r>
    </w:p>
    <w:p w:rsidR="003807A5" w:rsidRPr="00AC77DF" w:rsidRDefault="003807A5" w:rsidP="00B7222B">
      <w:pPr>
        <w:pStyle w:val="1---"/>
        <w:ind w:firstLine="480"/>
      </w:pPr>
      <w:r w:rsidRPr="00AC77DF">
        <w:t>臺北榮總身障中心自</w:t>
      </w:r>
      <w:r w:rsidRPr="00AC77DF">
        <w:t>36</w:t>
      </w:r>
      <w:r w:rsidRPr="00AC77DF">
        <w:t>年成立至今已</w:t>
      </w:r>
      <w:r w:rsidRPr="00AC77DF">
        <w:t>70</w:t>
      </w:r>
      <w:r w:rsidRPr="00AC77DF">
        <w:t>年，肩負著為退除役官兵身心障礙者之醫療復健輔具之責。近年因需求而申請醫療輔具之榮民人數銳減，該中心已擴大給一般民眾，惟仍需面對人員聘任不易、專業技術待提升、人事及物料成本過高、設備設施老舊之問題。此外，身障中心地點遠離門診、病房及醫療單位，對至該院就醫病患不便，而且坊間的醫療器材及輔具中心的營運方式已趨多元，該中心的服務與功能實有重新調整之需要。退輔會及臺北榮總宜關注所屬身障中心必要之協助，以維榮民及一般</w:t>
      </w:r>
      <w:r w:rsidR="003272B4" w:rsidRPr="00AC77DF">
        <w:t>身心障礙者</w:t>
      </w:r>
      <w:r w:rsidRPr="00AC77DF">
        <w:t>就醫重建之權益，並精進該中心</w:t>
      </w:r>
      <w:r w:rsidRPr="00AC77DF">
        <w:lastRenderedPageBreak/>
        <w:t>所肩負之工作使命。</w:t>
      </w:r>
    </w:p>
    <w:p w:rsidR="003807A5" w:rsidRPr="00AC77DF" w:rsidRDefault="003807A5" w:rsidP="00B7222B">
      <w:pPr>
        <w:pStyle w:val="1---"/>
        <w:ind w:firstLine="480"/>
      </w:pPr>
      <w:r w:rsidRPr="00AC77DF">
        <w:rPr>
          <w:rFonts w:eastAsiaTheme="majorEastAsia"/>
        </w:rPr>
        <w:t>依據本案調查意見</w:t>
      </w:r>
      <w:r w:rsidRPr="00F85A65">
        <w:rPr>
          <w:rStyle w:val="aff2"/>
        </w:rPr>
        <w:footnoteReference w:id="94"/>
      </w:r>
      <w:r w:rsidRPr="00AC77DF">
        <w:t>，監察院函請</w:t>
      </w:r>
      <w:r w:rsidRPr="00AC77DF">
        <w:rPr>
          <w:bCs/>
        </w:rPr>
        <w:t>退輔會及所屬臺北榮總</w:t>
      </w:r>
      <w:r w:rsidRPr="00AC77DF">
        <w:t>檢討改進。</w:t>
      </w:r>
    </w:p>
    <w:p w:rsidR="003807A5" w:rsidRPr="00AC77DF" w:rsidRDefault="00894B45" w:rsidP="00FA42B3">
      <w:pPr>
        <w:pStyle w:val="afff1"/>
        <w:spacing w:before="360" w:after="360"/>
      </w:pPr>
      <w:bookmarkStart w:id="385" w:name="_Toc528942461"/>
      <w:bookmarkEnd w:id="383"/>
      <w:bookmarkEnd w:id="384"/>
      <w:r>
        <w:rPr>
          <w:rFonts w:hint="eastAsia"/>
        </w:rPr>
        <w:t>(三)</w:t>
      </w:r>
      <w:r w:rsidR="003807A5" w:rsidRPr="00AC77DF">
        <w:t>政府機關改善情形</w:t>
      </w:r>
      <w:bookmarkEnd w:id="385"/>
    </w:p>
    <w:p w:rsidR="003807A5" w:rsidRPr="00AC77DF" w:rsidRDefault="003807A5" w:rsidP="00425EE5">
      <w:pPr>
        <w:pStyle w:val="1----"/>
        <w:ind w:left="600" w:hanging="360"/>
      </w:pPr>
      <w:r w:rsidRPr="00AC77DF">
        <w:t>1</w:t>
      </w:r>
      <w:r w:rsidRPr="00AC77DF">
        <w:t>、退輔會</w:t>
      </w:r>
      <w:r w:rsidRPr="00AC77DF">
        <w:t>106</w:t>
      </w:r>
      <w:r w:rsidRPr="00AC77DF">
        <w:t>補助案已依政府採購法完成改善。</w:t>
      </w:r>
    </w:p>
    <w:p w:rsidR="003807A5" w:rsidRPr="00AC77DF" w:rsidRDefault="003807A5" w:rsidP="00425EE5">
      <w:pPr>
        <w:pStyle w:val="1----"/>
        <w:ind w:left="600" w:hanging="360"/>
      </w:pPr>
      <w:r w:rsidRPr="00AC77DF">
        <w:t>2</w:t>
      </w:r>
      <w:r w:rsidRPr="00AC77DF">
        <w:t>、臺北榮總第三門診大樓已於</w:t>
      </w:r>
      <w:r w:rsidRPr="00AC77DF">
        <w:t>106</w:t>
      </w:r>
      <w:r w:rsidRPr="00AC77DF">
        <w:t>年</w:t>
      </w:r>
      <w:r w:rsidRPr="00AC77DF">
        <w:t>9</w:t>
      </w:r>
      <w:r w:rsidRPr="00AC77DF">
        <w:t>月設立輔具服務中心，提供輔具展示與體驗，並由治療師駐點就近提供輔具諮詢、評估、購置、租賃及衛教等服務，擴大服務據點，提升服務可近性。</w:t>
      </w:r>
    </w:p>
    <w:p w:rsidR="002752F7" w:rsidRPr="00AC77DF" w:rsidRDefault="003807A5" w:rsidP="00425EE5">
      <w:pPr>
        <w:pStyle w:val="1----"/>
        <w:ind w:left="600" w:hanging="360"/>
        <w:rPr>
          <w:lang w:eastAsia="zh-TW"/>
        </w:rPr>
      </w:pPr>
      <w:r w:rsidRPr="00AC77DF">
        <w:t>3</w:t>
      </w:r>
      <w:r w:rsidRPr="00AC77DF">
        <w:t>、配合身心障礙鑑定與需求評估新制（</w:t>
      </w:r>
      <w:r w:rsidRPr="00AC77DF">
        <w:t>ICF</w:t>
      </w:r>
      <w:r w:rsidRPr="00510AAB">
        <w:rPr>
          <w:spacing w:val="-26"/>
        </w:rPr>
        <w:t>）</w:t>
      </w:r>
      <w:r w:rsidRPr="00AC77DF">
        <w:t>，新增社會參與及環境評估精神。退輔會經重新檢視「國軍退除役官兵輔導委員會辦理退除役官兵身心障礙重建及醫療輔助器具費用補助作業要點」附表所列輔具申請條件，已將義肢類、鋁合金高背特製輪椅及不鏽鋼高背特製輪椅</w:t>
      </w:r>
      <w:r w:rsidRPr="00510AAB">
        <w:rPr>
          <w:spacing w:val="-12"/>
        </w:rPr>
        <w:t>等</w:t>
      </w:r>
      <w:r w:rsidRPr="00AC77DF">
        <w:t>1</w:t>
      </w:r>
      <w:r w:rsidRPr="00510AAB">
        <w:rPr>
          <w:spacing w:val="-12"/>
        </w:rPr>
        <w:t>8</w:t>
      </w:r>
      <w:r w:rsidRPr="00AC77DF">
        <w:t>項輔具之申請條件修</w:t>
      </w:r>
      <w:r w:rsidR="009110B4">
        <w:rPr>
          <w:rFonts w:hint="eastAsia"/>
        </w:rPr>
        <w:t>正</w:t>
      </w:r>
      <w:r w:rsidRPr="00AC77DF">
        <w:t>為經</w:t>
      </w:r>
      <w:r w:rsidRPr="00AC77DF">
        <w:t>ICF</w:t>
      </w:r>
      <w:r w:rsidRPr="00AC77DF">
        <w:t>鑑定或具身障證明；並將申請特製輪椅所需檢附之評估表，增列使用者之環境及需求評估等項目，增進使用者之活動及社會參與功能，以更符合使用者之生活實際需求。</w:t>
      </w:r>
    </w:p>
    <w:p w:rsidR="002752F7" w:rsidRDefault="002752F7">
      <w:pPr>
        <w:widowControl/>
        <w:snapToGrid/>
        <w:rPr>
          <w:rFonts w:ascii="華康魏碑體" w:eastAsia="華康魏碑體" w:hAnsi="細明體" w:cs="細明體"/>
          <w:kern w:val="0"/>
          <w:sz w:val="34"/>
          <w:szCs w:val="32"/>
        </w:rPr>
      </w:pPr>
      <w:bookmarkStart w:id="386" w:name="_Toc528942462"/>
      <w:r>
        <w:br w:type="page"/>
      </w:r>
    </w:p>
    <w:p w:rsidR="003807A5" w:rsidRPr="00AC77DF" w:rsidRDefault="00894B45" w:rsidP="00FA42B3">
      <w:pPr>
        <w:pStyle w:val="afff1"/>
        <w:spacing w:before="360" w:after="360"/>
      </w:pPr>
      <w:r>
        <w:rPr>
          <w:rFonts w:hint="eastAsia"/>
        </w:rPr>
        <w:lastRenderedPageBreak/>
        <w:t>(四)</w:t>
      </w:r>
      <w:r w:rsidR="003807A5" w:rsidRPr="00AC77DF">
        <w:t>案件進展</w:t>
      </w:r>
      <w:bookmarkEnd w:id="386"/>
    </w:p>
    <w:p w:rsidR="00510AAB" w:rsidRPr="00AC77DF" w:rsidRDefault="003807A5" w:rsidP="00B7222B">
      <w:pPr>
        <w:pStyle w:val="1---"/>
        <w:ind w:firstLine="480"/>
        <w:rPr>
          <w:b/>
          <w:lang w:eastAsia="zh-TW"/>
        </w:rPr>
      </w:pPr>
      <w:r w:rsidRPr="00AC77DF">
        <w:t>本案在監察院監督下，相關醫療採購缺失已改善</w:t>
      </w:r>
      <w:r w:rsidR="00D55C22">
        <w:t>，</w:t>
      </w:r>
      <w:r w:rsidR="00D55C22">
        <w:rPr>
          <w:rFonts w:hint="eastAsia"/>
        </w:rPr>
        <w:t>爰已結案</w:t>
      </w:r>
      <w:r w:rsidRPr="00AC77DF">
        <w:t>。</w:t>
      </w:r>
    </w:p>
    <w:p w:rsidR="003807A5" w:rsidRPr="00AC77DF" w:rsidRDefault="00894B45" w:rsidP="00894B45">
      <w:pPr>
        <w:pStyle w:val="1--16"/>
        <w:spacing w:before="180" w:after="180"/>
      </w:pPr>
      <w:bookmarkStart w:id="387" w:name="_Toc527731164"/>
      <w:bookmarkStart w:id="388" w:name="_Toc528942513"/>
      <w:bookmarkStart w:id="389" w:name="_Toc535228382"/>
      <w:bookmarkStart w:id="390" w:name="_Toc4058793"/>
      <w:r>
        <w:rPr>
          <w:rFonts w:hint="eastAsia"/>
        </w:rPr>
        <w:t>◆</w:t>
      </w:r>
      <w:r w:rsidR="003807A5" w:rsidRPr="00AC77DF">
        <w:t>評析</w:t>
      </w:r>
      <w:bookmarkEnd w:id="387"/>
      <w:bookmarkEnd w:id="388"/>
      <w:bookmarkEnd w:id="389"/>
      <w:bookmarkEnd w:id="390"/>
    </w:p>
    <w:p w:rsidR="003807A5" w:rsidRPr="00AC77DF" w:rsidRDefault="003807A5" w:rsidP="00B7222B">
      <w:pPr>
        <w:pStyle w:val="1---"/>
        <w:ind w:firstLine="480"/>
        <w:rPr>
          <w:lang w:eastAsia="zh-TW"/>
        </w:rPr>
      </w:pPr>
      <w:r w:rsidRPr="00AC77DF">
        <w:rPr>
          <w:lang w:eastAsia="zh-TW"/>
        </w:rPr>
        <w:t>保障</w:t>
      </w:r>
      <w:r w:rsidRPr="00AC77DF">
        <w:t>國</w:t>
      </w:r>
      <w:r w:rsidRPr="00AC77DF">
        <w:rPr>
          <w:lang w:eastAsia="zh-TW"/>
        </w:rPr>
        <w:t>民的健康權，是國家的責任和義務。</w:t>
      </w:r>
      <w:r w:rsidRPr="00AC77DF">
        <w:t>本章從確保良好的飲食與醫療品質及健康促進與保護兩大面向摘錄相關調查個案，供各界參閱。</w:t>
      </w:r>
    </w:p>
    <w:p w:rsidR="003807A5" w:rsidRPr="00AC77DF" w:rsidRDefault="003807A5" w:rsidP="00B7222B">
      <w:pPr>
        <w:pStyle w:val="1---"/>
        <w:ind w:firstLine="480"/>
        <w:rPr>
          <w:lang w:eastAsia="zh-TW"/>
        </w:rPr>
      </w:pPr>
      <w:r w:rsidRPr="00AC77DF">
        <w:t>在確保良好的飲食與醫療品質方面，本章先列舉精緻農業發展及推動調查研究案，提出我國發展精緻農業所遭遇的問題及建議。此外</w:t>
      </w:r>
      <w:r w:rsidRPr="00AC77DF">
        <w:rPr>
          <w:lang w:eastAsia="zh-TW"/>
        </w:rPr>
        <w:t>，</w:t>
      </w:r>
      <w:r w:rsidRPr="00AC77DF">
        <w:t>本章摘錄雞蛋戴奧辛含量超標案</w:t>
      </w:r>
      <w:r w:rsidRPr="00AC77DF">
        <w:rPr>
          <w:lang w:eastAsia="zh-TW"/>
        </w:rPr>
        <w:t>、</w:t>
      </w:r>
      <w:r w:rsidRPr="00AC77DF">
        <w:t>知名飯店使用逾期發霉食材及藥品遭仿冒等</w:t>
      </w:r>
      <w:r w:rsidRPr="00AC77DF">
        <w:rPr>
          <w:lang w:eastAsia="zh-TW"/>
        </w:rPr>
        <w:t>3</w:t>
      </w:r>
      <w:r w:rsidRPr="00AC77DF">
        <w:t>案，顯示國內主管機關雖已對食品與藥品加強安全管控，仍有不肖業者貪圖利益而提供或</w:t>
      </w:r>
      <w:r w:rsidRPr="00510AAB">
        <w:rPr>
          <w:spacing w:val="-2"/>
        </w:rPr>
        <w:t>使用問題飼料、食材</w:t>
      </w:r>
      <w:r w:rsidRPr="00510AAB">
        <w:rPr>
          <w:spacing w:val="-2"/>
          <w:lang w:eastAsia="zh-TW"/>
        </w:rPr>
        <w:t>，</w:t>
      </w:r>
      <w:r w:rsidRPr="00510AAB">
        <w:rPr>
          <w:spacing w:val="-2"/>
        </w:rPr>
        <w:t>甚至是藥品，此也顯</w:t>
      </w:r>
      <w:r w:rsidR="001B2A08" w:rsidRPr="00510AAB">
        <w:rPr>
          <w:rFonts w:hint="eastAsia"/>
          <w:spacing w:val="-2"/>
        </w:rPr>
        <w:t>示</w:t>
      </w:r>
      <w:r w:rsidRPr="00510AAB">
        <w:rPr>
          <w:spacing w:val="-2"/>
        </w:rPr>
        <w:t>源頭管理之重要。</w:t>
      </w:r>
    </w:p>
    <w:p w:rsidR="003807A5" w:rsidRDefault="003807A5" w:rsidP="00B7222B">
      <w:pPr>
        <w:pStyle w:val="1---"/>
        <w:ind w:firstLine="480"/>
        <w:rPr>
          <w:lang w:eastAsia="zh-TW"/>
        </w:rPr>
      </w:pPr>
      <w:r w:rsidRPr="00AC77DF">
        <w:t>在健康促進與保護方面，監察院重視兒少、身心障礙者及老人權利。本章摘錄兒童視力保健計畫、阻絕毒品入侵校園、防範未成年少女懷孕生子、精神疾患家庭之兒少保護案、</w:t>
      </w:r>
      <w:r w:rsidR="00EF5CFD" w:rsidRPr="00AC77DF">
        <w:t>失智症資訊揭露未盡</w:t>
      </w:r>
      <w:r w:rsidR="000E210E">
        <w:rPr>
          <w:rFonts w:hint="eastAsia"/>
          <w:lang w:eastAsia="zh-TW"/>
        </w:rPr>
        <w:t>及</w:t>
      </w:r>
      <w:r w:rsidR="00EF5CFD" w:rsidRPr="00AC77DF">
        <w:t>時</w:t>
      </w:r>
      <w:r w:rsidR="00EF5CFD">
        <w:rPr>
          <w:rFonts w:hint="eastAsia"/>
        </w:rPr>
        <w:t>且服務量不足</w:t>
      </w:r>
      <w:r w:rsidRPr="00AC77DF">
        <w:t>及補助榮民裝配輔具迄無適法程序等</w:t>
      </w:r>
      <w:r w:rsidRPr="00AC77DF">
        <w:t>6</w:t>
      </w:r>
      <w:r w:rsidRPr="00AC77DF">
        <w:t>案。</w:t>
      </w:r>
      <w:r w:rsidR="00022732">
        <w:rPr>
          <w:rFonts w:hint="eastAsia"/>
        </w:rPr>
        <w:t>案經</w:t>
      </w:r>
      <w:r w:rsidRPr="00AC77DF">
        <w:t>監察院調查</w:t>
      </w:r>
      <w:r w:rsidR="00022732">
        <w:rPr>
          <w:rFonts w:hint="eastAsia"/>
        </w:rPr>
        <w:t>後</w:t>
      </w:r>
      <w:r w:rsidRPr="00AC77DF">
        <w:t>不僅讓主管機關正視相關問題，也促進相關法規或制度之改善。期許我國在發展經濟的同時，也能</w:t>
      </w:r>
      <w:r w:rsidR="00022732">
        <w:rPr>
          <w:rFonts w:hint="eastAsia"/>
        </w:rPr>
        <w:t>促進並保障國民的</w:t>
      </w:r>
      <w:r w:rsidRPr="00AC77DF">
        <w:t>健康</w:t>
      </w:r>
      <w:r w:rsidR="00022732">
        <w:rPr>
          <w:rFonts w:hint="eastAsia"/>
        </w:rPr>
        <w:t>權</w:t>
      </w:r>
      <w:r w:rsidRPr="00AC77DF">
        <w:t>。</w:t>
      </w:r>
    </w:p>
    <w:p w:rsidR="00E251DB" w:rsidRDefault="00E251DB" w:rsidP="00B7222B">
      <w:pPr>
        <w:pStyle w:val="1---"/>
        <w:ind w:firstLine="480"/>
        <w:rPr>
          <w:lang w:eastAsia="zh-TW"/>
        </w:rPr>
      </w:pPr>
    </w:p>
    <w:p w:rsidR="00E251DB" w:rsidRPr="00AC77DF" w:rsidRDefault="00E251DB" w:rsidP="00B7222B">
      <w:pPr>
        <w:pStyle w:val="1---"/>
        <w:ind w:firstLine="480"/>
        <w:rPr>
          <w:lang w:eastAsia="zh-TW"/>
        </w:rPr>
      </w:pPr>
    </w:p>
    <w:p w:rsidR="00510AAB" w:rsidRDefault="00510AAB">
      <w:pPr>
        <w:widowControl/>
        <w:snapToGrid/>
        <w:rPr>
          <w:rFonts w:eastAsia="新細明體"/>
          <w:b/>
          <w:lang w:val="x-none" w:eastAsia="zh-HK"/>
        </w:rPr>
        <w:sectPr w:rsidR="00510AAB" w:rsidSect="00037CD1">
          <w:headerReference w:type="even" r:id="rId23"/>
          <w:headerReference w:type="default" r:id="rId24"/>
          <w:pgSz w:w="8392" w:h="11907" w:code="11"/>
          <w:pgMar w:top="1701" w:right="794" w:bottom="1134" w:left="964" w:header="624" w:footer="397" w:gutter="0"/>
          <w:cols w:space="425"/>
          <w:docGrid w:type="lines" w:linePitch="360"/>
        </w:sectPr>
      </w:pPr>
    </w:p>
    <w:p w:rsidR="003807A5" w:rsidRPr="00AC77DF" w:rsidRDefault="003807A5" w:rsidP="008F0CED">
      <w:pPr>
        <w:pStyle w:val="1--"/>
        <w:spacing w:after="180"/>
      </w:pPr>
      <w:bookmarkStart w:id="391" w:name="_Toc535228383"/>
      <w:bookmarkStart w:id="392" w:name="_Toc4058794"/>
      <w:r w:rsidRPr="00AC77DF">
        <w:lastRenderedPageBreak/>
        <w:t>第六章</w:t>
      </w:r>
      <w:r w:rsidRPr="00AC77DF">
        <w:rPr>
          <w:noProof/>
        </w:rPr>
        <mc:AlternateContent>
          <mc:Choice Requires="wps">
            <w:drawing>
              <wp:anchor distT="0" distB="0" distL="114300" distR="114300" simplePos="0" relativeHeight="251908096" behindDoc="0" locked="1" layoutInCell="1" allowOverlap="1" wp14:anchorId="4FF18470" wp14:editId="7F729D1E">
                <wp:simplePos x="0" y="0"/>
                <wp:positionH relativeFrom="column">
                  <wp:posOffset>7989570</wp:posOffset>
                </wp:positionH>
                <wp:positionV relativeFrom="paragraph">
                  <wp:posOffset>-773430</wp:posOffset>
                </wp:positionV>
                <wp:extent cx="635000" cy="317500"/>
                <wp:effectExtent l="0" t="0" r="0" b="0"/>
                <wp:wrapNone/>
                <wp:docPr id="81" name="文字方塊 8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832" w:rsidRDefault="00970832" w:rsidP="002952DE">
                            <w:pPr>
                              <w:jc w:val="center"/>
                              <w:rPr>
                                <w:sz w:val="18"/>
                              </w:rPr>
                            </w:pPr>
                            <w:r>
                              <w:rPr>
                                <w:sz w:val="18"/>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1" o:spid="_x0000_s1097" type="#_x0000_t202" style="position:absolute;left:0;text-align:left;margin-left:629.1pt;margin-top:-60.9pt;width:50pt;height:25pt;z-index:2519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" stroked="f">
                <v:textbox>
                  <w:txbxContent>
                    <w:p w:rsidR="00895792" w:rsidRDefault="00895792" w:rsidP="002952DE">
                      <w:pPr>
                        <w:jc w:val="center"/>
                        <w:rPr>
                          <w:sz w:val="18"/>
                        </w:rPr>
                      </w:pPr>
                      <w:r>
                        <w:rPr>
                          <w:sz w:val="18"/>
                        </w:rPr>
                        <w:t>00</w:t>
                      </w:r>
                    </w:p>
                  </w:txbxContent>
                </v:textbox>
                <w10:anchorlock/>
              </v:shape>
            </w:pict>
          </mc:Fallback>
        </mc:AlternateContent>
      </w:r>
      <w:r w:rsidRPr="00AC77DF">
        <w:rPr>
          <w:noProof/>
        </w:rPr>
        <mc:AlternateContent>
          <mc:Choice Requires="wpg">
            <w:drawing>
              <wp:anchor distT="0" distB="0" distL="114300" distR="114300" simplePos="0" relativeHeight="251907072" behindDoc="0" locked="1" layoutInCell="0" allowOverlap="1" wp14:anchorId="6B027F55" wp14:editId="59DBCE66">
                <wp:simplePos x="0" y="0"/>
                <wp:positionH relativeFrom="column">
                  <wp:posOffset>-2001520</wp:posOffset>
                </wp:positionH>
                <wp:positionV relativeFrom="paragraph">
                  <wp:posOffset>-153670</wp:posOffset>
                </wp:positionV>
                <wp:extent cx="149225" cy="8839200"/>
                <wp:effectExtent l="3810" t="13335" r="0" b="5715"/>
                <wp:wrapNone/>
                <wp:docPr id="76" name="群組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39200"/>
                          <a:chOff x="745" y="1414"/>
                          <a:chExt cx="235" cy="13920"/>
                        </a:xfrm>
                      </wpg:grpSpPr>
                      <wps:wsp>
                        <wps:cNvPr id="77" name="Line 13"/>
                        <wps:cNvCnPr>
                          <a:cxnSpLocks noChangeShapeType="1"/>
                        </wps:cNvCnPr>
                        <wps:spPr bwMode="auto">
                          <a:xfrm>
                            <a:off x="851" y="1414"/>
                            <a:ext cx="0" cy="139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8" name="Text Box 14"/>
                        <wps:cNvSpPr txBox="1">
                          <a:spLocks noChangeArrowheads="1"/>
                        </wps:cNvSpPr>
                        <wps:spPr bwMode="auto">
                          <a:xfrm>
                            <a:off x="745" y="5523"/>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2952DE">
                              <w:pPr>
                                <w:kinsoku w:val="0"/>
                                <w:wordWrap w:val="0"/>
                                <w:overflowPunct w:val="0"/>
                                <w:rPr>
                                  <w:sz w:val="20"/>
                                </w:rPr>
                              </w:pPr>
                              <w:r>
                                <w:rPr>
                                  <w:rFonts w:hint="eastAsia"/>
                                  <w:sz w:val="20"/>
                                </w:rPr>
                                <w:t>裝</w:t>
                              </w:r>
                            </w:p>
                          </w:txbxContent>
                        </wps:txbx>
                        <wps:bodyPr rot="0" vert="horz" wrap="square" lIns="0" tIns="0" rIns="0" bIns="0" anchor="t" anchorCtr="0" upright="1">
                          <a:noAutofit/>
                        </wps:bodyPr>
                      </wps:wsp>
                      <wps:wsp>
                        <wps:cNvPr id="79" name="Text Box 15"/>
                        <wps:cNvSpPr txBox="1">
                          <a:spLocks noChangeArrowheads="1"/>
                        </wps:cNvSpPr>
                        <wps:spPr bwMode="auto">
                          <a:xfrm>
                            <a:off x="745" y="8312"/>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2952DE">
                              <w:pPr>
                                <w:kinsoku w:val="0"/>
                                <w:wordWrap w:val="0"/>
                                <w:overflowPunct w:val="0"/>
                                <w:rPr>
                                  <w:sz w:val="20"/>
                                </w:rPr>
                              </w:pPr>
                              <w:r>
                                <w:rPr>
                                  <w:rFonts w:hint="eastAsia"/>
                                  <w:sz w:val="20"/>
                                </w:rPr>
                                <w:t>訂</w:t>
                              </w:r>
                            </w:p>
                          </w:txbxContent>
                        </wps:txbx>
                        <wps:bodyPr rot="0" vert="horz" wrap="square" lIns="0" tIns="0" rIns="0" bIns="0" anchor="t" anchorCtr="0" upright="1">
                          <a:noAutofit/>
                        </wps:bodyPr>
                      </wps:wsp>
                      <wps:wsp>
                        <wps:cNvPr id="80" name="Text Box 16"/>
                        <wps:cNvSpPr txBox="1">
                          <a:spLocks noChangeArrowheads="1"/>
                        </wps:cNvSpPr>
                        <wps:spPr bwMode="auto">
                          <a:xfrm>
                            <a:off x="745" y="11127"/>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2952DE">
                              <w:pPr>
                                <w:kinsoku w:val="0"/>
                                <w:wordWrap w:val="0"/>
                                <w:overflowPunct w:val="0"/>
                                <w:rPr>
                                  <w:sz w:val="20"/>
                                </w:rPr>
                              </w:pPr>
                              <w:r>
                                <w:rPr>
                                  <w:rFonts w:hint="eastAsia"/>
                                  <w:sz w:val="20"/>
                                </w:rPr>
                                <w:t>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76" o:spid="_x0000_s1098" style="position:absolute;left:0;text-align:left;margin-left:-157.6pt;margin-top:-12.1pt;width:11.75pt;height:696pt;z-index:251907072" coordorigin="745,1414" coordsize="235,1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" o:allowincell="f">
                <v:line id="Line 13" o:spid="_x0000_s1099" style="position:absolute;visibility:visible;mso-wrap-style:square" from="851,1414" to="851,1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08AMQAAADbAAAADwAAAGRycy9kb3ducmV2LnhtbESPQWsCMRSE74X+h/AK3mq2Pbh1NYot&#10;CLbWg6uCx8fmmSxuXpZN1O2/b4RCj8PMfMNM571rxJW6UHtW8DLMQBBXXtdsFOx3y+c3ECEia2w8&#10;k4IfCjCfPT5MsdD+xlu6ltGIBOFQoAIbY1tIGSpLDsPQt8TJO/nOYUyyM1J3eEtw18jXLBtJhzWn&#10;BYstfViqzuXFKVjnq+Zg+Fh+f57Cux9/beXGWKUGT/1iAiJSH//Df+2VVpDncP+SfoC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LTwAxAAAANsAAAAPAAAAAAAAAAAA&#10;AAAAAKECAABkcnMvZG93bnJldi54bWxQSwUGAAAAAAQABAD5AAAAkgMAAAAA&#10;">
                  <v:stroke dashstyle="1 1"/>
                </v:line>
                <v:shape id="Text Box 14" o:spid="_x0000_s1100" type="#_x0000_t202" style="position:absolute;left:745;top:5523;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guE8IA&#10;AADbAAAADwAAAGRycy9kb3ducmV2LnhtbERPy2rCQBTdF/yH4Qrd6UQhVaKjVFH6wE1sKC4vmWsS&#10;mrkTZqZJ+vedRaHLw3lv96NpRU/ON5YVLOYJCOLS6oYrBcXHebYG4QOyxtYyKfghD/vd5GGLmbYD&#10;59RfQyViCPsMFdQhdJmUvqzJoJ/bjjhyd+sMhghdJbXDIYabVi6T5EkabDg21NjRsaby6/ptFLzp&#10;T3lIiyQvbzf9cjpf0mL5nir1OB2fNyACjeFf/Od+1QpWcWz8En+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mC4TwgAAANsAAAAPAAAAAAAAAAAAAAAAAJgCAABkcnMvZG93&#10;bnJldi54bWxQSwUGAAAAAAQABAD1AAAAhwMAAAAA&#10;" filled="f" stroked="f">
                  <v:stroke dashstyle="1 1"/>
                  <v:textbox inset="0,0,0,0">
                    <w:txbxContent>
                      <w:p w:rsidR="00895792" w:rsidRDefault="00895792" w:rsidP="002952DE">
                        <w:pPr>
                          <w:kinsoku w:val="0"/>
                          <w:wordWrap w:val="0"/>
                          <w:overflowPunct w:val="0"/>
                          <w:rPr>
                            <w:sz w:val="20"/>
                          </w:rPr>
                        </w:pPr>
                        <w:r>
                          <w:rPr>
                            <w:rFonts w:hint="eastAsia"/>
                            <w:sz w:val="20"/>
                          </w:rPr>
                          <w:t>裝</w:t>
                        </w:r>
                      </w:p>
                    </w:txbxContent>
                  </v:textbox>
                </v:shape>
                <v:shape id="Text Box 15" o:spid="_x0000_s1101" type="#_x0000_t202" style="position:absolute;left:745;top:8312;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SLiMUA&#10;AADbAAAADwAAAGRycy9kb3ducmV2LnhtbESPT2vCQBTE7wW/w/IKvemmgfgndRUtDVrxog3F4yP7&#10;mgSzb0N2q/HbdwWhx2FmfsPMl71pxIU6V1tW8DqKQBAXVtdcKsi/suEUhPPIGhvLpOBGDpaLwdMc&#10;U22vfKDL0ZciQNilqKDyvk2ldEVFBt3ItsTB+7GdQR9kV0rd4TXATSPjKBpLgzWHhQpbeq+oOB9/&#10;jYJP/S3XSR4ditNJbz6yfZLHu0Spl+d+9QbCU+//w4/2ViuYzOD+Jfw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1IuIxQAAANsAAAAPAAAAAAAAAAAAAAAAAJgCAABkcnMv&#10;ZG93bnJldi54bWxQSwUGAAAAAAQABAD1AAAAigMAAAAA&#10;" filled="f" stroked="f">
                  <v:stroke dashstyle="1 1"/>
                  <v:textbox inset="0,0,0,0">
                    <w:txbxContent>
                      <w:p w:rsidR="00895792" w:rsidRDefault="00895792" w:rsidP="002952DE">
                        <w:pPr>
                          <w:kinsoku w:val="0"/>
                          <w:wordWrap w:val="0"/>
                          <w:overflowPunct w:val="0"/>
                          <w:rPr>
                            <w:sz w:val="20"/>
                          </w:rPr>
                        </w:pPr>
                        <w:r>
                          <w:rPr>
                            <w:rFonts w:hint="eastAsia"/>
                            <w:sz w:val="20"/>
                          </w:rPr>
                          <w:t>訂</w:t>
                        </w:r>
                      </w:p>
                    </w:txbxContent>
                  </v:textbox>
                </v:shape>
                <v:shape id="Text Box 16" o:spid="_x0000_s1102" type="#_x0000_t202" style="position:absolute;left:745;top:11127;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SMsAA&#10;AADbAAAADwAAAGRycy9kb3ducmV2LnhtbERPy4rCMBTdD/gP4QruxlShItUoKooPZqMWcXlprm2x&#10;uSlN1Pr3ZiHM8nDe03lrKvGkxpWWFQz6EQjizOqScwXpefM7BuE8ssbKMil4k4P5rPMzxUTbFx/p&#10;efK5CCHsElRQeF8nUrqsIIOub2viwN1sY9AH2ORSN/gK4aaSwygaSYMlh4YCa1oVlN1PD6Ngry9y&#10;GafRMbte9Xa9+YvT4SFWqtdtFxMQnlr/L/66d1rBOKwPX8IPkL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SMsAAAADbAAAADwAAAAAAAAAAAAAAAACYAgAAZHJzL2Rvd25y&#10;ZXYueG1sUEsFBgAAAAAEAAQA9QAAAIUDAAAAAA==&#10;" filled="f" stroked="f">
                  <v:stroke dashstyle="1 1"/>
                  <v:textbox inset="0,0,0,0">
                    <w:txbxContent>
                      <w:p w:rsidR="00895792" w:rsidRDefault="00895792" w:rsidP="002952DE">
                        <w:pPr>
                          <w:kinsoku w:val="0"/>
                          <w:wordWrap w:val="0"/>
                          <w:overflowPunct w:val="0"/>
                          <w:rPr>
                            <w:sz w:val="20"/>
                          </w:rPr>
                        </w:pPr>
                        <w:r>
                          <w:rPr>
                            <w:rFonts w:hint="eastAsia"/>
                            <w:sz w:val="20"/>
                          </w:rPr>
                          <w:t>線</w:t>
                        </w:r>
                      </w:p>
                    </w:txbxContent>
                  </v:textbox>
                </v:shape>
                <w10:anchorlock/>
              </v:group>
            </w:pict>
          </mc:Fallback>
        </mc:AlternateContent>
      </w:r>
      <w:r w:rsidRPr="00AC77DF">
        <w:rPr>
          <w:noProof/>
        </w:rPr>
        <mc:AlternateContent>
          <mc:Choice Requires="wps">
            <w:drawing>
              <wp:anchor distT="0" distB="0" distL="114300" distR="114300" simplePos="0" relativeHeight="251906048" behindDoc="0" locked="1" layoutInCell="0" allowOverlap="1" wp14:anchorId="6089F5E5" wp14:editId="27AB400A">
                <wp:simplePos x="0" y="0"/>
                <wp:positionH relativeFrom="column">
                  <wp:posOffset>-609600</wp:posOffset>
                </wp:positionH>
                <wp:positionV relativeFrom="page">
                  <wp:posOffset>443230</wp:posOffset>
                </wp:positionV>
                <wp:extent cx="636905" cy="396240"/>
                <wp:effectExtent l="0" t="0" r="0" b="0"/>
                <wp:wrapNone/>
                <wp:docPr id="75" name="文字方塊 7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832" w:rsidRDefault="00970832" w:rsidP="002952DE">
                            <w:pPr>
                              <w:jc w:val="center"/>
                              <w:rPr>
                                <w:color w:val="000000"/>
                                <w:sz w:val="36"/>
                              </w:rPr>
                            </w:pPr>
                            <w:r>
                              <w:rPr>
                                <w:rFonts w:hint="eastAsia"/>
                                <w:color w:val="000000"/>
                                <w:sz w:val="36"/>
                              </w:rPr>
                              <w:t>正本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5" o:spid="_x0000_s1103" type="#_x0000_t202" style="position:absolute;left:0;text-align:left;margin-left:-48pt;margin-top:34.9pt;width:50.15pt;height:31.2pt;z-index:251906048;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" o:allowincell="f" filled="f">
                <v:textbox inset=".5mm,,.5mm">
                  <w:txbxContent>
                    <w:p w:rsidR="00895792" w:rsidRDefault="00895792" w:rsidP="002952DE">
                      <w:pPr>
                        <w:jc w:val="center"/>
                        <w:rPr>
                          <w:color w:val="000000"/>
                          <w:sz w:val="36"/>
                        </w:rPr>
                      </w:pPr>
                      <w:r>
                        <w:rPr>
                          <w:rFonts w:hint="eastAsia"/>
                          <w:color w:val="000000"/>
                          <w:sz w:val="36"/>
                        </w:rPr>
                        <w:t>正本</w:t>
                      </w:r>
                    </w:p>
                  </w:txbxContent>
                </v:textbox>
                <w10:wrap anchory="page"/>
                <w10:anchorlock/>
              </v:shape>
            </w:pict>
          </mc:Fallback>
        </mc:AlternateContent>
      </w:r>
      <w:r w:rsidRPr="00AC77DF">
        <w:rPr>
          <w:noProof/>
        </w:rPr>
        <mc:AlternateContent>
          <mc:Choice Requires="wps">
            <w:drawing>
              <wp:anchor distT="0" distB="0" distL="114300" distR="114300" simplePos="0" relativeHeight="251905024" behindDoc="0" locked="1" layoutInCell="0" allowOverlap="1" wp14:anchorId="6FC47E0C" wp14:editId="602477F6">
                <wp:simplePos x="0" y="0"/>
                <wp:positionH relativeFrom="column">
                  <wp:posOffset>-609600</wp:posOffset>
                </wp:positionH>
                <wp:positionV relativeFrom="page">
                  <wp:posOffset>442595</wp:posOffset>
                </wp:positionV>
                <wp:extent cx="636905" cy="396240"/>
                <wp:effectExtent l="0" t="0" r="0" b="0"/>
                <wp:wrapNone/>
                <wp:docPr id="74" name="文字方塊 7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832" w:rsidRDefault="00970832" w:rsidP="002952DE">
                            <w:pPr>
                              <w:jc w:val="center"/>
                              <w:rPr>
                                <w:color w:val="000000"/>
                                <w:sz w:val="36"/>
                              </w:rPr>
                            </w:pPr>
                            <w:r>
                              <w:rPr>
                                <w:rFonts w:hint="eastAsia"/>
                                <w:color w:val="000000"/>
                                <w:sz w:val="36"/>
                              </w:rPr>
                              <w:t>副本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4" o:spid="_x0000_s1104" type="#_x0000_t202" style="position:absolute;left:0;text-align:left;margin-left:-48pt;margin-top:34.85pt;width:50.15pt;height:31.2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" o:allowincell="f" filled="f">
                <v:textbox inset=".5mm,,.5mm">
                  <w:txbxContent>
                    <w:p w:rsidR="00895792" w:rsidRDefault="00895792" w:rsidP="002952DE">
                      <w:pPr>
                        <w:jc w:val="center"/>
                        <w:rPr>
                          <w:color w:val="000000"/>
                          <w:sz w:val="36"/>
                        </w:rPr>
                      </w:pPr>
                      <w:r>
                        <w:rPr>
                          <w:rFonts w:hint="eastAsia"/>
                          <w:color w:val="000000"/>
                          <w:sz w:val="36"/>
                        </w:rPr>
                        <w:t>副本</w:t>
                      </w:r>
                    </w:p>
                  </w:txbxContent>
                </v:textbox>
                <w10:wrap anchory="page"/>
                <w10:anchorlock/>
              </v:shape>
            </w:pict>
          </mc:Fallback>
        </mc:AlternateContent>
      </w:r>
      <w:r w:rsidRPr="00AC77DF">
        <w:rPr>
          <w:noProof/>
        </w:rPr>
        <mc:AlternateContent>
          <mc:Choice Requires="wps">
            <w:drawing>
              <wp:anchor distT="0" distB="0" distL="114300" distR="114300" simplePos="0" relativeHeight="251904000" behindDoc="0" locked="1" layoutInCell="0" allowOverlap="1" wp14:anchorId="721AFDE4" wp14:editId="108B18C1">
                <wp:simplePos x="0" y="0"/>
                <wp:positionH relativeFrom="column">
                  <wp:posOffset>2819400</wp:posOffset>
                </wp:positionH>
                <wp:positionV relativeFrom="page">
                  <wp:posOffset>443230</wp:posOffset>
                </wp:positionV>
                <wp:extent cx="1440180" cy="360045"/>
                <wp:effectExtent l="0" t="0" r="0" b="0"/>
                <wp:wrapNone/>
                <wp:docPr id="73" name="文字方塊 7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970832" w:rsidRDefault="00970832" w:rsidP="002952DE">
                            <w:r>
                              <w:rPr>
                                <w:rFonts w:hint="eastAsia"/>
                              </w:rPr>
                              <w:t>院長王○○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3" o:spid="_x0000_s1105" type="#_x0000_t202" style="position:absolute;left:0;text-align:left;margin-left:222pt;margin-top:34.9pt;width:113.4pt;height:28.35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" o:allowincell="f">
                <v:textbox>
                  <w:txbxContent>
                    <w:p w:rsidR="00895792" w:rsidRDefault="00895792" w:rsidP="002952DE">
                      <w:r>
                        <w:rPr>
                          <w:rFonts w:hint="eastAsia"/>
                        </w:rPr>
                        <w:t>院長王○○</w:t>
                      </w:r>
                    </w:p>
                  </w:txbxContent>
                </v:textbox>
                <w10:wrap anchory="page"/>
                <w10:anchorlock/>
              </v:shape>
            </w:pict>
          </mc:Fallback>
        </mc:AlternateContent>
      </w:r>
      <w:r w:rsidRPr="00AC77DF">
        <w:rPr>
          <w:noProof/>
        </w:rPr>
        <mc:AlternateContent>
          <mc:Choice Requires="wps">
            <w:drawing>
              <wp:anchor distT="0" distB="0" distL="114300" distR="114300" simplePos="0" relativeHeight="251902976" behindDoc="0" locked="1" layoutInCell="0" allowOverlap="1" wp14:anchorId="43416095" wp14:editId="3E22FE02">
                <wp:simplePos x="0" y="0"/>
                <wp:positionH relativeFrom="column">
                  <wp:posOffset>1381125</wp:posOffset>
                </wp:positionH>
                <wp:positionV relativeFrom="page">
                  <wp:posOffset>443230</wp:posOffset>
                </wp:positionV>
                <wp:extent cx="1440180" cy="360045"/>
                <wp:effectExtent l="0" t="0" r="0" b="0"/>
                <wp:wrapNone/>
                <wp:docPr id="72" name="文字方塊 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970832" w:rsidRDefault="00970832" w:rsidP="002952DE">
                            <w:pPr>
                              <w:rPr>
                                <w:rFonts w:ascii="標楷體"/>
                              </w:rPr>
                            </w:pPr>
                            <w:r>
                              <w:rPr>
                                <w:rFonts w:ascii="標楷體" w:hint="eastAsia"/>
                              </w:rPr>
                              <w:t>函;函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2" o:spid="_x0000_s1106" type="#_x0000_t202" style="position:absolute;left:0;text-align:left;margin-left:108.75pt;margin-top:34.9pt;width:113.4pt;height:28.35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" o:allowincell="f">
                <v:textbox>
                  <w:txbxContent>
                    <w:p w:rsidR="00895792" w:rsidRDefault="00895792" w:rsidP="002952DE">
                      <w:pPr>
                        <w:rPr>
                          <w:rFonts w:ascii="標楷體"/>
                        </w:rPr>
                      </w:pPr>
                      <w:r>
                        <w:rPr>
                          <w:rFonts w:ascii="標楷體" w:hint="eastAsia"/>
                        </w:rPr>
                        <w:t>函;函</w:t>
                      </w:r>
                    </w:p>
                  </w:txbxContent>
                </v:textbox>
                <w10:wrap anchory="page"/>
                <w10:anchorlock/>
              </v:shape>
            </w:pict>
          </mc:Fallback>
        </mc:AlternateContent>
      </w:r>
      <w:r w:rsidRPr="00AC77DF">
        <w:rPr>
          <w:rFonts w:ascii="細明體" w:eastAsia="細明體" w:hAnsi="細明體" w:cs="細明體" w:hint="eastAsia"/>
        </w:rPr>
        <w:t xml:space="preserve">　</w:t>
      </w:r>
      <w:r w:rsidRPr="00AC77DF">
        <w:rPr>
          <w:rFonts w:hAnsi="華康粗黑體" w:cs="華康粗黑體" w:hint="eastAsia"/>
        </w:rPr>
        <w:t>工作</w:t>
      </w:r>
      <w:r w:rsidRPr="00AC77DF">
        <w:t>權</w:t>
      </w:r>
      <w:bookmarkEnd w:id="391"/>
      <w:bookmarkEnd w:id="392"/>
    </w:p>
    <w:p w:rsidR="003807A5" w:rsidRPr="00AC77DF" w:rsidRDefault="003807A5" w:rsidP="00B7222B">
      <w:pPr>
        <w:pStyle w:val="1---"/>
        <w:ind w:firstLine="480"/>
      </w:pPr>
      <w:r w:rsidRPr="00AC77DF">
        <w:t>工作權</w:t>
      </w:r>
      <w:r w:rsidR="00AE6C22">
        <w:rPr>
          <w:rStyle w:val="aff2"/>
        </w:rPr>
        <w:footnoteReference w:id="95"/>
      </w:r>
      <w:r w:rsidRPr="00AC77DF">
        <w:t>包含個體面及集體面兩個概念，前者係指一個人能夠獲取收入以確保適當生活水準，並擁有合適的物質生活，而能獨立之基礎。然因個別勞動者多受制於公司管理階層</w:t>
      </w:r>
      <w:r w:rsidRPr="00AC77DF">
        <w:rPr>
          <w:lang w:eastAsia="zh-TW"/>
        </w:rPr>
        <w:t>，</w:t>
      </w:r>
      <w:r w:rsidRPr="00AC77DF">
        <w:t>故工作權尚包含集體</w:t>
      </w:r>
      <w:r w:rsidR="00684B28">
        <w:rPr>
          <w:rFonts w:hint="eastAsia"/>
        </w:rPr>
        <w:t>權利</w:t>
      </w:r>
      <w:r w:rsidRPr="00AC77DF">
        <w:t>的概念</w:t>
      </w:r>
      <w:r w:rsidRPr="00AC77DF">
        <w:rPr>
          <w:lang w:eastAsia="zh-TW"/>
        </w:rPr>
        <w:t>，</w:t>
      </w:r>
      <w:r w:rsidRPr="00AC77DF">
        <w:t>例如透過工會來保障自己的權益</w:t>
      </w:r>
      <w:r w:rsidRPr="00AC77DF">
        <w:rPr>
          <w:rStyle w:val="aff2"/>
        </w:rPr>
        <w:footnoteReference w:id="96"/>
      </w:r>
      <w:r w:rsidRPr="00AC77DF">
        <w:t>。世界人權宣言提出工作權乃人民的權利，第</w:t>
      </w:r>
      <w:r w:rsidRPr="00AC77DF">
        <w:t>23</w:t>
      </w:r>
      <w:r w:rsidRPr="00AC77DF">
        <w:t>條揭示：一、人人有權工作，自由選擇職業、受公正和合適的工作條件並享受免於失業的保障。二、人人有同工同酬的權利，不受任何歧視。三、每一個工作的人，有權享受公正和合適的報酬，保證使他本人和家屬有符合尊嚴的生活條件，必要時並輔以其他方式的社會保障。四、人人有為維護其利益而組織和參加工會的權利。</w:t>
      </w:r>
    </w:p>
    <w:p w:rsidR="003807A5" w:rsidRPr="00AC77DF" w:rsidRDefault="003807A5" w:rsidP="00B7222B">
      <w:pPr>
        <w:pStyle w:val="1---"/>
        <w:ind w:firstLine="480"/>
        <w:rPr>
          <w:lang w:eastAsia="zh-TW"/>
        </w:rPr>
      </w:pPr>
      <w:r w:rsidRPr="00AC77DF">
        <w:t>經濟社會文化權利國際公約第</w:t>
      </w:r>
      <w:r w:rsidRPr="00AC77DF">
        <w:t>6</w:t>
      </w:r>
      <w:r w:rsidRPr="00AC77DF">
        <w:t>條進一步提及國家應保障人民享有如下工作權：一、本公約締約國確認人人有工作之權利，包括人人應有機會憑本人自由選擇或接受之工作謀生之權利，並將採取適當步驟保障之。二、本公約締約國為求完全實現此種權利而須採取之步驟，應包括技術與職業指導及訓練方案、政策與方法，以便在保障個人基本政治與經濟自由之條件下，造成經濟、社會及文化之穩步發展以及充分之生產性就業。該公約第</w:t>
      </w:r>
      <w:r w:rsidRPr="00AC77DF">
        <w:t>7</w:t>
      </w:r>
      <w:r w:rsidRPr="00AC77DF">
        <w:t>條規定，締約國應確保人民有權享受公平與良好</w:t>
      </w:r>
      <w:r w:rsidRPr="00AC77DF">
        <w:lastRenderedPageBreak/>
        <w:t>之工作條件。第</w:t>
      </w:r>
      <w:r w:rsidRPr="00AC77DF">
        <w:t>8</w:t>
      </w:r>
      <w:r w:rsidRPr="00AC77DF">
        <w:t>條則賦予人民勞動基本權，包括選擇加入工會及結社自由等權利。不過該條並不禁止對軍警或國家行政機關人員行使此種權利，加以合法限制。上開公約強調，人人應有機會憑其自由選擇和接受的工作來謀生之權利，締約國應採取適當步驟來保障此一權利。工作權保障之意旨，已為國際公約所重視。</w:t>
      </w:r>
    </w:p>
    <w:p w:rsidR="003807A5" w:rsidRPr="00AC77DF" w:rsidRDefault="003807A5" w:rsidP="00B7222B">
      <w:pPr>
        <w:pStyle w:val="1---"/>
        <w:ind w:firstLine="480"/>
      </w:pPr>
      <w:r w:rsidRPr="00AC77DF">
        <w:t>聯合國人權事務委員會於</w:t>
      </w:r>
      <w:r w:rsidRPr="00AC77DF">
        <w:t>2005</w:t>
      </w:r>
      <w:r w:rsidRPr="00AC77DF">
        <w:t>年通過第</w:t>
      </w:r>
      <w:r w:rsidRPr="00AC77DF">
        <w:t>18</w:t>
      </w:r>
      <w:r w:rsidRPr="00AC77DF">
        <w:t>號一般性意見，指出經濟社會文化權利國際公約第</w:t>
      </w:r>
      <w:r w:rsidRPr="00AC77DF">
        <w:t>6</w:t>
      </w:r>
      <w:r w:rsidRPr="00AC77DF">
        <w:t>條規範之工作權是一項受若干國際法律文書承認的基本權利。其乃實現其他人權的根本所在，也是構成固有人性尊嚴不可分割的一部分。每一個人均有工作的權利，使其生活地有尊嚴。工作權同時有助於個人及其家庭的生存，從能夠自由選擇和接受工作的角度出發，這一權利有助於個人的發展和獲得所在群體的承認。經濟社會文化權利國際公約第</w:t>
      </w:r>
      <w:r w:rsidRPr="00AC77DF">
        <w:t>7</w:t>
      </w:r>
      <w:r w:rsidRPr="00AC77DF">
        <w:t>條通過確認人人有權享受公平與良好之工作條件，尤其有權享有安全的工作條件，明確引申了工作權的個人內涵。第</w:t>
      </w:r>
      <w:r w:rsidRPr="00AC77DF">
        <w:t>8</w:t>
      </w:r>
      <w:r w:rsidRPr="00AC77DF">
        <w:t>條闡述了工作權的集體內涵，闡明人人有權組織工會和參加所選擇的工會，並有權使工會自由運作。</w:t>
      </w:r>
    </w:p>
    <w:p w:rsidR="003807A5" w:rsidRPr="00AC77DF" w:rsidRDefault="003807A5" w:rsidP="00B7222B">
      <w:pPr>
        <w:pStyle w:val="1---"/>
        <w:ind w:firstLine="480"/>
      </w:pPr>
      <w:r w:rsidRPr="00AC77DF">
        <w:t>除經濟社會文化權利國際公約以外，公民與政治權利國際公約第</w:t>
      </w:r>
      <w:r w:rsidRPr="00AC77DF">
        <w:t>8</w:t>
      </w:r>
      <w:r w:rsidRPr="00AC77DF">
        <w:t>條第</w:t>
      </w:r>
      <w:r w:rsidRPr="00AC77DF">
        <w:t>3</w:t>
      </w:r>
      <w:r w:rsidRPr="00AC77DF">
        <w:t>項第</w:t>
      </w:r>
      <w:r w:rsidRPr="00AC77DF">
        <w:t>1</w:t>
      </w:r>
      <w:r w:rsidRPr="00AC77DF">
        <w:t>款、消除一切形式種族歧視國際公約第</w:t>
      </w:r>
      <w:r w:rsidRPr="00AC77DF">
        <w:t>5</w:t>
      </w:r>
      <w:r w:rsidRPr="00AC77DF">
        <w:t>條第</w:t>
      </w:r>
      <w:r w:rsidRPr="00AC77DF">
        <w:t>5</w:t>
      </w:r>
      <w:r w:rsidRPr="00AC77DF">
        <w:t>項第</w:t>
      </w:r>
      <w:r w:rsidRPr="00AC77DF">
        <w:t>1</w:t>
      </w:r>
      <w:r w:rsidRPr="00AC77DF">
        <w:t>款、消除對婦女一切形式歧視公約第</w:t>
      </w:r>
      <w:r w:rsidRPr="00AC77DF">
        <w:t>11</w:t>
      </w:r>
      <w:r w:rsidRPr="00AC77DF">
        <w:t>條第</w:t>
      </w:r>
      <w:r w:rsidRPr="00AC77DF">
        <w:t>1</w:t>
      </w:r>
      <w:r w:rsidRPr="00AC77DF">
        <w:t>項第</w:t>
      </w:r>
      <w:r w:rsidRPr="00AC77DF">
        <w:t>1</w:t>
      </w:r>
      <w:r w:rsidRPr="00AC77DF">
        <w:t>款、兒童權利公約第</w:t>
      </w:r>
      <w:r w:rsidRPr="00AC77DF">
        <w:t>32</w:t>
      </w:r>
      <w:r w:rsidRPr="00AC77DF">
        <w:t>條及保護所有移徙工人及其家庭成員權利國際公約第</w:t>
      </w:r>
      <w:r w:rsidRPr="00AC77DF">
        <w:t>11</w:t>
      </w:r>
      <w:r w:rsidRPr="00AC77DF">
        <w:t>條、第</w:t>
      </w:r>
      <w:r w:rsidRPr="00AC77DF">
        <w:t>25</w:t>
      </w:r>
      <w:r w:rsidRPr="00AC77DF">
        <w:t>條、第</w:t>
      </w:r>
      <w:r w:rsidRPr="00AC77DF">
        <w:t>26</w:t>
      </w:r>
      <w:r w:rsidRPr="00AC77DF">
        <w:t>條、第</w:t>
      </w:r>
      <w:r w:rsidRPr="00AC77DF">
        <w:t>40</w:t>
      </w:r>
      <w:r w:rsidRPr="00AC77DF">
        <w:t>條、第</w:t>
      </w:r>
      <w:r w:rsidRPr="00AC77DF">
        <w:t>52</w:t>
      </w:r>
      <w:r w:rsidRPr="00AC77DF">
        <w:t>條及第</w:t>
      </w:r>
      <w:r w:rsidRPr="00AC77DF">
        <w:t>54</w:t>
      </w:r>
      <w:r w:rsidRPr="00AC77DF">
        <w:t>條亦對工作權予以闡述。</w:t>
      </w:r>
    </w:p>
    <w:p w:rsidR="003807A5" w:rsidRPr="00AC77DF" w:rsidRDefault="003807A5" w:rsidP="00B7222B">
      <w:pPr>
        <w:pStyle w:val="1---"/>
        <w:ind w:firstLine="480"/>
      </w:pPr>
      <w:r w:rsidRPr="00AC77DF">
        <w:t>經濟社會文化權利國際公約保障的工作權，包含不被不合理的剝奪工作，以透過個人有選擇工作的自由而體現尊重個人</w:t>
      </w:r>
      <w:r w:rsidRPr="00AC77DF">
        <w:lastRenderedPageBreak/>
        <w:t>及其尊嚴，同時強調了工作對於個人發展以及對於社會和經濟融合的重要性。國際勞工組織關於就業政策的第</w:t>
      </w:r>
      <w:r w:rsidRPr="00AC77DF">
        <w:t>122</w:t>
      </w:r>
      <w:r w:rsidRPr="00AC77DF">
        <w:t>號公約（</w:t>
      </w:r>
      <w:r w:rsidRPr="00AC77DF">
        <w:t>196</w:t>
      </w:r>
      <w:r w:rsidRPr="00E251DB">
        <w:rPr>
          <w:spacing w:val="-20"/>
        </w:rPr>
        <w:t>4</w:t>
      </w:r>
      <w:r w:rsidRPr="00AC77DF">
        <w:t>年</w:t>
      </w:r>
      <w:r w:rsidRPr="00E251DB">
        <w:rPr>
          <w:spacing w:val="-20"/>
        </w:rPr>
        <w:t>）</w:t>
      </w:r>
      <w:r w:rsidRPr="00AC77DF">
        <w:t>亦提到「充分、生產性和自由選擇的就業</w:t>
      </w:r>
      <w:r w:rsidRPr="00E251DB">
        <w:rPr>
          <w:spacing w:val="-20"/>
        </w:rPr>
        <w:t>」</w:t>
      </w:r>
      <w:r w:rsidRPr="00AC77DF">
        <w:t>，將締約國為充分就業創造條件的義務與確保沒有強迫勞動的義務聯繫在一起。</w:t>
      </w:r>
    </w:p>
    <w:p w:rsidR="003807A5" w:rsidRPr="00AC77DF" w:rsidRDefault="003807A5" w:rsidP="00B7222B">
      <w:pPr>
        <w:pStyle w:val="1---"/>
        <w:ind w:firstLine="480"/>
      </w:pPr>
      <w:r w:rsidRPr="00AC77DF">
        <w:t>至於工作權的規範內容，第</w:t>
      </w:r>
      <w:r w:rsidRPr="00AC77DF">
        <w:t>18</w:t>
      </w:r>
      <w:r w:rsidRPr="00AC77DF">
        <w:t>號一般性意見指出，工作權是一項屬於每個人的單獨權利，同時也是一項集體權利。經濟社會文化權利國際公約第</w:t>
      </w:r>
      <w:r w:rsidRPr="00AC77DF">
        <w:t>6</w:t>
      </w:r>
      <w:r w:rsidRPr="00AC77DF">
        <w:t>條規定的工作必須是尊嚴勞動。這種工作尊重人的基本人權以及工作者在工作安全和報酬條件方面的權利。它所提供的收入能夠使工作者按照經濟社會文化權利國際公約第</w:t>
      </w:r>
      <w:r w:rsidRPr="00AC77DF">
        <w:t>7</w:t>
      </w:r>
      <w:r w:rsidRPr="00AC77DF">
        <w:t>條所強調，養活自己和家庭。這些基本權利還包括尊重工作者在從事就業時的身體和心理健康。</w:t>
      </w:r>
    </w:p>
    <w:p w:rsidR="003807A5" w:rsidRDefault="003807A5" w:rsidP="00B7222B">
      <w:pPr>
        <w:pStyle w:val="1---"/>
        <w:ind w:firstLine="480"/>
        <w:rPr>
          <w:lang w:eastAsia="zh-TW"/>
        </w:rPr>
      </w:pPr>
      <w:r w:rsidRPr="00AC77DF">
        <w:t>我國憲法第</w:t>
      </w:r>
      <w:r w:rsidRPr="00AC77DF">
        <w:t>15</w:t>
      </w:r>
      <w:r w:rsidRPr="00AC77DF">
        <w:t>條規定「人民之生存權、工作權及財產權，應予保障</w:t>
      </w:r>
      <w:r w:rsidRPr="00E251DB">
        <w:rPr>
          <w:spacing w:val="-20"/>
        </w:rPr>
        <w:t>。</w:t>
      </w:r>
      <w:r w:rsidRPr="00AC77DF">
        <w:t>」此即自由權面向之工作權保障條文，保障人民有從事工作並選擇職業之自由</w:t>
      </w:r>
      <w:r w:rsidRPr="00AC77DF">
        <w:rPr>
          <w:rStyle w:val="aff2"/>
        </w:rPr>
        <w:footnoteReference w:id="97"/>
      </w:r>
      <w:r w:rsidRPr="00AC77DF">
        <w:t>。憲法第</w:t>
      </w:r>
      <w:r w:rsidRPr="00AC77DF">
        <w:t>152</w:t>
      </w:r>
      <w:r w:rsidRPr="00AC77DF">
        <w:t>條規定</w:t>
      </w:r>
      <w:r w:rsidRPr="00E251DB">
        <w:rPr>
          <w:spacing w:val="-20"/>
        </w:rPr>
        <w:t>：</w:t>
      </w:r>
      <w:r w:rsidRPr="00AC77DF">
        <w:t>「人民具有工作能力者，國家應予以適當之工作機會</w:t>
      </w:r>
      <w:r w:rsidRPr="00E251DB">
        <w:rPr>
          <w:spacing w:val="-20"/>
        </w:rPr>
        <w:t>」</w:t>
      </w:r>
      <w:r w:rsidRPr="00AC77DF">
        <w:t>，此屬社會權面向之工作權保障。然而人民並不能直接要求國家提供工作，須由政府部門視經濟情勢妥為規劃，透過立法加以落實。此條規定除對人民的工作權具政治道德宣言性質，實際上也間接施予國家積極保障之責任，使國家負有制定促進就業、消除失業等法規之義務。然多數學者認為，此乃憲法督促國家提升經濟環境，使人民有工作機會的目標追求，並非指人民有請求國家提供</w:t>
      </w:r>
      <w:r w:rsidRPr="00AC77DF">
        <w:lastRenderedPageBreak/>
        <w:t>工作權利，當然也不包含工作職位選擇的保障</w:t>
      </w:r>
      <w:r w:rsidRPr="00AC77DF">
        <w:rPr>
          <w:rStyle w:val="aff2"/>
        </w:rPr>
        <w:footnoteReference w:id="98"/>
      </w:r>
      <w:r w:rsidRPr="00AC77DF">
        <w:t>。</w:t>
      </w:r>
    </w:p>
    <w:p w:rsidR="003807A5" w:rsidRDefault="003807A5" w:rsidP="00E251DB">
      <w:pPr>
        <w:pStyle w:val="1---"/>
        <w:ind w:firstLine="480"/>
        <w:jc w:val="distribute"/>
        <w:rPr>
          <w:lang w:eastAsia="zh-TW"/>
        </w:rPr>
      </w:pPr>
      <w:r w:rsidRPr="00AC77DF">
        <w:t>司法院多次對工作權的保障及其內涵，加以解釋</w:t>
      </w:r>
      <w:r w:rsidRPr="00AC77DF">
        <w:rPr>
          <w:rStyle w:val="aff2"/>
        </w:rPr>
        <w:footnoteReference w:id="99"/>
      </w:r>
      <w:r w:rsidRPr="00AC77DF">
        <w:t>。尤其司法院釋字第</w:t>
      </w:r>
      <w:r w:rsidRPr="00AC77DF">
        <w:t>649</w:t>
      </w:r>
      <w:r w:rsidRPr="00AC77DF">
        <w:t>號之解釋理由書明確指出</w:t>
      </w:r>
      <w:r w:rsidRPr="00E251DB">
        <w:rPr>
          <w:spacing w:val="-20"/>
        </w:rPr>
        <w:t>：</w:t>
      </w:r>
      <w:r w:rsidRPr="00AC77DF">
        <w:t>「對職業自由之限制，因其內容之差異，在憲法上有寬嚴不同之容許標準。關於從事工作之方法、時間、地點等執行職業自由，立法者為追求一般公共利益，非不得予以適當之限制。至人民選擇職業之自由，如屬應具備之主觀條件，乃指從事特定職業之個人本身所應具備之專業能力或資格，且該等能力或資格可經由訓練培養而獲得者，例如知識、學位、體能等，立法者欲對此加以限制，須有重要公共利益存在。而人民選擇職業應具備之客觀條件，係指對從事特定職業之條件限制，非個人努力所可達成，例如行業獨占制度，則應以保護特別重要之公共利益始得為之</w:t>
      </w:r>
      <w:r w:rsidRPr="00E251DB">
        <w:rPr>
          <w:spacing w:val="-2"/>
        </w:rPr>
        <w:t>。且不論何種情形之限制，所採之手段均須與比例原則無違</w:t>
      </w:r>
      <w:r w:rsidRPr="00E251DB">
        <w:rPr>
          <w:spacing w:val="-18"/>
        </w:rPr>
        <w:t>」</w:t>
      </w:r>
      <w:r w:rsidRPr="00E251DB">
        <w:rPr>
          <w:spacing w:val="-2"/>
        </w:rPr>
        <w:t>。</w:t>
      </w:r>
    </w:p>
    <w:p w:rsidR="00A01012" w:rsidRPr="00AC77DF" w:rsidRDefault="00A01012" w:rsidP="00B7222B">
      <w:pPr>
        <w:pStyle w:val="1---"/>
        <w:ind w:firstLine="480"/>
      </w:pPr>
      <w:r>
        <w:rPr>
          <w:rFonts w:hint="eastAsia"/>
        </w:rPr>
        <w:t>綜上，</w:t>
      </w:r>
      <w:r w:rsidRPr="00AC77DF">
        <w:t>工作權不僅構成社會經濟權利的核心內容，也是人民實現自我與人格發展之基礎，故具有自由權與社會權雙重面向</w:t>
      </w:r>
      <w:r w:rsidRPr="00AC77DF">
        <w:rPr>
          <w:rStyle w:val="aff2"/>
        </w:rPr>
        <w:footnoteReference w:id="100"/>
      </w:r>
      <w:r w:rsidRPr="00AC77DF">
        <w:t>。由自由權觀之，工作權乃基本人權主體以生活創造或維持之意，包括兩核心概念：主觀上，行為人將其作為生活關聯的活動；客觀上，工作指一定期間內反覆的行為，故偶一為之的行為，並非憲法工作權保障範圍。此外，人民有選擇工作及自由加入工會保護自己利益的自由，故自由權亦隱含消極「防</w:t>
      </w:r>
      <w:r w:rsidRPr="00AC77DF">
        <w:lastRenderedPageBreak/>
        <w:t>止國家直接侵害」之防禦功能（或「侵害停止請求權</w:t>
      </w:r>
      <w:r w:rsidRPr="00E251DB">
        <w:rPr>
          <w:spacing w:val="-26"/>
        </w:rPr>
        <w:t>」）</w:t>
      </w:r>
      <w:r w:rsidRPr="00AC77DF">
        <w:t>。基於此種防禦功能，人民可以依法律途徑要求停止侵害，甚至聲請宣告案涉之一切國家侵害行為（法律、命令、處分、裁判或其他措施）違憲無效。</w:t>
      </w:r>
    </w:p>
    <w:p w:rsidR="00A01012" w:rsidRDefault="00A01012" w:rsidP="00B7222B">
      <w:pPr>
        <w:pStyle w:val="1---"/>
        <w:ind w:firstLine="480"/>
        <w:rPr>
          <w:lang w:eastAsia="zh-TW"/>
        </w:rPr>
      </w:pPr>
      <w:r w:rsidRPr="00AC77DF">
        <w:t>由社會權面向來看，工作權又具有「給付功能</w:t>
      </w:r>
      <w:r w:rsidRPr="00E251DB">
        <w:rPr>
          <w:spacing w:val="-26"/>
        </w:rPr>
        <w:t>」</w:t>
      </w:r>
      <w:r w:rsidRPr="00AC77DF">
        <w:t>，即人民有請求國家特定作為，或提供特定給付之權利。一般而言，人民之請求權僅限於「衍生之給付請求權</w:t>
      </w:r>
      <w:r w:rsidRPr="00E251DB">
        <w:rPr>
          <w:spacing w:val="-26"/>
        </w:rPr>
        <w:t>」</w:t>
      </w:r>
      <w:r w:rsidRPr="00AC77DF">
        <w:t>，並非「原始之給付請求權」。換言之，憲法對工作權雖有相關規定，但並非直接賦予人民請求國家給予一定工作之權利，國家亦無保障人民既有工作之義務。最後，國家應積極保障資本主義社會中，經濟社會地位居弱勢的勞工，以團結實力與資方處於對等的交涉地位，實現契約自由原則</w:t>
      </w:r>
      <w:r w:rsidRPr="00AC77DF">
        <w:rPr>
          <w:rStyle w:val="aff2"/>
        </w:rPr>
        <w:footnoteReference w:id="101"/>
      </w:r>
      <w:r w:rsidRPr="00AC77DF">
        <w:t>。</w:t>
      </w:r>
    </w:p>
    <w:p w:rsidR="003C2FF2" w:rsidRDefault="003C2FF2" w:rsidP="00B7222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3681"/>
      </w:tblGrid>
      <w:tr w:rsidR="003C2FF2" w:rsidTr="00E251DB">
        <w:tc>
          <w:tcPr>
            <w:tcW w:w="3681" w:type="dxa"/>
            <w:shd w:val="clear" w:color="auto" w:fill="D9D9D9" w:themeFill="background1" w:themeFillShade="D9"/>
          </w:tcPr>
          <w:p w:rsidR="003C2FF2" w:rsidRDefault="003C2FF2" w:rsidP="003C2FF2">
            <w:pPr>
              <w:pStyle w:val="11-"/>
              <w:spacing w:before="72" w:after="108"/>
              <w:rPr>
                <w:shd w:val="pct15" w:color="auto" w:fill="FFFFFF"/>
                <w:lang w:eastAsia="zh-TW"/>
              </w:rPr>
            </w:pPr>
            <w:bookmarkStart w:id="393" w:name="_Toc529885039"/>
            <w:bookmarkStart w:id="394" w:name="_Toc529885307"/>
            <w:bookmarkStart w:id="395" w:name="_Toc535228384"/>
            <w:bookmarkStart w:id="396" w:name="_Toc4058795"/>
            <w:r w:rsidRPr="00AC77DF">
              <w:t>處理性騷擾事件涉違失案</w:t>
            </w:r>
            <w:bookmarkEnd w:id="393"/>
            <w:bookmarkEnd w:id="394"/>
            <w:bookmarkEnd w:id="395"/>
            <w:bookmarkEnd w:id="396"/>
          </w:p>
        </w:tc>
      </w:tr>
    </w:tbl>
    <w:p w:rsidR="003C2FF2" w:rsidRPr="00AC77DF" w:rsidRDefault="003C2FF2" w:rsidP="00B7222B">
      <w:pPr>
        <w:pStyle w:val="1---"/>
        <w:ind w:firstLine="480"/>
        <w:rPr>
          <w:shd w:val="pct15" w:color="auto" w:fill="FFFFFF"/>
          <w:lang w:eastAsia="zh-TW"/>
        </w:rPr>
      </w:pPr>
    </w:p>
    <w:tbl>
      <w:tblPr>
        <w:tblW w:w="475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tblGrid>
      <w:tr w:rsidR="003807A5" w:rsidRPr="00AC77DF" w:rsidTr="00E251DB">
        <w:tc>
          <w:tcPr>
            <w:tcW w:w="5000" w:type="pct"/>
            <w:shd w:val="clear" w:color="auto" w:fill="auto"/>
          </w:tcPr>
          <w:p w:rsidR="003807A5" w:rsidRPr="00AC77DF" w:rsidRDefault="003807A5" w:rsidP="003C2FF2">
            <w:pPr>
              <w:spacing w:line="360" w:lineRule="exact"/>
              <w:jc w:val="both"/>
              <w:rPr>
                <w:color w:val="000000"/>
                <w:szCs w:val="28"/>
                <w:lang w:val="x-none"/>
              </w:rPr>
            </w:pPr>
            <w:bookmarkStart w:id="397" w:name="_Toc529885014"/>
            <w:r w:rsidRPr="00AC77DF">
              <w:rPr>
                <w:b/>
                <w:color w:val="000000"/>
                <w:szCs w:val="28"/>
                <w:lang w:val="x-none"/>
              </w:rPr>
              <w:t>相關國際人權公約：</w:t>
            </w:r>
            <w:r w:rsidRPr="00AC77DF">
              <w:t>消除對婦女一切形式歧視公約第</w:t>
            </w:r>
            <w:r w:rsidRPr="00AC77DF">
              <w:t>2</w:t>
            </w:r>
            <w:r w:rsidRPr="00AC77DF">
              <w:t>條、第</w:t>
            </w:r>
            <w:r w:rsidRPr="00AC77DF">
              <w:t>3</w:t>
            </w:r>
            <w:r w:rsidRPr="00AC77DF">
              <w:t>條、第</w:t>
            </w:r>
            <w:r w:rsidRPr="00AC77DF">
              <w:t>11</w:t>
            </w:r>
            <w:r w:rsidRPr="00AC77DF">
              <w:t>條</w:t>
            </w:r>
          </w:p>
          <w:p w:rsidR="003807A5" w:rsidRPr="00AC77DF" w:rsidRDefault="003807A5" w:rsidP="003C2FF2">
            <w:pPr>
              <w:spacing w:line="360" w:lineRule="exact"/>
              <w:jc w:val="both"/>
              <w:rPr>
                <w:b/>
                <w:color w:val="000000"/>
                <w:szCs w:val="28"/>
                <w:lang w:val="x-none"/>
              </w:rPr>
            </w:pPr>
            <w:r w:rsidRPr="00AC77DF">
              <w:rPr>
                <w:b/>
              </w:rPr>
              <w:t>消除對婦女一切形式歧視公約第</w:t>
            </w:r>
            <w:r w:rsidRPr="00AC77DF">
              <w:rPr>
                <w:b/>
              </w:rPr>
              <w:t>2</w:t>
            </w:r>
            <w:r w:rsidRPr="00AC77DF">
              <w:rPr>
                <w:b/>
              </w:rPr>
              <w:t>條</w:t>
            </w:r>
          </w:p>
          <w:p w:rsidR="003807A5" w:rsidRPr="00AC77DF" w:rsidRDefault="003807A5" w:rsidP="003C2FF2">
            <w:pPr>
              <w:spacing w:line="360" w:lineRule="exact"/>
              <w:jc w:val="both"/>
              <w:rPr>
                <w:color w:val="000000"/>
                <w:szCs w:val="28"/>
                <w:lang w:val="x-none"/>
              </w:rPr>
            </w:pPr>
            <w:r w:rsidRPr="00AC77DF">
              <w:rPr>
                <w:color w:val="000000"/>
                <w:szCs w:val="28"/>
                <w:lang w:val="x-none"/>
              </w:rPr>
              <w:t>締約各國譴責對婦女一切形式的歧視，協議立即用一切適當辦法，推行消除對婦女歧視的政策。為此目的，承擔：</w:t>
            </w:r>
          </w:p>
          <w:p w:rsidR="003807A5" w:rsidRPr="00AC77DF" w:rsidRDefault="003807A5" w:rsidP="00E251DB">
            <w:pPr>
              <w:spacing w:line="360" w:lineRule="exact"/>
              <w:ind w:left="600" w:hangingChars="250" w:hanging="600"/>
              <w:jc w:val="both"/>
              <w:rPr>
                <w:color w:val="000000"/>
                <w:szCs w:val="28"/>
                <w:lang w:val="x-none"/>
              </w:rPr>
            </w:pPr>
            <w:r w:rsidRPr="00AC77DF">
              <w:rPr>
                <w:color w:val="000000"/>
                <w:szCs w:val="28"/>
                <w:lang w:val="x-none"/>
              </w:rPr>
              <w:t>（</w:t>
            </w:r>
            <w:r w:rsidRPr="00AC77DF">
              <w:rPr>
                <w:color w:val="000000"/>
                <w:szCs w:val="28"/>
                <w:lang w:val="x-none"/>
              </w:rPr>
              <w:t>a</w:t>
            </w:r>
            <w:r w:rsidRPr="00AC77DF">
              <w:rPr>
                <w:color w:val="000000"/>
                <w:szCs w:val="28"/>
                <w:lang w:val="x-none"/>
              </w:rPr>
              <w:t>）男女平等的原則如尚未列入本國憲法或其他有關法律者，應將其列入，並以法律或其他適當方法，保證實</w:t>
            </w:r>
            <w:r w:rsidRPr="00AC77DF">
              <w:rPr>
                <w:color w:val="000000"/>
                <w:szCs w:val="28"/>
                <w:lang w:val="x-none"/>
              </w:rPr>
              <w:lastRenderedPageBreak/>
              <w:t>現這項原則；</w:t>
            </w:r>
          </w:p>
          <w:p w:rsidR="003807A5" w:rsidRPr="00AC77DF" w:rsidRDefault="003807A5" w:rsidP="00E251DB">
            <w:pPr>
              <w:spacing w:line="360" w:lineRule="exact"/>
              <w:ind w:left="600" w:hangingChars="250" w:hanging="600"/>
              <w:jc w:val="both"/>
              <w:rPr>
                <w:color w:val="000000"/>
                <w:szCs w:val="28"/>
                <w:lang w:val="x-none"/>
              </w:rPr>
            </w:pPr>
            <w:r w:rsidRPr="00AC77DF">
              <w:rPr>
                <w:color w:val="000000"/>
                <w:szCs w:val="28"/>
                <w:lang w:val="x-none"/>
              </w:rPr>
              <w:t>（</w:t>
            </w:r>
            <w:r w:rsidRPr="00AC77DF">
              <w:rPr>
                <w:color w:val="000000"/>
                <w:szCs w:val="28"/>
                <w:lang w:val="x-none"/>
              </w:rPr>
              <w:t>b</w:t>
            </w:r>
            <w:r w:rsidRPr="00AC77DF">
              <w:rPr>
                <w:color w:val="000000"/>
                <w:szCs w:val="28"/>
                <w:lang w:val="x-none"/>
              </w:rPr>
              <w:t>）採取適當立法和其他措施，包括在適當情況下實行制裁，以禁止對婦女的一切歧視；</w:t>
            </w:r>
          </w:p>
          <w:p w:rsidR="003807A5" w:rsidRPr="00AC77DF" w:rsidRDefault="003807A5" w:rsidP="00E251DB">
            <w:pPr>
              <w:spacing w:line="360" w:lineRule="exact"/>
              <w:ind w:left="600" w:hangingChars="250" w:hanging="600"/>
              <w:jc w:val="both"/>
              <w:rPr>
                <w:color w:val="000000"/>
                <w:szCs w:val="28"/>
                <w:lang w:val="x-none"/>
              </w:rPr>
            </w:pPr>
            <w:r w:rsidRPr="00AC77DF">
              <w:rPr>
                <w:color w:val="000000"/>
                <w:szCs w:val="28"/>
                <w:lang w:val="x-none"/>
              </w:rPr>
              <w:t>（</w:t>
            </w:r>
            <w:r w:rsidRPr="00AC77DF">
              <w:rPr>
                <w:color w:val="000000"/>
                <w:szCs w:val="28"/>
                <w:lang w:val="x-none"/>
              </w:rPr>
              <w:t>c</w:t>
            </w:r>
            <w:r w:rsidRPr="00AC77DF">
              <w:rPr>
                <w:color w:val="000000"/>
                <w:szCs w:val="28"/>
                <w:lang w:val="x-none"/>
              </w:rPr>
              <w:t>）為婦女確立與男子平等權利的法律保護，通過各國的主管法庭及其他公共機構，保證切實保護婦女不受任何歧視；</w:t>
            </w:r>
          </w:p>
          <w:p w:rsidR="003807A5" w:rsidRPr="00AC77DF" w:rsidRDefault="003807A5" w:rsidP="00E251DB">
            <w:pPr>
              <w:spacing w:line="360" w:lineRule="exact"/>
              <w:ind w:left="600" w:hangingChars="250" w:hanging="600"/>
              <w:jc w:val="both"/>
              <w:rPr>
                <w:color w:val="000000"/>
                <w:szCs w:val="28"/>
                <w:lang w:val="x-none"/>
              </w:rPr>
            </w:pPr>
            <w:r w:rsidRPr="00AC77DF">
              <w:rPr>
                <w:color w:val="000000"/>
                <w:szCs w:val="28"/>
                <w:lang w:val="x-none"/>
              </w:rPr>
              <w:t>（</w:t>
            </w:r>
            <w:r w:rsidRPr="00AC77DF">
              <w:rPr>
                <w:color w:val="000000"/>
                <w:szCs w:val="28"/>
                <w:lang w:val="x-none"/>
              </w:rPr>
              <w:t>d</w:t>
            </w:r>
            <w:r w:rsidRPr="00AC77DF">
              <w:rPr>
                <w:color w:val="000000"/>
                <w:szCs w:val="28"/>
                <w:lang w:val="x-none"/>
              </w:rPr>
              <w:t>）不採取任何歧視婦女的行為或做法，並保證政府當局和公共機構的行動都不違背這項義務；</w:t>
            </w:r>
          </w:p>
          <w:p w:rsidR="003807A5" w:rsidRPr="00AC77DF" w:rsidRDefault="003807A5" w:rsidP="00E251DB">
            <w:pPr>
              <w:spacing w:line="360" w:lineRule="exact"/>
              <w:ind w:left="600" w:hangingChars="250" w:hanging="600"/>
              <w:jc w:val="both"/>
              <w:rPr>
                <w:color w:val="000000"/>
                <w:szCs w:val="28"/>
                <w:lang w:val="x-none"/>
              </w:rPr>
            </w:pPr>
            <w:r w:rsidRPr="00AC77DF">
              <w:rPr>
                <w:color w:val="000000"/>
                <w:szCs w:val="28"/>
                <w:lang w:val="x-none"/>
              </w:rPr>
              <w:t>（</w:t>
            </w:r>
            <w:r w:rsidRPr="00AC77DF">
              <w:rPr>
                <w:color w:val="000000"/>
                <w:szCs w:val="28"/>
                <w:lang w:val="x-none"/>
              </w:rPr>
              <w:t>e</w:t>
            </w:r>
            <w:r w:rsidRPr="00AC77DF">
              <w:rPr>
                <w:color w:val="000000"/>
                <w:szCs w:val="28"/>
                <w:lang w:val="x-none"/>
              </w:rPr>
              <w:t>）採取一切適當措施，消除任何個人、組織或企業對婦女的歧視；</w:t>
            </w:r>
          </w:p>
          <w:p w:rsidR="003807A5" w:rsidRPr="00AC77DF" w:rsidRDefault="003807A5" w:rsidP="00E251DB">
            <w:pPr>
              <w:spacing w:line="360" w:lineRule="exact"/>
              <w:ind w:left="600" w:hangingChars="250" w:hanging="600"/>
              <w:jc w:val="both"/>
              <w:rPr>
                <w:color w:val="000000"/>
                <w:szCs w:val="28"/>
                <w:lang w:val="x-none"/>
              </w:rPr>
            </w:pPr>
            <w:r w:rsidRPr="00AC77DF">
              <w:rPr>
                <w:color w:val="000000"/>
                <w:szCs w:val="28"/>
                <w:lang w:val="x-none"/>
              </w:rPr>
              <w:t>（</w:t>
            </w:r>
            <w:r w:rsidRPr="00AC77DF">
              <w:rPr>
                <w:color w:val="000000"/>
                <w:szCs w:val="28"/>
                <w:lang w:val="x-none"/>
              </w:rPr>
              <w:t>f</w:t>
            </w:r>
            <w:r w:rsidRPr="00AC77DF">
              <w:rPr>
                <w:color w:val="000000"/>
                <w:szCs w:val="28"/>
                <w:lang w:val="x-none"/>
              </w:rPr>
              <w:t>）採取一切適當措施，包括制定法律，以修改或廢除構成對婦女歧視的現行法律、規章、習俗和慣例；</w:t>
            </w:r>
          </w:p>
          <w:p w:rsidR="003807A5" w:rsidRPr="00AC77DF" w:rsidRDefault="003807A5" w:rsidP="00E251DB">
            <w:pPr>
              <w:spacing w:line="360" w:lineRule="exact"/>
              <w:ind w:left="600" w:hangingChars="250" w:hanging="600"/>
              <w:jc w:val="both"/>
              <w:rPr>
                <w:color w:val="000000"/>
                <w:szCs w:val="28"/>
                <w:lang w:val="x-none"/>
              </w:rPr>
            </w:pPr>
            <w:r w:rsidRPr="00AC77DF">
              <w:rPr>
                <w:color w:val="000000"/>
                <w:szCs w:val="28"/>
                <w:lang w:val="x-none"/>
              </w:rPr>
              <w:t>（</w:t>
            </w:r>
            <w:r w:rsidRPr="00AC77DF">
              <w:rPr>
                <w:color w:val="000000"/>
                <w:szCs w:val="28"/>
                <w:lang w:val="x-none"/>
              </w:rPr>
              <w:t>g</w:t>
            </w:r>
            <w:r w:rsidRPr="00AC77DF">
              <w:rPr>
                <w:color w:val="000000"/>
                <w:szCs w:val="28"/>
                <w:lang w:val="x-none"/>
              </w:rPr>
              <w:t>）廢止本國刑法內構成對婦女歧視的一切規定。</w:t>
            </w:r>
          </w:p>
          <w:p w:rsidR="003807A5" w:rsidRPr="00AC77DF" w:rsidRDefault="003807A5" w:rsidP="003C2FF2">
            <w:pPr>
              <w:spacing w:line="360" w:lineRule="exact"/>
              <w:jc w:val="both"/>
              <w:rPr>
                <w:color w:val="000000"/>
                <w:szCs w:val="28"/>
                <w:lang w:val="x-none"/>
              </w:rPr>
            </w:pPr>
            <w:r w:rsidRPr="00AC77DF">
              <w:rPr>
                <w:b/>
              </w:rPr>
              <w:t>消除對婦女一切形式歧視公約第</w:t>
            </w:r>
            <w:r w:rsidRPr="00AC77DF">
              <w:rPr>
                <w:b/>
              </w:rPr>
              <w:t>3</w:t>
            </w:r>
            <w:r w:rsidRPr="00AC77DF">
              <w:rPr>
                <w:b/>
              </w:rPr>
              <w:t>條</w:t>
            </w:r>
          </w:p>
          <w:p w:rsidR="003807A5" w:rsidRPr="00AC77DF" w:rsidRDefault="003807A5" w:rsidP="003C2FF2">
            <w:pPr>
              <w:spacing w:line="360" w:lineRule="exact"/>
              <w:jc w:val="both"/>
            </w:pPr>
            <w:r w:rsidRPr="00AC77DF">
              <w:t>締約各國應承擔在所有領域，特別是在政治、社會、經濟、文化領域，採取一切適當措施，包括制定法律，保證婦女得到充分發展和進步，以確保婦女在與男子平等的基礎上，行使和享有人權和基本自由。</w:t>
            </w:r>
          </w:p>
          <w:p w:rsidR="003807A5" w:rsidRPr="00AC77DF" w:rsidRDefault="003807A5" w:rsidP="003C2FF2">
            <w:pPr>
              <w:spacing w:line="360" w:lineRule="exact"/>
              <w:jc w:val="both"/>
              <w:rPr>
                <w:b/>
              </w:rPr>
            </w:pPr>
            <w:r w:rsidRPr="00AC77DF">
              <w:rPr>
                <w:b/>
              </w:rPr>
              <w:t>消除對婦女一切形式歧視公約第</w:t>
            </w:r>
            <w:r w:rsidRPr="00AC77DF">
              <w:rPr>
                <w:b/>
              </w:rPr>
              <w:t>11</w:t>
            </w:r>
            <w:r w:rsidRPr="00AC77DF">
              <w:rPr>
                <w:b/>
              </w:rPr>
              <w:t>條</w:t>
            </w:r>
          </w:p>
          <w:p w:rsidR="003807A5" w:rsidRPr="00AC77DF" w:rsidRDefault="003807A5" w:rsidP="00B34FB2">
            <w:pPr>
              <w:spacing w:line="360" w:lineRule="exact"/>
              <w:ind w:left="192" w:hangingChars="80" w:hanging="192"/>
              <w:jc w:val="both"/>
            </w:pPr>
            <w:r w:rsidRPr="00AC77DF">
              <w:t>1.</w:t>
            </w:r>
            <w:r w:rsidRPr="00AC77DF">
              <w:t>締約各國應採取一切適當措施，消除在就業方面對婦女的歧視，以保證她們在男女平等的基礎上享有相同權利，特別是：</w:t>
            </w:r>
          </w:p>
          <w:p w:rsidR="003807A5" w:rsidRPr="00AC77DF" w:rsidRDefault="00B34FB2" w:rsidP="00B34FB2">
            <w:pPr>
              <w:spacing w:line="360" w:lineRule="exact"/>
              <w:ind w:leftChars="85" w:left="564" w:hangingChars="150" w:hanging="360"/>
              <w:jc w:val="both"/>
            </w:pPr>
            <w:r>
              <w:rPr>
                <w:rFonts w:hint="eastAsia"/>
              </w:rPr>
              <w:t>(</w:t>
            </w:r>
            <w:r w:rsidR="003807A5" w:rsidRPr="00AC77DF">
              <w:t>a</w:t>
            </w:r>
            <w:r>
              <w:rPr>
                <w:rFonts w:hint="eastAsia"/>
              </w:rPr>
              <w:t>)</w:t>
            </w:r>
            <w:r w:rsidR="003807A5" w:rsidRPr="00AC77DF">
              <w:t>人人有不可剝奪的工作權利；</w:t>
            </w:r>
          </w:p>
          <w:p w:rsidR="003807A5" w:rsidRPr="00AC77DF" w:rsidRDefault="00B34FB2" w:rsidP="00B34FB2">
            <w:pPr>
              <w:spacing w:line="360" w:lineRule="exact"/>
              <w:ind w:leftChars="85" w:left="492" w:hangingChars="120" w:hanging="288"/>
              <w:jc w:val="both"/>
            </w:pPr>
            <w:r>
              <w:rPr>
                <w:rFonts w:hint="eastAsia"/>
              </w:rPr>
              <w:t>(</w:t>
            </w:r>
            <w:r w:rsidR="003807A5" w:rsidRPr="00AC77DF">
              <w:t>b</w:t>
            </w:r>
            <w:r>
              <w:rPr>
                <w:rFonts w:hint="eastAsia"/>
              </w:rPr>
              <w:t>)</w:t>
            </w:r>
            <w:r w:rsidR="003807A5" w:rsidRPr="00AC77DF">
              <w:t>享有相同就業機會的權利，包括在就業方面相同的甄選標準；</w:t>
            </w:r>
          </w:p>
          <w:p w:rsidR="003807A5" w:rsidRPr="00AC77DF" w:rsidRDefault="00B34FB2" w:rsidP="00B34FB2">
            <w:pPr>
              <w:spacing w:line="360" w:lineRule="exact"/>
              <w:ind w:leftChars="85" w:left="492" w:hangingChars="120" w:hanging="288"/>
              <w:jc w:val="both"/>
            </w:pPr>
            <w:r>
              <w:rPr>
                <w:rFonts w:hint="eastAsia"/>
              </w:rPr>
              <w:lastRenderedPageBreak/>
              <w:t>(</w:t>
            </w:r>
            <w:r w:rsidR="003807A5" w:rsidRPr="00AC77DF">
              <w:t>c</w:t>
            </w:r>
            <w:r>
              <w:rPr>
                <w:rFonts w:hint="eastAsia"/>
              </w:rPr>
              <w:t>)</w:t>
            </w:r>
            <w:r w:rsidR="003807A5" w:rsidRPr="00AC77DF">
              <w:t>享有自由選擇專業和職業，提升和工作保障，一切服務的福利和條件，接受職業培訓和進修，包括實習培訓、高等職業培訓和經常性培訓的權利；</w:t>
            </w:r>
          </w:p>
          <w:p w:rsidR="003807A5" w:rsidRPr="00AC77DF" w:rsidRDefault="00B34FB2" w:rsidP="00B34FB2">
            <w:pPr>
              <w:spacing w:line="360" w:lineRule="exact"/>
              <w:ind w:leftChars="85" w:left="492" w:hangingChars="120" w:hanging="288"/>
              <w:jc w:val="both"/>
            </w:pPr>
            <w:r>
              <w:rPr>
                <w:rFonts w:hint="eastAsia"/>
              </w:rPr>
              <w:t>(</w:t>
            </w:r>
            <w:r w:rsidR="003807A5" w:rsidRPr="00AC77DF">
              <w:t>d</w:t>
            </w:r>
            <w:r>
              <w:rPr>
                <w:rFonts w:hint="eastAsia"/>
              </w:rPr>
              <w:t>)</w:t>
            </w:r>
            <w:r w:rsidR="003807A5" w:rsidRPr="00AC77DF">
              <w:t>同等價值的工作享有同等報酬包括福利和享有平等待遇的權利，在評定工作的表現方面，也享有平等待遇的權利；</w:t>
            </w:r>
          </w:p>
          <w:p w:rsidR="003807A5" w:rsidRPr="00AC77DF" w:rsidRDefault="00B34FB2" w:rsidP="00B34FB2">
            <w:pPr>
              <w:spacing w:line="360" w:lineRule="exact"/>
              <w:ind w:leftChars="85" w:left="492" w:hangingChars="120" w:hanging="288"/>
              <w:jc w:val="both"/>
            </w:pPr>
            <w:r>
              <w:rPr>
                <w:rFonts w:hint="eastAsia"/>
              </w:rPr>
              <w:t>(</w:t>
            </w:r>
            <w:r w:rsidR="003807A5" w:rsidRPr="00AC77DF">
              <w:t>e</w:t>
            </w:r>
            <w:r>
              <w:rPr>
                <w:rFonts w:hint="eastAsia"/>
              </w:rPr>
              <w:t>)</w:t>
            </w:r>
            <w:r w:rsidR="003807A5" w:rsidRPr="00AC77DF">
              <w:t>享有社會保障的權利，特別是在退休、失業、疾病、殘廢和老年或在其他喪失工作能力的情況下，以及享有帶薪度假的權利；</w:t>
            </w:r>
          </w:p>
          <w:p w:rsidR="003807A5" w:rsidRPr="00AC77DF" w:rsidRDefault="00B34FB2" w:rsidP="00B34FB2">
            <w:pPr>
              <w:spacing w:line="360" w:lineRule="exact"/>
              <w:ind w:leftChars="85" w:left="492" w:hangingChars="120" w:hanging="288"/>
              <w:jc w:val="both"/>
            </w:pPr>
            <w:r>
              <w:rPr>
                <w:rFonts w:hint="eastAsia"/>
              </w:rPr>
              <w:t>(</w:t>
            </w:r>
            <w:r w:rsidR="003807A5" w:rsidRPr="00AC77DF">
              <w:t>f</w:t>
            </w:r>
            <w:r>
              <w:rPr>
                <w:rFonts w:hint="eastAsia"/>
              </w:rPr>
              <w:t>)</w:t>
            </w:r>
            <w:r w:rsidR="003807A5" w:rsidRPr="00AC77DF">
              <w:t>在工作條件方面享有健康和安全保障，包括保障生育機能的權利。</w:t>
            </w:r>
          </w:p>
          <w:p w:rsidR="003807A5" w:rsidRPr="00AC77DF" w:rsidRDefault="003807A5" w:rsidP="00B34FB2">
            <w:pPr>
              <w:spacing w:line="360" w:lineRule="exact"/>
              <w:ind w:left="192" w:hangingChars="80" w:hanging="192"/>
              <w:jc w:val="both"/>
            </w:pPr>
            <w:r w:rsidRPr="00AC77DF">
              <w:t>2.</w:t>
            </w:r>
            <w:r w:rsidRPr="00AC77DF">
              <w:t>締約各國為使婦女不致因結婚或生育而受歧視，又為保障其有效的工作權利起見，應採取適當措施：</w:t>
            </w:r>
          </w:p>
          <w:p w:rsidR="003807A5" w:rsidRPr="00AC77DF" w:rsidRDefault="00B34FB2" w:rsidP="00B34FB2">
            <w:pPr>
              <w:spacing w:line="360" w:lineRule="exact"/>
              <w:ind w:leftChars="85" w:left="492" w:hangingChars="120" w:hanging="288"/>
              <w:jc w:val="both"/>
            </w:pPr>
            <w:r>
              <w:rPr>
                <w:rFonts w:hint="eastAsia"/>
              </w:rPr>
              <w:t>(</w:t>
            </w:r>
            <w:r w:rsidR="003807A5" w:rsidRPr="00AC77DF">
              <w:t>a</w:t>
            </w:r>
            <w:r>
              <w:rPr>
                <w:rFonts w:hint="eastAsia"/>
              </w:rPr>
              <w:t>)</w:t>
            </w:r>
            <w:r w:rsidR="003807A5" w:rsidRPr="00AC77DF">
              <w:t>禁止以懷孕或產假為理由予以解僱，以及以婚姻狀況為理由予以解僱的歧視，違反規定者予以制裁；</w:t>
            </w:r>
          </w:p>
          <w:p w:rsidR="003807A5" w:rsidRPr="00AC77DF" w:rsidRDefault="00B34FB2" w:rsidP="00B34FB2">
            <w:pPr>
              <w:spacing w:line="360" w:lineRule="exact"/>
              <w:ind w:leftChars="85" w:left="492" w:hangingChars="120" w:hanging="288"/>
              <w:jc w:val="both"/>
            </w:pPr>
            <w:r>
              <w:rPr>
                <w:rFonts w:hint="eastAsia"/>
              </w:rPr>
              <w:t>(</w:t>
            </w:r>
            <w:r w:rsidR="003807A5" w:rsidRPr="00AC77DF">
              <w:t>b</w:t>
            </w:r>
            <w:r>
              <w:rPr>
                <w:rFonts w:hint="eastAsia"/>
              </w:rPr>
              <w:t>)</w:t>
            </w:r>
            <w:r w:rsidR="003807A5" w:rsidRPr="00AC77DF">
              <w:t>實施帶薪產假或具有同等社會福利的產假，而不喪失原有工作、年資或社會津貼；</w:t>
            </w:r>
          </w:p>
          <w:p w:rsidR="003807A5" w:rsidRPr="00AC77DF" w:rsidRDefault="00B34FB2" w:rsidP="00B34FB2">
            <w:pPr>
              <w:spacing w:line="360" w:lineRule="exact"/>
              <w:ind w:leftChars="85" w:left="492" w:hangingChars="120" w:hanging="288"/>
              <w:jc w:val="both"/>
            </w:pPr>
            <w:r>
              <w:rPr>
                <w:rFonts w:hint="eastAsia"/>
              </w:rPr>
              <w:t>(</w:t>
            </w:r>
            <w:r w:rsidR="003807A5" w:rsidRPr="00AC77DF">
              <w:t>c</w:t>
            </w:r>
            <w:r>
              <w:rPr>
                <w:rFonts w:hint="eastAsia"/>
              </w:rPr>
              <w:t>)</w:t>
            </w:r>
            <w:r w:rsidR="003807A5" w:rsidRPr="00AC77DF">
              <w:t>鼓勵提供必要的輔助性社會服務，特別是通過促進建立和發展托兒設施系統，使父母得以兼顧家庭義務和工作責任並參與公共事務；</w:t>
            </w:r>
          </w:p>
          <w:p w:rsidR="003807A5" w:rsidRPr="00AC77DF" w:rsidRDefault="00B34FB2" w:rsidP="00B34FB2">
            <w:pPr>
              <w:spacing w:line="360" w:lineRule="exact"/>
              <w:ind w:leftChars="85" w:left="492" w:hangingChars="120" w:hanging="288"/>
              <w:jc w:val="both"/>
            </w:pPr>
            <w:r>
              <w:rPr>
                <w:rFonts w:hint="eastAsia"/>
              </w:rPr>
              <w:t>(</w:t>
            </w:r>
            <w:r w:rsidR="003807A5" w:rsidRPr="00AC77DF">
              <w:t>d</w:t>
            </w:r>
            <w:r>
              <w:rPr>
                <w:rFonts w:hint="eastAsia"/>
              </w:rPr>
              <w:t>)</w:t>
            </w:r>
            <w:r w:rsidR="003807A5" w:rsidRPr="00AC77DF">
              <w:t>對於懷孕期間從事確實有害於健康的工種的婦女，給予特別保護。</w:t>
            </w:r>
          </w:p>
          <w:p w:rsidR="003807A5" w:rsidRPr="00AC77DF" w:rsidRDefault="003807A5" w:rsidP="00B34FB2">
            <w:pPr>
              <w:spacing w:line="360" w:lineRule="exact"/>
              <w:ind w:left="192" w:hangingChars="80" w:hanging="192"/>
              <w:jc w:val="both"/>
            </w:pPr>
            <w:r w:rsidRPr="00AC77DF">
              <w:t>3.</w:t>
            </w:r>
            <w:r w:rsidRPr="00AC77DF">
              <w:t>應根據科技知識，定期審查與本條所包涵的內容有關的保護性法律，必要時應加以修訂、廢止或推廣。</w:t>
            </w:r>
          </w:p>
        </w:tc>
      </w:tr>
    </w:tbl>
    <w:p w:rsidR="003807A5" w:rsidRPr="00AC77DF" w:rsidRDefault="003C2FF2" w:rsidP="00FA42B3">
      <w:pPr>
        <w:pStyle w:val="afff1"/>
        <w:spacing w:before="360" w:after="360"/>
      </w:pPr>
      <w:bookmarkStart w:id="398" w:name="_Toc529885040"/>
      <w:bookmarkStart w:id="399" w:name="_Toc529885308"/>
      <w:r>
        <w:rPr>
          <w:rFonts w:hint="eastAsia"/>
        </w:rPr>
        <w:lastRenderedPageBreak/>
        <w:t>(一)</w:t>
      </w:r>
      <w:r w:rsidRPr="00AC77DF">
        <w:t>案情簡述</w:t>
      </w:r>
      <w:bookmarkEnd w:id="398"/>
      <w:bookmarkEnd w:id="399"/>
    </w:p>
    <w:p w:rsidR="003807A5" w:rsidRPr="00AC77DF" w:rsidRDefault="003807A5" w:rsidP="00B7222B">
      <w:pPr>
        <w:pStyle w:val="1---"/>
        <w:ind w:firstLine="480"/>
        <w:rPr>
          <w:b/>
        </w:rPr>
      </w:pPr>
      <w:r w:rsidRPr="00AC77DF">
        <w:t>台灣電力股份有限公司（簡稱台電公司）綜合施工處未善盡保障女性員工權益之管理權責，草率處理性騷擾事件。經監察院提出糾正後，該公司未積極釐正；經濟部為監督機關，亦未查明究責等情，爰經監察委員立案調查。</w:t>
      </w:r>
    </w:p>
    <w:p w:rsidR="003807A5" w:rsidRPr="00AC77DF" w:rsidRDefault="003C2FF2" w:rsidP="00FA42B3">
      <w:pPr>
        <w:pStyle w:val="afff1"/>
        <w:spacing w:before="360" w:after="360"/>
      </w:pPr>
      <w:bookmarkStart w:id="400" w:name="_Toc529885041"/>
      <w:bookmarkStart w:id="401" w:name="_Toc529885309"/>
      <w:r>
        <w:rPr>
          <w:rFonts w:hint="eastAsia"/>
        </w:rPr>
        <w:t>(二)</w:t>
      </w:r>
      <w:r w:rsidR="003807A5" w:rsidRPr="00AC77DF">
        <w:t>監察院調查發現與建議</w:t>
      </w:r>
      <w:bookmarkEnd w:id="400"/>
      <w:bookmarkEnd w:id="401"/>
    </w:p>
    <w:p w:rsidR="003807A5" w:rsidRPr="00AC77DF" w:rsidRDefault="00FD29F8" w:rsidP="006B7CBE">
      <w:pPr>
        <w:pStyle w:val="1--13"/>
        <w:spacing w:before="180" w:after="180"/>
      </w:pPr>
      <w:r w:rsidRPr="008E1832">
        <w:rPr>
          <w:rFonts w:hint="eastAsia"/>
        </w:rPr>
        <w:t>˙</w:t>
      </w:r>
      <w:r w:rsidR="003807A5" w:rsidRPr="00AC77DF">
        <w:t>未妥適處理性騷擾事件</w:t>
      </w:r>
    </w:p>
    <w:p w:rsidR="003807A5" w:rsidRPr="00AC77DF" w:rsidRDefault="003807A5" w:rsidP="00B7222B">
      <w:pPr>
        <w:pStyle w:val="1---"/>
        <w:ind w:firstLine="480"/>
        <w:rPr>
          <w:b/>
        </w:rPr>
      </w:pPr>
      <w:r w:rsidRPr="00AC77DF">
        <w:t>台電公司綜合施工處工安組蘇</w:t>
      </w:r>
      <w:r w:rsidRPr="008429DA">
        <w:rPr>
          <w:rFonts w:asciiTheme="majorEastAsia" w:eastAsiaTheme="majorEastAsia" w:hAnsiTheme="majorEastAsia"/>
        </w:rPr>
        <w:t>○○</w:t>
      </w:r>
      <w:r w:rsidRPr="00AC77DF">
        <w:t>於工作場所性騷擾派遣員工</w:t>
      </w:r>
      <w:r w:rsidRPr="00AC77DF">
        <w:t>A</w:t>
      </w:r>
      <w:r w:rsidRPr="00AC77DF">
        <w:t>女，且於行為後不但藉詞否認，猶向政風單位無端檢舉</w:t>
      </w:r>
      <w:r w:rsidRPr="00AC77DF">
        <w:t>A</w:t>
      </w:r>
      <w:r w:rsidRPr="00AC77DF">
        <w:t>女出言恐嚇，導致</w:t>
      </w:r>
      <w:r w:rsidRPr="00AC77DF">
        <w:t>A</w:t>
      </w:r>
      <w:r w:rsidRPr="00AC77DF">
        <w:t>女處於更大敵意的工作環境，人格尊嚴遭受損害，並嚴重影響政府信譽，核有嚴重違失。惟台電公司對於蘇員僅以「行為失檢影響公司形象」給予懲處，並未追究性騷擾行為。足見該公司對於確犯性騷擾之屬員，未能採取適當的懲處及糾正，不僅無法平復被害人所受傷害，更助長職場性騷擾問題持續存在。</w:t>
      </w:r>
    </w:p>
    <w:p w:rsidR="003807A5" w:rsidRPr="00AC77DF" w:rsidRDefault="00FD29F8" w:rsidP="006B7CBE">
      <w:pPr>
        <w:pStyle w:val="1--13"/>
        <w:spacing w:before="180" w:after="180"/>
      </w:pPr>
      <w:r w:rsidRPr="008E1832">
        <w:rPr>
          <w:rFonts w:hint="eastAsia"/>
        </w:rPr>
        <w:t>˙</w:t>
      </w:r>
      <w:r w:rsidR="003807A5" w:rsidRPr="00AC77DF">
        <w:t>忽視被騷擾權益</w:t>
      </w:r>
    </w:p>
    <w:p w:rsidR="003807A5" w:rsidRPr="00AC77DF" w:rsidRDefault="003807A5" w:rsidP="001377AD">
      <w:pPr>
        <w:pStyle w:val="1---"/>
        <w:ind w:firstLine="480"/>
        <w:rPr>
          <w:lang w:eastAsia="zh-TW"/>
        </w:rPr>
      </w:pPr>
      <w:r w:rsidRPr="00AC77DF">
        <w:t>台電公司相關主管對</w:t>
      </w:r>
      <w:r w:rsidRPr="001377AD">
        <w:rPr>
          <w:spacing w:val="-10"/>
        </w:rPr>
        <w:t>於</w:t>
      </w:r>
      <w:r w:rsidRPr="001377AD">
        <w:rPr>
          <w:spacing w:val="-10"/>
        </w:rPr>
        <w:t>A</w:t>
      </w:r>
      <w:r w:rsidRPr="00AC77DF">
        <w:t>女執行職務時遭受該公司男性職員性騷擾的申訴，逕自以先行介入、私下訪查的方式以為因應，意圖私了。之後又以不當調查程序造</w:t>
      </w:r>
      <w:r w:rsidRPr="001377AD">
        <w:rPr>
          <w:spacing w:val="-10"/>
        </w:rPr>
        <w:t>成</w:t>
      </w:r>
      <w:r w:rsidRPr="001377AD">
        <w:rPr>
          <w:spacing w:val="-10"/>
        </w:rPr>
        <w:t>A</w:t>
      </w:r>
      <w:r w:rsidRPr="00AC77DF">
        <w:t>女身心遭受極大傷害，已嚴重影響工作表現；竟再施壓</w:t>
      </w:r>
      <w:r w:rsidRPr="00AC77DF">
        <w:t>A</w:t>
      </w:r>
      <w:r w:rsidRPr="00AC77DF">
        <w:t>女調離，最終導致</w:t>
      </w:r>
      <w:r w:rsidRPr="00AC77DF">
        <w:t>A</w:t>
      </w:r>
      <w:r w:rsidRPr="00AC77DF">
        <w:t>女</w:t>
      </w:r>
      <w:r w:rsidRPr="00AC77DF">
        <w:lastRenderedPageBreak/>
        <w:t>喪失工作權並罹患憂鬱症。台電公司為大型國營事業機構，相關主管人員卻毫無性騷擾防治的觀念及知能，漠視女性派遣員工的人格尊嚴與工作權，益見台電公司未能對所屬單位及人員落實性騷擾防治的宣導及教育訓練。</w:t>
      </w:r>
    </w:p>
    <w:p w:rsidR="003807A5" w:rsidRPr="00AC77DF" w:rsidRDefault="00FD29F8" w:rsidP="006B7CBE">
      <w:pPr>
        <w:pStyle w:val="1--13"/>
        <w:spacing w:before="180" w:after="180"/>
      </w:pPr>
      <w:r w:rsidRPr="008E1832">
        <w:rPr>
          <w:rFonts w:hint="eastAsia"/>
        </w:rPr>
        <w:t>˙</w:t>
      </w:r>
      <w:r w:rsidR="003807A5" w:rsidRPr="00AC77DF">
        <w:t>維護派遣勞工權益</w:t>
      </w:r>
    </w:p>
    <w:p w:rsidR="003807A5" w:rsidRPr="00AC77DF" w:rsidRDefault="003807A5" w:rsidP="00B7222B">
      <w:pPr>
        <w:pStyle w:val="1---"/>
        <w:ind w:firstLine="480"/>
        <w:rPr>
          <w:b/>
        </w:rPr>
      </w:pPr>
      <w:r w:rsidRPr="00AC77DF">
        <w:t>本案當時由於性別工作平等法的規範漏洞，要派公司不具有雇主的地位，以致勞動部訴願決定撤銷臺北市政府對台電公司的處分，之後雖促成</w:t>
      </w:r>
      <w:r w:rsidRPr="00AC77DF">
        <w:t>103</w:t>
      </w:r>
      <w:r w:rsidRPr="00AC77DF">
        <w:t>年</w:t>
      </w:r>
      <w:r w:rsidRPr="00AC77DF">
        <w:t>6</w:t>
      </w:r>
      <w:r w:rsidRPr="00AC77DF">
        <w:t>月</w:t>
      </w:r>
      <w:r w:rsidRPr="00AC77DF">
        <w:t>18</w:t>
      </w:r>
      <w:r w:rsidRPr="00AC77DF">
        <w:t>日該法第</w:t>
      </w:r>
      <w:r w:rsidRPr="00AC77DF">
        <w:t>3</w:t>
      </w:r>
      <w:r w:rsidRPr="00AC77DF">
        <w:t>條的</w:t>
      </w:r>
      <w:r w:rsidRPr="00AC77DF">
        <w:rPr>
          <w:rStyle w:val="1---0"/>
        </w:rPr>
        <w:t>修</w:t>
      </w:r>
      <w:r w:rsidRPr="00AC77DF">
        <w:t>正，使要派單位與派遣單位同負雇主防治性騷擾的責任，卻無法彌補</w:t>
      </w:r>
      <w:r w:rsidRPr="001377AD">
        <w:rPr>
          <w:spacing w:val="-10"/>
        </w:rPr>
        <w:t>A</w:t>
      </w:r>
      <w:r w:rsidRPr="00AC77DF">
        <w:t>女所遭受的不公平對待與傷害，</w:t>
      </w:r>
      <w:r w:rsidR="004D0068">
        <w:t>顯示</w:t>
      </w:r>
      <w:r w:rsidRPr="00AC77DF">
        <w:t>法制的不完備對於派遣員工權益所造成的損害甚為嚴重，以致台電公司得以「非雇主」身分卸責。修法後，台電公司當以本案為鑑，積極有效落實宣導及教育訓練，勞動部更應加強性別工作平等制度與法規的研修與監督工作，以保障派遣勞工權益，防止類此案件再度發生。</w:t>
      </w:r>
    </w:p>
    <w:p w:rsidR="003807A5" w:rsidRPr="00AC77DF" w:rsidRDefault="003807A5" w:rsidP="00B7222B">
      <w:pPr>
        <w:pStyle w:val="1---"/>
        <w:ind w:firstLine="480"/>
        <w:rPr>
          <w:b/>
        </w:rPr>
      </w:pPr>
      <w:r w:rsidRPr="00AC77DF">
        <w:t>依據本案調查意見</w:t>
      </w:r>
      <w:r w:rsidRPr="00AC77DF">
        <w:rPr>
          <w:rStyle w:val="aff2"/>
        </w:rPr>
        <w:footnoteReference w:id="102"/>
      </w:r>
      <w:r w:rsidRPr="00AC77DF">
        <w:t>，監察院糾正台電公司，並函請該公司議處相關失職人員；另函請經濟部督促台電公司確實檢討改進見復。</w:t>
      </w:r>
    </w:p>
    <w:p w:rsidR="003807A5" w:rsidRPr="00AC77DF" w:rsidRDefault="003C2FF2" w:rsidP="00FA42B3">
      <w:pPr>
        <w:pStyle w:val="afff1"/>
        <w:spacing w:before="360" w:after="360"/>
      </w:pPr>
      <w:bookmarkStart w:id="402" w:name="_Toc529885042"/>
      <w:bookmarkStart w:id="403" w:name="_Toc529885310"/>
      <w:r>
        <w:rPr>
          <w:rFonts w:hint="eastAsia"/>
        </w:rPr>
        <w:t>(三)</w:t>
      </w:r>
      <w:r w:rsidR="003807A5" w:rsidRPr="00AC77DF">
        <w:t>政府機關改善情形</w:t>
      </w:r>
      <w:bookmarkEnd w:id="402"/>
      <w:bookmarkEnd w:id="403"/>
    </w:p>
    <w:p w:rsidR="003807A5" w:rsidRPr="00AC77DF" w:rsidRDefault="003807A5" w:rsidP="00425EE5">
      <w:pPr>
        <w:pStyle w:val="1----"/>
        <w:ind w:left="600" w:hanging="360"/>
        <w:rPr>
          <w:b/>
        </w:rPr>
      </w:pPr>
      <w:r w:rsidRPr="00AC77DF">
        <w:t>1</w:t>
      </w:r>
      <w:r w:rsidRPr="00AC77DF">
        <w:t>、本案台電公司已認定蘇員確犯性騷擾行為，對蘇員由記小</w:t>
      </w:r>
      <w:r w:rsidRPr="00AC77DF">
        <w:lastRenderedPageBreak/>
        <w:t>過</w:t>
      </w:r>
      <w:r w:rsidRPr="00AC77DF">
        <w:t>1</w:t>
      </w:r>
      <w:r w:rsidRPr="00AC77DF">
        <w:t>次改核予記大過</w:t>
      </w:r>
      <w:r w:rsidRPr="00AC77DF">
        <w:t>1</w:t>
      </w:r>
      <w:r w:rsidRPr="00AC77DF">
        <w:t>次懲處，並對時任施工處處長、副處長、經理等人員，分別核予申誡</w:t>
      </w:r>
      <w:r w:rsidRPr="00AC77DF">
        <w:t>2</w:t>
      </w:r>
      <w:r w:rsidRPr="00AC77DF">
        <w:t>次、申誡</w:t>
      </w:r>
      <w:r w:rsidRPr="00AC77DF">
        <w:t>1</w:t>
      </w:r>
      <w:r w:rsidRPr="00AC77DF">
        <w:t>次及口頭警告等懲處。</w:t>
      </w:r>
    </w:p>
    <w:p w:rsidR="003807A5" w:rsidRPr="00AC77DF" w:rsidRDefault="003807A5" w:rsidP="00425EE5">
      <w:pPr>
        <w:pStyle w:val="1----"/>
        <w:ind w:left="600" w:hanging="360"/>
        <w:rPr>
          <w:b/>
        </w:rPr>
      </w:pPr>
      <w:r w:rsidRPr="00AC77DF">
        <w:t>2</w:t>
      </w:r>
      <w:r w:rsidRPr="00AC77DF">
        <w:t>、台電公司也提出多項檢討作為及改善措施，建立性騷擾防治機制，從事前預防、事中處理至事後處置，提出一套標準作業程序；另該公司</w:t>
      </w:r>
      <w:r w:rsidR="00BA4528">
        <w:rPr>
          <w:rFonts w:hint="eastAsia"/>
        </w:rPr>
        <w:t>已將</w:t>
      </w:r>
      <w:r w:rsidRPr="00AC77DF">
        <w:t>所屬單位</w:t>
      </w:r>
      <w:r w:rsidR="00BA4528">
        <w:rPr>
          <w:rFonts w:hint="eastAsia"/>
        </w:rPr>
        <w:t>對</w:t>
      </w:r>
      <w:r w:rsidRPr="00AC77DF">
        <w:t>性騷擾防治措施宣導及執行情形，納入年度人力資源業務績效考核綜合考評項目，以督促</w:t>
      </w:r>
      <w:r w:rsidR="00BA4528" w:rsidRPr="00AC77DF">
        <w:t>所屬單位</w:t>
      </w:r>
      <w:r w:rsidRPr="00AC77DF">
        <w:t>確實執行性騷擾防治作為。</w:t>
      </w:r>
    </w:p>
    <w:p w:rsidR="003807A5" w:rsidRPr="00AC77DF" w:rsidRDefault="003C2FF2" w:rsidP="00FA42B3">
      <w:pPr>
        <w:pStyle w:val="afff1"/>
        <w:spacing w:before="360" w:after="360"/>
      </w:pPr>
      <w:bookmarkStart w:id="404" w:name="_Toc529885043"/>
      <w:bookmarkStart w:id="405" w:name="_Toc529885311"/>
      <w:r>
        <w:rPr>
          <w:rFonts w:hint="eastAsia"/>
        </w:rPr>
        <w:t>(四)</w:t>
      </w:r>
      <w:r w:rsidR="003807A5" w:rsidRPr="00AC77DF">
        <w:t>案件進展</w:t>
      </w:r>
      <w:bookmarkEnd w:id="404"/>
      <w:bookmarkEnd w:id="405"/>
    </w:p>
    <w:p w:rsidR="003807A5" w:rsidRDefault="003807A5" w:rsidP="00B7222B">
      <w:pPr>
        <w:pStyle w:val="1---"/>
        <w:ind w:firstLine="480"/>
        <w:rPr>
          <w:lang w:eastAsia="zh-TW"/>
        </w:rPr>
      </w:pPr>
      <w:r w:rsidRPr="00AC77DF">
        <w:t>本案在監察院監督下，已產生具體成果，台電公司並議處相關失職人員，後續由經濟部督促台電公司落實改善措施並</w:t>
      </w:r>
      <w:r w:rsidR="007212AC">
        <w:rPr>
          <w:rFonts w:hint="eastAsia"/>
        </w:rPr>
        <w:t>進</w:t>
      </w:r>
      <w:r w:rsidRPr="00AC77DF">
        <w:t>行追蹤列管。</w:t>
      </w:r>
    </w:p>
    <w:p w:rsidR="003C2FF2" w:rsidRDefault="003C2FF2" w:rsidP="00B7222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4276"/>
      </w:tblGrid>
      <w:tr w:rsidR="003C2FF2" w:rsidTr="001377AD">
        <w:tc>
          <w:tcPr>
            <w:tcW w:w="4276" w:type="dxa"/>
            <w:shd w:val="clear" w:color="auto" w:fill="D9D9D9" w:themeFill="background1" w:themeFillShade="D9"/>
          </w:tcPr>
          <w:p w:rsidR="003C2FF2" w:rsidRDefault="003C2FF2" w:rsidP="003C2FF2">
            <w:pPr>
              <w:pStyle w:val="11-"/>
              <w:spacing w:before="72" w:after="108"/>
              <w:rPr>
                <w:lang w:eastAsia="zh-TW"/>
              </w:rPr>
            </w:pPr>
            <w:bookmarkStart w:id="406" w:name="_Toc529885312"/>
            <w:bookmarkStart w:id="407" w:name="_Toc535228385"/>
            <w:bookmarkStart w:id="408" w:name="_Toc4058796"/>
            <w:r w:rsidRPr="00AC77DF">
              <w:t>健全性騷擾防治申訴調查機制</w:t>
            </w:r>
            <w:bookmarkEnd w:id="406"/>
            <w:bookmarkEnd w:id="407"/>
            <w:bookmarkEnd w:id="408"/>
          </w:p>
        </w:tc>
      </w:tr>
      <w:bookmarkEnd w:id="397"/>
    </w:tbl>
    <w:p w:rsidR="003807A5" w:rsidRPr="00AC77DF" w:rsidRDefault="003807A5" w:rsidP="003C2FF2">
      <w:pPr>
        <w:pStyle w:val="1---"/>
        <w:ind w:firstLine="48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4"/>
      </w:tblGrid>
      <w:tr w:rsidR="003807A5" w:rsidRPr="00AC77DF" w:rsidTr="002752F7">
        <w:trPr>
          <w:trHeight w:val="2272"/>
        </w:trPr>
        <w:tc>
          <w:tcPr>
            <w:tcW w:w="6544" w:type="dxa"/>
            <w:shd w:val="clear" w:color="auto" w:fill="auto"/>
          </w:tcPr>
          <w:p w:rsidR="003807A5" w:rsidRPr="00AC77DF" w:rsidRDefault="003807A5" w:rsidP="003C2FF2">
            <w:pPr>
              <w:spacing w:line="360" w:lineRule="exact"/>
              <w:jc w:val="both"/>
              <w:rPr>
                <w:color w:val="000000"/>
                <w:szCs w:val="28"/>
                <w:lang w:val="x-none"/>
              </w:rPr>
            </w:pPr>
            <w:r w:rsidRPr="00AC77DF">
              <w:rPr>
                <w:b/>
                <w:color w:val="000000"/>
                <w:szCs w:val="28"/>
                <w:lang w:val="x-none"/>
              </w:rPr>
              <w:t>相關國際人權公約：</w:t>
            </w:r>
            <w:r w:rsidRPr="00AC77DF">
              <w:t>消除對婦女一切形式歧視公約</w:t>
            </w:r>
            <w:r w:rsidRPr="00AC77DF">
              <w:rPr>
                <w:lang w:eastAsia="zh-HK"/>
              </w:rPr>
              <w:t>第</w:t>
            </w:r>
            <w:r w:rsidRPr="00AC77DF">
              <w:rPr>
                <w:lang w:eastAsia="zh-HK"/>
              </w:rPr>
              <w:t>3</w:t>
            </w:r>
            <w:r w:rsidRPr="00AC77DF">
              <w:rPr>
                <w:lang w:eastAsia="zh-HK"/>
              </w:rPr>
              <w:t>條</w:t>
            </w:r>
          </w:p>
          <w:p w:rsidR="003807A5" w:rsidRPr="00AC77DF" w:rsidRDefault="003807A5" w:rsidP="003C2FF2">
            <w:pPr>
              <w:spacing w:line="360" w:lineRule="exact"/>
              <w:jc w:val="both"/>
              <w:rPr>
                <w:b/>
              </w:rPr>
            </w:pPr>
            <w:r w:rsidRPr="00AC77DF">
              <w:rPr>
                <w:b/>
              </w:rPr>
              <w:t>消除對婦女一切形式歧視公約第</w:t>
            </w:r>
            <w:r w:rsidRPr="00AC77DF">
              <w:rPr>
                <w:b/>
              </w:rPr>
              <w:t>3</w:t>
            </w:r>
            <w:r w:rsidRPr="00AC77DF">
              <w:rPr>
                <w:b/>
              </w:rPr>
              <w:t>條</w:t>
            </w:r>
          </w:p>
          <w:p w:rsidR="003807A5" w:rsidRPr="00AC77DF" w:rsidRDefault="003807A5" w:rsidP="003C2FF2">
            <w:pPr>
              <w:spacing w:line="360" w:lineRule="exact"/>
              <w:jc w:val="both"/>
            </w:pPr>
            <w:r w:rsidRPr="00AC77DF">
              <w:rPr>
                <w:color w:val="000000"/>
                <w:szCs w:val="28"/>
                <w:lang w:val="x-none"/>
              </w:rPr>
              <w:t>締約各國應承擔在所有領域，特別是在政治、社會、經濟、文化領域，採取一切適當措施，包括制定法律，保證婦女得到充分發展和進步，以確保婦女在與男子平等的基礎上，行使和享有人權和基本自由。</w:t>
            </w:r>
          </w:p>
        </w:tc>
      </w:tr>
    </w:tbl>
    <w:p w:rsidR="003807A5" w:rsidRPr="00AC77DF" w:rsidRDefault="003C2FF2" w:rsidP="00FA42B3">
      <w:pPr>
        <w:pStyle w:val="afff1"/>
        <w:spacing w:before="360" w:after="360"/>
      </w:pPr>
      <w:bookmarkStart w:id="409" w:name="_Toc529885015"/>
      <w:bookmarkStart w:id="410" w:name="_Toc529885313"/>
      <w:r>
        <w:rPr>
          <w:rFonts w:hint="eastAsia"/>
        </w:rPr>
        <w:lastRenderedPageBreak/>
        <w:t>(一)</w:t>
      </w:r>
      <w:r w:rsidR="003807A5" w:rsidRPr="00AC77DF">
        <w:t>案情簡述</w:t>
      </w:r>
      <w:bookmarkEnd w:id="409"/>
      <w:bookmarkEnd w:id="410"/>
    </w:p>
    <w:p w:rsidR="003807A5" w:rsidRPr="00AC77DF" w:rsidRDefault="003807A5" w:rsidP="00B7222B">
      <w:pPr>
        <w:pStyle w:val="1---"/>
        <w:ind w:firstLine="480"/>
      </w:pPr>
      <w:r w:rsidRPr="00AC77DF">
        <w:t>臺東某矯正機關處理一級主管涉嫌性騷擾多位女性下屬職員，未依性騷擾防治法等規定進行調查處理，未讓被害人獲得應得合法之保護救濟及適當關懷，亦未落實性騷擾之防治工作，爰經監察委員立案調查。</w:t>
      </w:r>
    </w:p>
    <w:p w:rsidR="003807A5" w:rsidRPr="00AC77DF" w:rsidRDefault="003C2FF2" w:rsidP="00FA42B3">
      <w:pPr>
        <w:pStyle w:val="afff1"/>
        <w:spacing w:before="360" w:after="360"/>
      </w:pPr>
      <w:bookmarkStart w:id="411" w:name="_Toc529885016"/>
      <w:bookmarkStart w:id="412" w:name="_Toc529885314"/>
      <w:r>
        <w:rPr>
          <w:rFonts w:hint="eastAsia"/>
        </w:rPr>
        <w:t>(二)</w:t>
      </w:r>
      <w:r w:rsidR="003807A5" w:rsidRPr="00AC77DF">
        <w:t>監察院調查發現</w:t>
      </w:r>
      <w:bookmarkEnd w:id="411"/>
      <w:bookmarkEnd w:id="412"/>
    </w:p>
    <w:p w:rsidR="003807A5" w:rsidRPr="00AC77DF" w:rsidRDefault="00FD29F8" w:rsidP="006B7CBE">
      <w:pPr>
        <w:pStyle w:val="1--13"/>
        <w:spacing w:before="180" w:after="180"/>
      </w:pPr>
      <w:r w:rsidRPr="008E1832">
        <w:rPr>
          <w:rFonts w:hint="eastAsia"/>
        </w:rPr>
        <w:t>˙</w:t>
      </w:r>
      <w:r w:rsidR="003807A5" w:rsidRPr="00AC77DF">
        <w:t>檢討申訴調查機制</w:t>
      </w:r>
    </w:p>
    <w:p w:rsidR="003807A5" w:rsidRPr="00AC77DF" w:rsidRDefault="003807A5" w:rsidP="00B7222B">
      <w:pPr>
        <w:pStyle w:val="1---"/>
        <w:ind w:firstLine="480"/>
      </w:pPr>
      <w:r w:rsidRPr="00AC77DF">
        <w:t>法務部宜參酌性別工作平等法等規定意旨，審慎研議檢討該部與所屬各機關性騷擾防治申訴調查及懲處處理要點有關性騷擾申訴規定，以符法制，並保障當事人權益。</w:t>
      </w:r>
    </w:p>
    <w:p w:rsidR="003807A5" w:rsidRPr="00AC77DF" w:rsidRDefault="003807A5" w:rsidP="00B7222B">
      <w:pPr>
        <w:pStyle w:val="1---"/>
        <w:ind w:firstLine="480"/>
      </w:pPr>
      <w:r w:rsidRPr="00AC77DF">
        <w:t>另法務部宜參酌我國訴訟法上有關審級救濟及相關迴避制度規範意旨，審慎研議檢討</w:t>
      </w:r>
      <w:r w:rsidRPr="00AC77DF">
        <w:rPr>
          <w:szCs w:val="32"/>
        </w:rPr>
        <w:t>該部與所屬各機關性騷擾防治申訴調查及懲處處理要點，</w:t>
      </w:r>
      <w:r w:rsidRPr="00AC77DF">
        <w:t>增修迴避</w:t>
      </w:r>
      <w:r w:rsidR="0081357B">
        <w:rPr>
          <w:rFonts w:hint="eastAsia"/>
        </w:rPr>
        <w:t>等</w:t>
      </w:r>
      <w:r w:rsidR="0081357B" w:rsidRPr="00AC77DF">
        <w:t>相關</w:t>
      </w:r>
      <w:r w:rsidRPr="00AC77DF">
        <w:t>規定。</w:t>
      </w:r>
    </w:p>
    <w:p w:rsidR="003807A5" w:rsidRPr="00AC77DF" w:rsidRDefault="00FD29F8" w:rsidP="006B7CBE">
      <w:pPr>
        <w:pStyle w:val="1--13"/>
        <w:spacing w:before="180" w:after="180"/>
      </w:pPr>
      <w:r w:rsidRPr="008E1832">
        <w:rPr>
          <w:rFonts w:hint="eastAsia"/>
        </w:rPr>
        <w:t>˙</w:t>
      </w:r>
      <w:r w:rsidR="003807A5" w:rsidRPr="00AC77DF">
        <w:t>落實性騷擾防治宣導</w:t>
      </w:r>
    </w:p>
    <w:p w:rsidR="003807A5" w:rsidRPr="00AC77DF" w:rsidRDefault="003807A5" w:rsidP="00B7222B">
      <w:pPr>
        <w:pStyle w:val="1---"/>
        <w:ind w:firstLine="480"/>
      </w:pPr>
      <w:r w:rsidRPr="00AC77DF">
        <w:t>矯正機關相關主管人員對於「性別工作平等法</w:t>
      </w:r>
      <w:r w:rsidRPr="00DC1B3F">
        <w:rPr>
          <w:spacing w:val="-26"/>
        </w:rPr>
        <w:t>」、</w:t>
      </w:r>
      <w:r w:rsidRPr="00AC77DF">
        <w:t>「工作場所性騷擾防治措施申訴及懲戒辦法訂定準則</w:t>
      </w:r>
      <w:r w:rsidRPr="00DC1B3F">
        <w:rPr>
          <w:spacing w:val="-26"/>
        </w:rPr>
        <w:t>」、</w:t>
      </w:r>
      <w:r w:rsidRPr="00AC77DF">
        <w:t>「法務部與所屬各機關性騷擾防治申訴調查及懲處處理要點」等相關法令規定缺乏認知與熟悉度，顯見性騷擾防治相關教育宣導並未落實。</w:t>
      </w:r>
    </w:p>
    <w:p w:rsidR="003807A5" w:rsidRPr="00AC77DF" w:rsidRDefault="003807A5" w:rsidP="00B7222B">
      <w:pPr>
        <w:pStyle w:val="1---"/>
        <w:ind w:firstLine="480"/>
      </w:pPr>
      <w:r w:rsidRPr="00AC77DF">
        <w:t>矯正機關為調查性騷擾申訴案件，依據</w:t>
      </w:r>
      <w:r w:rsidRPr="00AC77DF">
        <w:rPr>
          <w:szCs w:val="32"/>
        </w:rPr>
        <w:t>該部與所屬各機關性騷擾防治申訴調查及懲處處理要點</w:t>
      </w:r>
      <w:r w:rsidRPr="00AC77DF">
        <w:t>第</w:t>
      </w:r>
      <w:r w:rsidRPr="00AC77DF">
        <w:t>8</w:t>
      </w:r>
      <w:r w:rsidRPr="00AC77DF">
        <w:t>點規定成立專案小組</w:t>
      </w:r>
      <w:r w:rsidRPr="00AC77DF">
        <w:lastRenderedPageBreak/>
        <w:t>。然成員</w:t>
      </w:r>
      <w:r w:rsidRPr="00AC77DF">
        <w:t>4</w:t>
      </w:r>
      <w:r w:rsidRPr="00AC77DF">
        <w:t>名中僅有</w:t>
      </w:r>
      <w:r w:rsidRPr="00AC77DF">
        <w:t>1</w:t>
      </w:r>
      <w:r w:rsidRPr="00AC77DF">
        <w:t>名女性委員，易遭質疑相關委員會及專案小組調查審議性騷擾申訴案件之客觀性及公正性。法務部宜審慎研議相關委員會及專案小組委員之組成及性別比例等問題，以昭公信。</w:t>
      </w:r>
    </w:p>
    <w:p w:rsidR="003807A5" w:rsidRPr="00AC77DF" w:rsidRDefault="00FD29F8" w:rsidP="006B7CBE">
      <w:pPr>
        <w:pStyle w:val="1--13"/>
        <w:spacing w:before="180" w:after="180"/>
      </w:pPr>
      <w:r w:rsidRPr="008E1832">
        <w:rPr>
          <w:rFonts w:hint="eastAsia"/>
        </w:rPr>
        <w:t>˙</w:t>
      </w:r>
      <w:r w:rsidR="003807A5" w:rsidRPr="00AC77DF">
        <w:t>隱私權保護</w:t>
      </w:r>
    </w:p>
    <w:p w:rsidR="003807A5" w:rsidRPr="00AC77DF" w:rsidRDefault="003807A5" w:rsidP="00B7222B">
      <w:pPr>
        <w:pStyle w:val="1---"/>
        <w:ind w:firstLine="480"/>
      </w:pPr>
      <w:r w:rsidRPr="00AC77DF">
        <w:t>為防範性騷擾案件再度發生，矯正機關依據性別工作平等法第</w:t>
      </w:r>
      <w:r w:rsidRPr="00AC77DF">
        <w:t>13</w:t>
      </w:r>
      <w:r w:rsidRPr="00AC77DF">
        <w:t>條第</w:t>
      </w:r>
      <w:r w:rsidRPr="00AC77DF">
        <w:t>2</w:t>
      </w:r>
      <w:r w:rsidRPr="00AC77DF">
        <w:t>項規定採取各項糾正及補救措施。惟該所於辦公室內或辦公室門口裝置監視器，恐已侵害該所職員工受憲法保障於辦公場所免於隨時受他人持續注視、監看、監聽或公開揭露之隱私權。</w:t>
      </w:r>
    </w:p>
    <w:p w:rsidR="003807A5" w:rsidRPr="00AC77DF" w:rsidRDefault="003807A5" w:rsidP="00B7222B">
      <w:pPr>
        <w:pStyle w:val="1---"/>
        <w:ind w:firstLine="480"/>
      </w:pPr>
      <w:r w:rsidRPr="00AC77DF">
        <w:t>依據本案調查意見</w:t>
      </w:r>
      <w:r w:rsidRPr="00AC77DF">
        <w:rPr>
          <w:rStyle w:val="aff2"/>
        </w:rPr>
        <w:footnoteReference w:id="103"/>
      </w:r>
      <w:r w:rsidRPr="00AC77DF">
        <w:t>，監察院函請法務部研處。</w:t>
      </w:r>
    </w:p>
    <w:p w:rsidR="003807A5" w:rsidRPr="00AC77DF" w:rsidRDefault="003C2FF2" w:rsidP="00FA42B3">
      <w:pPr>
        <w:pStyle w:val="afff1"/>
        <w:spacing w:before="360" w:after="360"/>
      </w:pPr>
      <w:bookmarkStart w:id="413" w:name="_Toc529885017"/>
      <w:bookmarkStart w:id="414" w:name="_Toc529885315"/>
      <w:r>
        <w:rPr>
          <w:rFonts w:hint="eastAsia"/>
        </w:rPr>
        <w:t>(三)</w:t>
      </w:r>
      <w:r w:rsidR="003807A5" w:rsidRPr="00AC77DF">
        <w:t>政府機關改善情形</w:t>
      </w:r>
      <w:bookmarkEnd w:id="413"/>
      <w:bookmarkEnd w:id="414"/>
    </w:p>
    <w:p w:rsidR="003807A5" w:rsidRPr="00AC77DF" w:rsidRDefault="003807A5" w:rsidP="00425EE5">
      <w:pPr>
        <w:pStyle w:val="1----"/>
        <w:ind w:left="600" w:hanging="360"/>
      </w:pPr>
      <w:r w:rsidRPr="00AC77DF">
        <w:t>1</w:t>
      </w:r>
      <w:r w:rsidRPr="00AC77DF">
        <w:t>、法務部已修正「法務部與所屬各機關性騷擾防治申訴調查及懲處處理要點」，修正重點包括對性騷擾案件行為人糾正及補救之具體措施、迴避制度、相關委員會及專案小組委員之組成及性別比例，並自</w:t>
      </w:r>
      <w:r w:rsidRPr="00AC77DF">
        <w:t>106</w:t>
      </w:r>
      <w:r w:rsidRPr="00AC77DF">
        <w:t>年</w:t>
      </w:r>
      <w:r w:rsidRPr="00AC77DF">
        <w:t>12</w:t>
      </w:r>
      <w:r w:rsidRPr="00AC77DF">
        <w:t>月</w:t>
      </w:r>
      <w:r w:rsidRPr="00AC77DF">
        <w:t>15</w:t>
      </w:r>
      <w:r w:rsidRPr="00AC77DF">
        <w:t>日生效。</w:t>
      </w:r>
    </w:p>
    <w:p w:rsidR="003807A5" w:rsidRPr="00AC77DF" w:rsidRDefault="003807A5" w:rsidP="00425EE5">
      <w:pPr>
        <w:pStyle w:val="1----"/>
        <w:ind w:left="600" w:hanging="360"/>
      </w:pPr>
      <w:r w:rsidRPr="00AC77DF">
        <w:t>2</w:t>
      </w:r>
      <w:r w:rsidRPr="00AC77DF">
        <w:t>、法務部及所屬機關近期已辦理之性騷擾防治等相關訓練課程，深化同仁性別平等觀念及熟稔性騷擾防治相關法令規定。</w:t>
      </w:r>
    </w:p>
    <w:p w:rsidR="003807A5" w:rsidRPr="00AC77DF" w:rsidRDefault="003C2FF2" w:rsidP="00FA42B3">
      <w:pPr>
        <w:pStyle w:val="afff1"/>
        <w:spacing w:before="360" w:after="360"/>
      </w:pPr>
      <w:bookmarkStart w:id="415" w:name="_Toc529885018"/>
      <w:bookmarkStart w:id="416" w:name="_Toc529885316"/>
      <w:r>
        <w:rPr>
          <w:rFonts w:hint="eastAsia"/>
        </w:rPr>
        <w:lastRenderedPageBreak/>
        <w:t>(四)</w:t>
      </w:r>
      <w:r w:rsidR="003807A5" w:rsidRPr="00AC77DF">
        <w:t>案件進展</w:t>
      </w:r>
      <w:bookmarkEnd w:id="415"/>
      <w:bookmarkEnd w:id="416"/>
    </w:p>
    <w:p w:rsidR="003807A5" w:rsidRDefault="00B43FDD" w:rsidP="00B7222B">
      <w:pPr>
        <w:pStyle w:val="1---"/>
        <w:ind w:firstLine="480"/>
        <w:rPr>
          <w:lang w:eastAsia="zh-TW"/>
        </w:rPr>
      </w:pPr>
      <w:r>
        <w:rPr>
          <w:rFonts w:hint="eastAsia"/>
        </w:rPr>
        <w:t>本案已結案</w:t>
      </w:r>
      <w:r w:rsidR="003807A5" w:rsidRPr="00AC77DF">
        <w:t>。</w:t>
      </w:r>
    </w:p>
    <w:p w:rsidR="003C2FF2" w:rsidRDefault="003C2FF2" w:rsidP="00B7222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3114"/>
      </w:tblGrid>
      <w:tr w:rsidR="003C2FF2" w:rsidTr="00174F92">
        <w:tc>
          <w:tcPr>
            <w:tcW w:w="3114" w:type="dxa"/>
            <w:shd w:val="clear" w:color="auto" w:fill="D9D9D9" w:themeFill="background1" w:themeFillShade="D9"/>
          </w:tcPr>
          <w:p w:rsidR="003C2FF2" w:rsidRDefault="003C2FF2" w:rsidP="003C2FF2">
            <w:pPr>
              <w:pStyle w:val="11-"/>
              <w:spacing w:before="72" w:after="108"/>
              <w:rPr>
                <w:lang w:eastAsia="zh-TW"/>
              </w:rPr>
            </w:pPr>
            <w:bookmarkStart w:id="417" w:name="_Toc529885317"/>
            <w:bookmarkStart w:id="418" w:name="_Toc535228386"/>
            <w:bookmarkStart w:id="419" w:name="_Toc4058797"/>
            <w:r w:rsidRPr="00AC77DF">
              <w:t>職業災害防治檢討</w:t>
            </w:r>
            <w:r w:rsidRPr="00AC77DF">
              <w:rPr>
                <w:lang w:eastAsia="zh-HK"/>
              </w:rPr>
              <w:t>案</w:t>
            </w:r>
            <w:bookmarkEnd w:id="417"/>
            <w:bookmarkEnd w:id="418"/>
            <w:bookmarkEnd w:id="419"/>
          </w:p>
        </w:tc>
      </w:tr>
    </w:tbl>
    <w:p w:rsidR="003807A5" w:rsidRPr="00AC77DF" w:rsidRDefault="003807A5" w:rsidP="003C2FF2">
      <w:pPr>
        <w:pStyle w:val="1---"/>
        <w:ind w:firstLine="480"/>
      </w:pPr>
    </w:p>
    <w:tbl>
      <w:tblPr>
        <w:tblW w:w="475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tblGrid>
      <w:tr w:rsidR="003807A5" w:rsidRPr="00AC77DF" w:rsidTr="002752F7">
        <w:trPr>
          <w:trHeight w:val="1518"/>
        </w:trPr>
        <w:tc>
          <w:tcPr>
            <w:tcW w:w="5000" w:type="pct"/>
            <w:shd w:val="clear" w:color="auto" w:fill="auto"/>
          </w:tcPr>
          <w:p w:rsidR="003807A5" w:rsidRPr="00AC77DF" w:rsidRDefault="003807A5" w:rsidP="003C2FF2">
            <w:pPr>
              <w:spacing w:line="360" w:lineRule="exact"/>
              <w:jc w:val="both"/>
              <w:rPr>
                <w:color w:val="000000"/>
                <w:szCs w:val="28"/>
                <w:lang w:val="x-none"/>
              </w:rPr>
            </w:pPr>
            <w:r w:rsidRPr="00AC77DF">
              <w:rPr>
                <w:b/>
                <w:color w:val="000000"/>
                <w:szCs w:val="28"/>
                <w:lang w:val="x-none"/>
              </w:rPr>
              <w:t>相關國際人權公約：</w:t>
            </w:r>
            <w:r w:rsidRPr="00AC77DF">
              <w:t>經濟社會文化權利國際公約第</w:t>
            </w:r>
            <w:r w:rsidRPr="00AC77DF">
              <w:t>7</w:t>
            </w:r>
            <w:r w:rsidRPr="00AC77DF">
              <w:t>條、第</w:t>
            </w:r>
            <w:r w:rsidRPr="00AC77DF">
              <w:t>9</w:t>
            </w:r>
            <w:r w:rsidRPr="00AC77DF">
              <w:t>條及第</w:t>
            </w:r>
            <w:r w:rsidRPr="00AC77DF">
              <w:t>12</w:t>
            </w:r>
            <w:r w:rsidRPr="00AC77DF">
              <w:t>條</w:t>
            </w:r>
          </w:p>
          <w:p w:rsidR="003807A5" w:rsidRPr="00AC77DF" w:rsidRDefault="003807A5" w:rsidP="003C2FF2">
            <w:pPr>
              <w:spacing w:line="360" w:lineRule="exact"/>
              <w:jc w:val="both"/>
              <w:rPr>
                <w:b/>
                <w:color w:val="000000"/>
                <w:szCs w:val="28"/>
                <w:lang w:val="x-none"/>
              </w:rPr>
            </w:pPr>
            <w:r w:rsidRPr="00AC77DF">
              <w:rPr>
                <w:b/>
              </w:rPr>
              <w:t>經濟社會文化權利國際公約第</w:t>
            </w:r>
            <w:r w:rsidRPr="00AC77DF">
              <w:rPr>
                <w:b/>
              </w:rPr>
              <w:t>9</w:t>
            </w:r>
            <w:r w:rsidRPr="00AC77DF">
              <w:rPr>
                <w:b/>
              </w:rPr>
              <w:t>條</w:t>
            </w:r>
          </w:p>
          <w:p w:rsidR="003807A5" w:rsidRPr="00AC77DF" w:rsidRDefault="003807A5" w:rsidP="003C2FF2">
            <w:pPr>
              <w:spacing w:line="360" w:lineRule="exact"/>
              <w:jc w:val="both"/>
              <w:rPr>
                <w:color w:val="000000"/>
                <w:szCs w:val="28"/>
                <w:lang w:val="x-none"/>
              </w:rPr>
            </w:pPr>
            <w:r w:rsidRPr="00AC77DF">
              <w:rPr>
                <w:color w:val="000000"/>
                <w:szCs w:val="28"/>
                <w:lang w:val="x-none"/>
              </w:rPr>
              <w:t>本公約締約國確認人人有權享受社會保障，包括社會保險。</w:t>
            </w:r>
          </w:p>
        </w:tc>
      </w:tr>
    </w:tbl>
    <w:p w:rsidR="003807A5" w:rsidRPr="00AC77DF" w:rsidRDefault="003C2FF2" w:rsidP="00FA42B3">
      <w:pPr>
        <w:pStyle w:val="afff1"/>
        <w:spacing w:before="360" w:after="360"/>
      </w:pPr>
      <w:bookmarkStart w:id="420" w:name="_Toc529885050"/>
      <w:bookmarkStart w:id="421" w:name="_Toc529885318"/>
      <w:r>
        <w:rPr>
          <w:rFonts w:hint="eastAsia"/>
        </w:rPr>
        <w:t>(一)</w:t>
      </w:r>
      <w:r w:rsidR="003807A5" w:rsidRPr="00AC77DF">
        <w:t>案情簡述</w:t>
      </w:r>
      <w:bookmarkEnd w:id="420"/>
      <w:bookmarkEnd w:id="421"/>
    </w:p>
    <w:p w:rsidR="003807A5" w:rsidRPr="00AC77DF" w:rsidRDefault="003807A5" w:rsidP="00B7222B">
      <w:pPr>
        <w:pStyle w:val="1---"/>
        <w:ind w:firstLine="480"/>
      </w:pPr>
      <w:r w:rsidRPr="00AC77DF">
        <w:t>據審計部</w:t>
      </w:r>
      <w:r w:rsidRPr="00AC77DF">
        <w:t>104</w:t>
      </w:r>
      <w:r w:rsidRPr="00AC77DF">
        <w:t>年度中央政府總決算審核報告，我國職業災害死亡千人率較部分先進國家為高，而發生重大職災中有近</w:t>
      </w:r>
      <w:r w:rsidRPr="00AC77DF">
        <w:t>6</w:t>
      </w:r>
      <w:r w:rsidRPr="00AC77DF">
        <w:t>成事業單位未曾受檢，辦理職業災害勞工重建及職業傷病防治等計畫成效有待提升等情，監察委員爰立案調查。</w:t>
      </w:r>
    </w:p>
    <w:p w:rsidR="003807A5" w:rsidRPr="00AC77DF" w:rsidRDefault="003C2FF2" w:rsidP="00FA42B3">
      <w:pPr>
        <w:pStyle w:val="afff1"/>
        <w:spacing w:before="360" w:after="360"/>
      </w:pPr>
      <w:bookmarkStart w:id="422" w:name="_Toc529885051"/>
      <w:bookmarkStart w:id="423" w:name="_Toc529885319"/>
      <w:r>
        <w:rPr>
          <w:rFonts w:hint="eastAsia"/>
        </w:rPr>
        <w:t>(二)</w:t>
      </w:r>
      <w:r w:rsidR="003807A5" w:rsidRPr="00AC77DF">
        <w:t>監察院調查發現與建議</w:t>
      </w:r>
      <w:bookmarkEnd w:id="422"/>
      <w:bookmarkEnd w:id="423"/>
      <w:r w:rsidR="003807A5" w:rsidRPr="00AC77DF">
        <w:t xml:space="preserve">   </w:t>
      </w:r>
    </w:p>
    <w:p w:rsidR="003807A5" w:rsidRPr="00AC77DF" w:rsidRDefault="00FD29F8" w:rsidP="006B7CBE">
      <w:pPr>
        <w:pStyle w:val="1--13"/>
        <w:spacing w:before="180" w:after="180"/>
      </w:pPr>
      <w:r w:rsidRPr="008E1832">
        <w:rPr>
          <w:rFonts w:hint="eastAsia"/>
        </w:rPr>
        <w:t>˙</w:t>
      </w:r>
      <w:r w:rsidR="003807A5" w:rsidRPr="00AC77DF">
        <w:t>勞工職業安全衛生保障不足</w:t>
      </w:r>
    </w:p>
    <w:p w:rsidR="003807A5" w:rsidRPr="00AC77DF" w:rsidRDefault="003807A5" w:rsidP="00B7222B">
      <w:pPr>
        <w:pStyle w:val="1---"/>
        <w:ind w:firstLine="480"/>
      </w:pPr>
      <w:r w:rsidRPr="00AC77DF">
        <w:t>我國職業災害死亡率相較先進國家偏高，且部分縣市職災給付千人率居高不下。又職業災害類型長期集中在營造業及製</w:t>
      </w:r>
      <w:r w:rsidRPr="00AC77DF">
        <w:lastRenderedPageBreak/>
        <w:t>造業，且受害者多為中小企業或無一定雇主之勞工。本案調查期間重大職災事件接二連三，多名勞工不幸傷亡。</w:t>
      </w:r>
      <w:r w:rsidR="002B7293">
        <w:rPr>
          <w:rFonts w:hint="eastAsia"/>
        </w:rPr>
        <w:t>顯見</w:t>
      </w:r>
      <w:r w:rsidRPr="00AC77DF">
        <w:t>勞工的職業安全衛生保障不足，有檢討改進之必要。</w:t>
      </w:r>
    </w:p>
    <w:p w:rsidR="003807A5" w:rsidRPr="00AC77DF" w:rsidRDefault="00597483" w:rsidP="006B7CBE">
      <w:pPr>
        <w:pStyle w:val="1--13"/>
        <w:spacing w:before="180" w:after="180"/>
      </w:pPr>
      <w:r w:rsidRPr="008E1832">
        <w:rPr>
          <w:rFonts w:hint="eastAsia"/>
        </w:rPr>
        <w:t>˙</w:t>
      </w:r>
      <w:r w:rsidR="003807A5" w:rsidRPr="00AC77DF">
        <w:t>勞動檢查覆蓋率不足</w:t>
      </w:r>
    </w:p>
    <w:p w:rsidR="003807A5" w:rsidRPr="00AC77DF" w:rsidRDefault="003807A5" w:rsidP="00B7222B">
      <w:pPr>
        <w:pStyle w:val="1---"/>
        <w:ind w:firstLine="480"/>
      </w:pPr>
      <w:r w:rsidRPr="00AC77DF">
        <w:t>由於我國勞動檢查人力嚴重不足，勞動檢查覆蓋率僅</w:t>
      </w:r>
      <w:r w:rsidRPr="00AC77DF">
        <w:t>27.45</w:t>
      </w:r>
      <w:r w:rsidR="001F4F1B">
        <w:rPr>
          <w:rFonts w:hint="eastAsia"/>
          <w:lang w:eastAsia="zh-TW"/>
        </w:rPr>
        <w:t xml:space="preserve"> </w:t>
      </w:r>
      <w:r w:rsidRPr="00AC77DF">
        <w:t>%</w:t>
      </w:r>
      <w:r w:rsidRPr="00AC77DF">
        <w:t>。未被檢查且發生重大職災的多為中小企業，由於沒有勞檢、監督及指導，該等產業往往心存僥倖，致使防災工作疏於落實，易生職災。為根絕這類事故，勞動部職業安全衛生署應優先強化勞動檢查，落實工安效能。</w:t>
      </w:r>
    </w:p>
    <w:p w:rsidR="003807A5" w:rsidRPr="00AC77DF" w:rsidRDefault="003807A5" w:rsidP="00B7222B">
      <w:pPr>
        <w:pStyle w:val="1---"/>
        <w:ind w:firstLine="480"/>
      </w:pPr>
      <w:r w:rsidRPr="00AC77DF">
        <w:t>營造業專業分工複雜且施工環境隨進度而變化，其作業環境之安全及認知，</w:t>
      </w:r>
      <w:r w:rsidR="002752F7">
        <w:rPr>
          <w:rFonts w:hint="eastAsia"/>
          <w:lang w:eastAsia="zh-TW"/>
        </w:rPr>
        <w:t>不能</w:t>
      </w:r>
      <w:r w:rsidRPr="00AC77DF">
        <w:t>僅賴主管機關進行勞動檢查。宜督促工程內部業務職掌人員落實職業安全衛生設施之設置及督導作業，再輔以外部監督等作為，自源頭將職業安全予以內化，嚴予矯正勞工不安全行為。</w:t>
      </w:r>
    </w:p>
    <w:p w:rsidR="003807A5" w:rsidRPr="00AC77DF" w:rsidRDefault="00597483" w:rsidP="006B7CBE">
      <w:pPr>
        <w:pStyle w:val="1--13"/>
        <w:spacing w:before="180" w:after="180"/>
      </w:pPr>
      <w:r w:rsidRPr="008E1832">
        <w:rPr>
          <w:rFonts w:hint="eastAsia"/>
        </w:rPr>
        <w:t>˙</w:t>
      </w:r>
      <w:r w:rsidR="003807A5" w:rsidRPr="00AC77DF">
        <w:t>未積極推動職業安全衛生法</w:t>
      </w:r>
    </w:p>
    <w:p w:rsidR="003807A5" w:rsidRPr="00AC77DF" w:rsidRDefault="003807A5" w:rsidP="00B7222B">
      <w:pPr>
        <w:pStyle w:val="1---"/>
        <w:ind w:firstLine="480"/>
      </w:pPr>
      <w:r w:rsidRPr="00AC77DF">
        <w:t>製造業（非營造業之其他行業）的職業災害以操作機械不慎致災者為多，宜從源頭避免此類性質職災之發生。勞動部應積極落實推動職業安全衛生法第</w:t>
      </w:r>
      <w:r w:rsidRPr="00AC77DF">
        <w:t>8</w:t>
      </w:r>
      <w:r w:rsidRPr="00AC77DF">
        <w:t>條及第</w:t>
      </w:r>
      <w:r w:rsidRPr="00AC77DF">
        <w:t>9</w:t>
      </w:r>
      <w:r w:rsidRPr="00AC77DF">
        <w:t>條，以符合世界貿易組織等國際規範，並儘早將應列入型式驗證之機械、設備或器具列表公告，降低作業勞工操作不當之風險。</w:t>
      </w:r>
    </w:p>
    <w:p w:rsidR="003807A5" w:rsidRPr="00AC77DF" w:rsidRDefault="00597483" w:rsidP="006B7CBE">
      <w:pPr>
        <w:pStyle w:val="1--13"/>
        <w:spacing w:before="180" w:after="180"/>
      </w:pPr>
      <w:r w:rsidRPr="008E1832">
        <w:rPr>
          <w:rFonts w:hint="eastAsia"/>
        </w:rPr>
        <w:t>˙</w:t>
      </w:r>
      <w:r w:rsidR="003807A5" w:rsidRPr="00AC77DF">
        <w:t>勞災風險特徵之自主管理</w:t>
      </w:r>
    </w:p>
    <w:p w:rsidR="003807A5" w:rsidRPr="00AC77DF" w:rsidRDefault="003807A5" w:rsidP="00B7222B">
      <w:pPr>
        <w:pStyle w:val="1---"/>
        <w:ind w:firstLine="480"/>
      </w:pPr>
      <w:r w:rsidRPr="00AC77DF">
        <w:t>臨時性作業係維持製程正常作業所必須，作業方式與正常</w:t>
      </w:r>
      <w:r w:rsidRPr="00AC77DF">
        <w:lastRenderedPageBreak/>
        <w:t>作業有所差異。由於具臨時且短暫性質，易輕忽作業安全規範而發生災害事故，且勞檢機構對此不易實施檢查，往往事業單位易心生僥倖。勞動部宜通盤檢視類此臨時性作業之性質，並研議將之納入勞檢抽查，以協助事業單位自訂安全措施以自主管理。此外，勞動部應針對「缺氧／侷限空間」臨時性作業環境提出強化防災措施。</w:t>
      </w:r>
    </w:p>
    <w:p w:rsidR="003807A5" w:rsidRPr="00AC77DF" w:rsidRDefault="003807A5" w:rsidP="00B7222B">
      <w:pPr>
        <w:pStyle w:val="1---"/>
        <w:ind w:firstLine="480"/>
      </w:pPr>
      <w:r w:rsidRPr="00AC77DF">
        <w:t>職業安全衛生管理系統及組織之建置目的，旨在健全事業單位因應職災風險特徵之自主管理能力。然勞檢機構對事業單位之規模及勞工人數一直難以確實查核，部分事業單位遂藉此怠於設置。</w:t>
      </w:r>
    </w:p>
    <w:p w:rsidR="003807A5" w:rsidRPr="00AC77DF" w:rsidRDefault="00597483" w:rsidP="006B7CBE">
      <w:pPr>
        <w:pStyle w:val="1--13"/>
        <w:spacing w:before="180" w:after="180"/>
        <w:rPr>
          <w:b/>
        </w:rPr>
      </w:pPr>
      <w:r w:rsidRPr="008E1832">
        <w:rPr>
          <w:rFonts w:hint="eastAsia"/>
        </w:rPr>
        <w:t>˙</w:t>
      </w:r>
      <w:r w:rsidR="003807A5" w:rsidRPr="00AC77DF">
        <w:t>職業病通報不確實</w:t>
      </w:r>
    </w:p>
    <w:p w:rsidR="003807A5" w:rsidRPr="00AC77DF" w:rsidRDefault="003807A5" w:rsidP="00B7222B">
      <w:pPr>
        <w:pStyle w:val="1---"/>
        <w:ind w:firstLine="480"/>
      </w:pPr>
      <w:r w:rsidRPr="00AC77DF">
        <w:t>我國職業病通報有低估情形，且職業衛生暴露危害之調查、作業環境監測、化學品登錄及勞工健檢等資料庫之建置未完備或仍待整合應用，</w:t>
      </w:r>
      <w:r w:rsidR="00D02A01">
        <w:rPr>
          <w:rFonts w:hint="eastAsia"/>
        </w:rPr>
        <w:t>又</w:t>
      </w:r>
      <w:r w:rsidRPr="00AC77DF">
        <w:t>未積極蒐集國內外職業疾病相關文獻，作為建構我國職業病因果關係診斷之依據，致職業疾病診斷或認（鑑）定困難重重且曠日廢時。</w:t>
      </w:r>
    </w:p>
    <w:p w:rsidR="003807A5" w:rsidRPr="00AC77DF" w:rsidRDefault="00597483" w:rsidP="006B7CBE">
      <w:pPr>
        <w:pStyle w:val="1--13"/>
        <w:spacing w:before="180" w:after="180"/>
      </w:pPr>
      <w:r w:rsidRPr="008E1832">
        <w:rPr>
          <w:rFonts w:hint="eastAsia"/>
        </w:rPr>
        <w:t>˙</w:t>
      </w:r>
      <w:r w:rsidR="003807A5" w:rsidRPr="00AC77DF">
        <w:t>未依規定僱用醫護人員</w:t>
      </w:r>
    </w:p>
    <w:p w:rsidR="003807A5" w:rsidRDefault="003807A5" w:rsidP="00B7222B">
      <w:pPr>
        <w:pStyle w:val="1---"/>
        <w:ind w:firstLine="480"/>
        <w:rPr>
          <w:lang w:eastAsia="zh-TW"/>
        </w:rPr>
      </w:pPr>
      <w:r w:rsidRPr="00AC77DF">
        <w:t>事業單位應依規模及性質辦理臨廠健康服務，惟經勞動部查核仍有近</w:t>
      </w:r>
      <w:r w:rsidRPr="00AC77DF">
        <w:t>2</w:t>
      </w:r>
      <w:r w:rsidRPr="00AC77DF">
        <w:t>成未依規定僱用醫護人員，其中已僱用醫護人員之事業單位亦有約</w:t>
      </w:r>
      <w:r w:rsidRPr="00AC77DF">
        <w:t>2</w:t>
      </w:r>
      <w:r w:rsidRPr="00AC77DF">
        <w:t>成未確實辦理勞工健康服務事項，勞動部及衛福部應予正視臨廠健康服務相關問題，使勞工獲得完善之基本職業健康服務。</w:t>
      </w:r>
    </w:p>
    <w:p w:rsidR="001F4F1B" w:rsidRPr="00AC77DF" w:rsidRDefault="001F4F1B" w:rsidP="00B7222B">
      <w:pPr>
        <w:pStyle w:val="1---"/>
        <w:ind w:firstLine="480"/>
        <w:rPr>
          <w:lang w:eastAsia="zh-TW"/>
        </w:rPr>
      </w:pPr>
    </w:p>
    <w:p w:rsidR="003807A5" w:rsidRPr="00AC77DF" w:rsidRDefault="00597483" w:rsidP="006B7CBE">
      <w:pPr>
        <w:pStyle w:val="1--13"/>
        <w:spacing w:before="180" w:after="180"/>
      </w:pPr>
      <w:r w:rsidRPr="008E1832">
        <w:rPr>
          <w:rFonts w:hint="eastAsia"/>
        </w:rPr>
        <w:lastRenderedPageBreak/>
        <w:t>˙</w:t>
      </w:r>
      <w:r w:rsidR="003807A5" w:rsidRPr="00AC77DF">
        <w:t>職災諮詢有待加強</w:t>
      </w:r>
    </w:p>
    <w:p w:rsidR="003807A5" w:rsidRPr="00AC77DF" w:rsidRDefault="003807A5" w:rsidP="00B7222B">
      <w:pPr>
        <w:pStyle w:val="1---"/>
        <w:ind w:firstLine="480"/>
      </w:pPr>
      <w:r w:rsidRPr="00AC77DF">
        <w:t>職災勞工權益保障涉及補償、重返職場或進入社會福利資源體系，職災預防固然重要，然對已遭逢職業災害之勞工，除應有之補償與保障外，協助重返職場尤為迫切。惟國內對於職災勞工以權益諮詢、關懷支持及經濟補助等服務項目為主</w:t>
      </w:r>
      <w:r w:rsidRPr="001F4F1B">
        <w:rPr>
          <w:spacing w:val="-26"/>
        </w:rPr>
        <w:t>，</w:t>
      </w:r>
      <w:r w:rsidRPr="00AC77DF">
        <w:t>「職災勞工諮詢專線」計畫完整訪問率卻未及</w:t>
      </w:r>
      <w:r w:rsidRPr="00AC77DF">
        <w:t>5</w:t>
      </w:r>
      <w:r w:rsidRPr="00AC77DF">
        <w:t>成，應協同地方政府盤點，提供職災勞工適切服務。</w:t>
      </w:r>
    </w:p>
    <w:p w:rsidR="003807A5" w:rsidRPr="00AC77DF" w:rsidRDefault="003807A5" w:rsidP="00B7222B">
      <w:pPr>
        <w:pStyle w:val="1---"/>
        <w:ind w:firstLine="480"/>
      </w:pPr>
      <w:r w:rsidRPr="00AC77DF">
        <w:t>邇來發生多起重大職業災害，雇主對工作場所危害風險識別程度薄弱，勞工安全衛生知能有限，因而不安全</w:t>
      </w:r>
      <w:r w:rsidR="00D56847">
        <w:rPr>
          <w:rFonts w:hint="eastAsia"/>
        </w:rPr>
        <w:t>事件</w:t>
      </w:r>
      <w:r w:rsidRPr="00AC77DF">
        <w:t>一再重演，並致重大傷亡。雇主應評估勞工作業風險並提供安全衛生設備及措施，並對勞工施行教育訓練，提升勞工安全衛生知能以避免不安全行為產生。勞動部應就類似職災事件，督促相關事業單位辨識工作場域之潛在危害，強化勞工職業安全衛生教育，降低職災事故因子。</w:t>
      </w:r>
    </w:p>
    <w:p w:rsidR="003807A5" w:rsidRPr="00AC77DF" w:rsidRDefault="003807A5" w:rsidP="00B7222B">
      <w:pPr>
        <w:pStyle w:val="1---"/>
        <w:ind w:firstLine="480"/>
      </w:pPr>
      <w:r w:rsidRPr="00AC77DF">
        <w:t>依據本案調查意見</w:t>
      </w:r>
      <w:r w:rsidRPr="00AC77DF">
        <w:rPr>
          <w:rStyle w:val="aff2"/>
        </w:rPr>
        <w:footnoteReference w:id="104"/>
      </w:r>
      <w:r w:rsidRPr="00AC77DF">
        <w:t>，監察院糾正勞動部，並函請該部檢討改進見復；另函請衛福部檢討改進見復。</w:t>
      </w:r>
    </w:p>
    <w:p w:rsidR="003807A5" w:rsidRPr="00AC77DF" w:rsidRDefault="003C2FF2" w:rsidP="00FA42B3">
      <w:pPr>
        <w:pStyle w:val="afff1"/>
        <w:spacing w:before="360" w:after="360"/>
      </w:pPr>
      <w:bookmarkStart w:id="424" w:name="_Toc529885052"/>
      <w:bookmarkStart w:id="425" w:name="_Toc529885320"/>
      <w:r>
        <w:rPr>
          <w:rFonts w:hint="eastAsia"/>
        </w:rPr>
        <w:t>(三)</w:t>
      </w:r>
      <w:r w:rsidR="003807A5" w:rsidRPr="00AC77DF">
        <w:t>政府機關改善情形</w:t>
      </w:r>
      <w:bookmarkEnd w:id="424"/>
      <w:bookmarkEnd w:id="425"/>
      <w:r w:rsidR="003807A5" w:rsidRPr="00AC77DF">
        <w:t xml:space="preserve"> </w:t>
      </w:r>
    </w:p>
    <w:p w:rsidR="003807A5" w:rsidRPr="00AC77DF" w:rsidRDefault="003807A5" w:rsidP="00425EE5">
      <w:pPr>
        <w:pStyle w:val="1----"/>
        <w:ind w:left="600" w:hanging="360"/>
      </w:pPr>
      <w:r w:rsidRPr="00AC77DF">
        <w:t>1</w:t>
      </w:r>
      <w:r w:rsidRPr="00AC77DF">
        <w:t>、為提高勞動檢查覆蓋率，</w:t>
      </w:r>
      <w:r w:rsidR="00132FCF">
        <w:rPr>
          <w:rFonts w:hint="eastAsia"/>
          <w:lang w:eastAsia="zh-TW"/>
        </w:rPr>
        <w:t>勞動部</w:t>
      </w:r>
      <w:r w:rsidRPr="00AC77DF">
        <w:t>於</w:t>
      </w:r>
      <w:r w:rsidRPr="00AC77DF">
        <w:t>106</w:t>
      </w:r>
      <w:r w:rsidRPr="00AC77DF">
        <w:t>年</w:t>
      </w:r>
      <w:r w:rsidRPr="00AC77DF">
        <w:t>4</w:t>
      </w:r>
      <w:r w:rsidRPr="00AC77DF">
        <w:t>月</w:t>
      </w:r>
      <w:r w:rsidRPr="00AC77DF">
        <w:t>20</w:t>
      </w:r>
      <w:r w:rsidRPr="00AC77DF">
        <w:t>日再報奉行政院核增</w:t>
      </w:r>
      <w:r w:rsidRPr="00AC77DF">
        <w:t>177</w:t>
      </w:r>
      <w:r w:rsidRPr="00AC77DF">
        <w:t>名安全衛生檢查人力。</w:t>
      </w:r>
    </w:p>
    <w:p w:rsidR="003807A5" w:rsidRPr="00AC77DF" w:rsidRDefault="003807A5" w:rsidP="00425EE5">
      <w:pPr>
        <w:pStyle w:val="1----"/>
        <w:ind w:left="600" w:hanging="360"/>
      </w:pPr>
      <w:r w:rsidRPr="00AC77DF">
        <w:t>2</w:t>
      </w:r>
      <w:r w:rsidRPr="00AC77DF">
        <w:t>、營造業檢查及安全內化部分，針對施工架組拆、起重吊掛、廣告看板等短期性或臨時性作業辦理安全輔導改善。</w:t>
      </w:r>
    </w:p>
    <w:p w:rsidR="003807A5" w:rsidRPr="00AC77DF" w:rsidRDefault="003807A5" w:rsidP="00425EE5">
      <w:pPr>
        <w:pStyle w:val="1----"/>
        <w:ind w:left="600" w:hanging="360"/>
      </w:pPr>
      <w:r w:rsidRPr="00AC77DF">
        <w:lastRenderedPageBreak/>
        <w:t>3</w:t>
      </w:r>
      <w:r w:rsidRPr="00AC77DF">
        <w:t>、製造業機械設施型式驗證部分，由於國內外法規之等同性</w:t>
      </w:r>
      <w:r w:rsidRPr="001F4F1B">
        <w:rPr>
          <w:spacing w:val="2"/>
        </w:rPr>
        <w:t>、受管制對象反映與因應準備期等因素，尚在持續推動中。</w:t>
      </w:r>
    </w:p>
    <w:p w:rsidR="003807A5" w:rsidRPr="00AC77DF" w:rsidRDefault="003807A5" w:rsidP="00425EE5">
      <w:pPr>
        <w:pStyle w:val="1----"/>
        <w:ind w:left="600" w:hanging="360"/>
      </w:pPr>
      <w:r w:rsidRPr="00AC77DF">
        <w:t>4</w:t>
      </w:r>
      <w:r w:rsidRPr="00AC77DF">
        <w:t>、職業安全衛生管理系統及組織</w:t>
      </w:r>
      <w:r w:rsidR="00572F66" w:rsidRPr="00AC77DF">
        <w:t>已</w:t>
      </w:r>
      <w:r w:rsidRPr="00AC77DF">
        <w:t>自</w:t>
      </w:r>
      <w:r w:rsidRPr="00AC77DF">
        <w:t>106</w:t>
      </w:r>
      <w:r w:rsidRPr="00AC77DF">
        <w:t>年</w:t>
      </w:r>
      <w:r w:rsidRPr="00AC77DF">
        <w:t>7</w:t>
      </w:r>
      <w:r w:rsidRPr="00AC77DF">
        <w:t>月起建置「職業安全衛生管理單位及人員設置報備系統」。</w:t>
      </w:r>
    </w:p>
    <w:p w:rsidR="003807A5" w:rsidRPr="00AC77DF" w:rsidRDefault="003807A5" w:rsidP="00425EE5">
      <w:pPr>
        <w:pStyle w:val="1----"/>
        <w:ind w:left="600" w:hanging="360"/>
      </w:pPr>
      <w:r w:rsidRPr="00AC77DF">
        <w:t>5</w:t>
      </w:r>
      <w:r w:rsidRPr="00AC77DF">
        <w:t>、職業病通報低估及資料庫建置未完備部分，後續將規劃擴增與實施健康追蹤檢查、作業環境監測與危害性化學品等資料之比對，並持續強化資料庫串接及勾稽功能。</w:t>
      </w:r>
    </w:p>
    <w:p w:rsidR="003807A5" w:rsidRPr="00AC77DF" w:rsidRDefault="003C2FF2" w:rsidP="00FA42B3">
      <w:pPr>
        <w:pStyle w:val="afff1"/>
        <w:spacing w:before="360" w:after="360"/>
      </w:pPr>
      <w:bookmarkStart w:id="426" w:name="_Toc529885053"/>
      <w:bookmarkStart w:id="427" w:name="_Toc529885321"/>
      <w:r>
        <w:rPr>
          <w:rFonts w:hint="eastAsia"/>
        </w:rPr>
        <w:t>(四)</w:t>
      </w:r>
      <w:r w:rsidR="003807A5" w:rsidRPr="00AC77DF">
        <w:t>案件進展</w:t>
      </w:r>
      <w:bookmarkEnd w:id="426"/>
      <w:bookmarkEnd w:id="427"/>
    </w:p>
    <w:p w:rsidR="003807A5" w:rsidRDefault="003807A5" w:rsidP="00B7222B">
      <w:pPr>
        <w:pStyle w:val="1---"/>
        <w:ind w:firstLine="480"/>
        <w:rPr>
          <w:lang w:eastAsia="zh-TW"/>
        </w:rPr>
      </w:pPr>
      <w:r w:rsidRPr="00AC77DF">
        <w:t>本案監察院仍列管追蹤中。</w:t>
      </w:r>
    </w:p>
    <w:p w:rsidR="003C2FF2" w:rsidRDefault="003C2FF2" w:rsidP="00B7222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4248"/>
      </w:tblGrid>
      <w:tr w:rsidR="003C2FF2" w:rsidTr="001F4F1B">
        <w:tc>
          <w:tcPr>
            <w:tcW w:w="4248" w:type="dxa"/>
            <w:shd w:val="clear" w:color="auto" w:fill="D9D9D9" w:themeFill="background1" w:themeFillShade="D9"/>
          </w:tcPr>
          <w:p w:rsidR="003C2FF2" w:rsidRDefault="003C2FF2" w:rsidP="003C2FF2">
            <w:pPr>
              <w:pStyle w:val="11-"/>
              <w:spacing w:before="72" w:after="108"/>
              <w:rPr>
                <w:b/>
                <w:lang w:eastAsia="zh-TW"/>
              </w:rPr>
            </w:pPr>
            <w:bookmarkStart w:id="428" w:name="_Toc529885322"/>
            <w:bookmarkStart w:id="429" w:name="_Toc535228387"/>
            <w:bookmarkStart w:id="430" w:name="_Toc4058798"/>
            <w:r w:rsidRPr="00AC77DF">
              <w:t>不當解僱護理人員損及權益案</w:t>
            </w:r>
            <w:bookmarkEnd w:id="428"/>
            <w:bookmarkEnd w:id="429"/>
            <w:bookmarkEnd w:id="430"/>
          </w:p>
        </w:tc>
      </w:tr>
    </w:tbl>
    <w:p w:rsidR="003C2FF2" w:rsidRPr="00AC77DF" w:rsidRDefault="003C2FF2" w:rsidP="00B7222B">
      <w:pPr>
        <w:pStyle w:val="1---"/>
        <w:ind w:firstLine="480"/>
        <w:rPr>
          <w:b/>
          <w:lang w:eastAsia="zh-TW"/>
        </w:rPr>
      </w:pPr>
    </w:p>
    <w:tbl>
      <w:tblPr>
        <w:tblW w:w="477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4"/>
      </w:tblGrid>
      <w:tr w:rsidR="003807A5" w:rsidRPr="00AC77DF" w:rsidTr="001F4F1B">
        <w:tc>
          <w:tcPr>
            <w:tcW w:w="5000" w:type="pct"/>
            <w:shd w:val="clear" w:color="auto" w:fill="auto"/>
          </w:tcPr>
          <w:p w:rsidR="003807A5" w:rsidRPr="00AC77DF" w:rsidRDefault="003807A5" w:rsidP="003C2FF2">
            <w:pPr>
              <w:spacing w:line="360" w:lineRule="exact"/>
              <w:jc w:val="both"/>
              <w:rPr>
                <w:color w:val="000000"/>
                <w:szCs w:val="28"/>
                <w:lang w:val="x-none"/>
              </w:rPr>
            </w:pPr>
            <w:r w:rsidRPr="00AC77DF">
              <w:rPr>
                <w:b/>
                <w:color w:val="000000"/>
                <w:szCs w:val="28"/>
                <w:lang w:val="x-none"/>
              </w:rPr>
              <w:t>相關國際人權公約：</w:t>
            </w:r>
            <w:r w:rsidRPr="00AC77DF">
              <w:t>公民與政治權利國際公約第</w:t>
            </w:r>
            <w:r w:rsidRPr="00AC77DF">
              <w:t>2</w:t>
            </w:r>
            <w:r w:rsidRPr="00AC77DF">
              <w:t>條、第</w:t>
            </w:r>
            <w:r w:rsidRPr="00AC77DF">
              <w:t>6</w:t>
            </w:r>
            <w:r w:rsidRPr="00AC77DF">
              <w:t>條第</w:t>
            </w:r>
            <w:r w:rsidRPr="00AC77DF">
              <w:t>1</w:t>
            </w:r>
            <w:r w:rsidRPr="00AC77DF">
              <w:t>項；經濟社會文化權利國際公約第</w:t>
            </w:r>
            <w:r w:rsidRPr="00AC77DF">
              <w:t>2</w:t>
            </w:r>
            <w:r w:rsidRPr="00AC77DF">
              <w:t>條、第</w:t>
            </w:r>
            <w:r w:rsidRPr="00AC77DF">
              <w:t>6</w:t>
            </w:r>
            <w:r w:rsidRPr="00AC77DF">
              <w:t>條、第</w:t>
            </w:r>
            <w:r w:rsidRPr="00AC77DF">
              <w:t>7</w:t>
            </w:r>
            <w:r w:rsidRPr="00AC77DF">
              <w:t>條、第</w:t>
            </w:r>
            <w:r w:rsidRPr="00AC77DF">
              <w:t>11</w:t>
            </w:r>
            <w:r w:rsidRPr="00AC77DF">
              <w:t>條</w:t>
            </w:r>
          </w:p>
          <w:p w:rsidR="003807A5" w:rsidRPr="00AC77DF" w:rsidRDefault="003807A5" w:rsidP="003C2FF2">
            <w:pPr>
              <w:spacing w:line="360" w:lineRule="exact"/>
              <w:jc w:val="both"/>
              <w:rPr>
                <w:b/>
                <w:color w:val="000000"/>
                <w:szCs w:val="28"/>
                <w:lang w:val="x-none"/>
              </w:rPr>
            </w:pPr>
            <w:r w:rsidRPr="00AC77DF">
              <w:rPr>
                <w:b/>
              </w:rPr>
              <w:t>經濟社會文化權利國際公約第</w:t>
            </w:r>
            <w:r w:rsidRPr="00AC77DF">
              <w:rPr>
                <w:b/>
              </w:rPr>
              <w:t>6</w:t>
            </w:r>
            <w:r w:rsidRPr="00AC77DF">
              <w:rPr>
                <w:b/>
              </w:rPr>
              <w:t>條</w:t>
            </w:r>
          </w:p>
          <w:p w:rsidR="003807A5" w:rsidRPr="00AC77DF" w:rsidRDefault="003807A5" w:rsidP="001F4F1B">
            <w:pPr>
              <w:spacing w:line="360" w:lineRule="exact"/>
              <w:ind w:left="480" w:hangingChars="200" w:hanging="480"/>
              <w:jc w:val="both"/>
            </w:pPr>
            <w:r w:rsidRPr="00AC77DF">
              <w:rPr>
                <w:color w:val="000000"/>
                <w:szCs w:val="28"/>
                <w:lang w:val="x-none"/>
              </w:rPr>
              <w:t>一、</w:t>
            </w:r>
            <w:r w:rsidRPr="00AC77DF">
              <w:t>本公約締約國確認人人有工作之權利，包括人人應有機會憑本人自由選擇或接受之工作謀生之權利，並將採取適當步驟保障之。</w:t>
            </w:r>
          </w:p>
          <w:p w:rsidR="003807A5" w:rsidRPr="00AC77DF" w:rsidRDefault="003807A5" w:rsidP="001F4F1B">
            <w:pPr>
              <w:spacing w:line="360" w:lineRule="exact"/>
              <w:ind w:left="480" w:hangingChars="200" w:hanging="480"/>
              <w:jc w:val="both"/>
            </w:pPr>
            <w:r w:rsidRPr="00AC77DF">
              <w:t>二、本公約締約國為求完全實現此種權利而須採取之步驟，應包括技術與職業指導及訓練方案、政策與方法，以便</w:t>
            </w:r>
            <w:r w:rsidRPr="00AC77DF">
              <w:lastRenderedPageBreak/>
              <w:t>在保障個人基本政治與經濟自由之條件下，造成經濟、社會及文化之穩步發展以及充分之生產性就業。</w:t>
            </w:r>
          </w:p>
          <w:p w:rsidR="003807A5" w:rsidRPr="00AC77DF" w:rsidRDefault="003807A5" w:rsidP="003C2FF2">
            <w:pPr>
              <w:spacing w:line="360" w:lineRule="exact"/>
              <w:jc w:val="both"/>
              <w:rPr>
                <w:b/>
                <w:color w:val="000000"/>
                <w:szCs w:val="28"/>
                <w:lang w:val="x-none"/>
              </w:rPr>
            </w:pPr>
            <w:r w:rsidRPr="00AC77DF">
              <w:rPr>
                <w:b/>
              </w:rPr>
              <w:t>經濟社會文化權利國際公約第</w:t>
            </w:r>
            <w:r w:rsidRPr="00AC77DF">
              <w:rPr>
                <w:b/>
              </w:rPr>
              <w:t>7</w:t>
            </w:r>
            <w:r w:rsidRPr="00AC77DF">
              <w:rPr>
                <w:b/>
              </w:rPr>
              <w:t>條</w:t>
            </w:r>
          </w:p>
          <w:p w:rsidR="003807A5" w:rsidRPr="00AC77DF" w:rsidRDefault="003807A5" w:rsidP="003C2FF2">
            <w:pPr>
              <w:spacing w:line="360" w:lineRule="exact"/>
              <w:jc w:val="both"/>
            </w:pPr>
            <w:r w:rsidRPr="00AC77DF">
              <w:t>本公約締約國確認人人有權享受公平與良好之工作條件，尤須確保：</w:t>
            </w:r>
          </w:p>
          <w:p w:rsidR="003807A5" w:rsidRPr="00AC77DF" w:rsidRDefault="003807A5" w:rsidP="001F4F1B">
            <w:pPr>
              <w:spacing w:line="360" w:lineRule="exact"/>
              <w:ind w:left="480" w:hangingChars="200" w:hanging="480"/>
              <w:jc w:val="both"/>
            </w:pPr>
            <w:r w:rsidRPr="00AC77DF">
              <w:t>（一）所有工作者之報酬使其最低限度均能：</w:t>
            </w:r>
          </w:p>
          <w:p w:rsidR="001F4F1B" w:rsidRDefault="001F4F1B" w:rsidP="001F4F1B">
            <w:pPr>
              <w:kinsoku w:val="0"/>
              <w:spacing w:line="360" w:lineRule="exact"/>
              <w:ind w:left="1080" w:hangingChars="450" w:hanging="1080"/>
              <w:jc w:val="both"/>
            </w:pPr>
            <w:r>
              <w:rPr>
                <w:rFonts w:hint="eastAsia"/>
              </w:rPr>
              <w:t xml:space="preserve">　　</w:t>
            </w:r>
            <w:r w:rsidR="003807A5" w:rsidRPr="00AC77DF">
              <w:t>（</w:t>
            </w:r>
            <w:r w:rsidR="003807A5" w:rsidRPr="00AC77DF">
              <w:t>1</w:t>
            </w:r>
            <w:r w:rsidR="003807A5" w:rsidRPr="00AC77DF">
              <w:t>）</w:t>
            </w:r>
            <w:r w:rsidR="003807A5" w:rsidRPr="001F4F1B">
              <w:rPr>
                <w:spacing w:val="-2"/>
              </w:rPr>
              <w:t>獲得公允之工資，工作價值相等者享受同等報酬，不得有任何區別，尤須保證婦女之工作條件不得次於男子，且應同工同酬；</w:t>
            </w:r>
          </w:p>
          <w:p w:rsidR="003807A5" w:rsidRPr="00AC77DF" w:rsidRDefault="001F4F1B" w:rsidP="001F4F1B">
            <w:pPr>
              <w:kinsoku w:val="0"/>
              <w:spacing w:line="360" w:lineRule="exact"/>
              <w:ind w:left="1080" w:hangingChars="450" w:hanging="1080"/>
              <w:jc w:val="distribute"/>
            </w:pPr>
            <w:r>
              <w:rPr>
                <w:rFonts w:hint="eastAsia"/>
              </w:rPr>
              <w:t xml:space="preserve">　　</w:t>
            </w:r>
            <w:r w:rsidR="003807A5" w:rsidRPr="00AC77DF">
              <w:t>（</w:t>
            </w:r>
            <w:r w:rsidR="003807A5" w:rsidRPr="00AC77DF">
              <w:t>2</w:t>
            </w:r>
            <w:r w:rsidR="003807A5" w:rsidRPr="00AC77DF">
              <w:t>）</w:t>
            </w:r>
            <w:r w:rsidR="003807A5" w:rsidRPr="001F4F1B">
              <w:rPr>
                <w:spacing w:val="-4"/>
              </w:rPr>
              <w:t>維持本人及家屬符合本公約規定之合理生活水平；</w:t>
            </w:r>
          </w:p>
          <w:p w:rsidR="003807A5" w:rsidRPr="00AC77DF" w:rsidRDefault="003807A5" w:rsidP="001F4F1B">
            <w:pPr>
              <w:spacing w:line="360" w:lineRule="exact"/>
              <w:ind w:left="480" w:hangingChars="200" w:hanging="480"/>
              <w:jc w:val="both"/>
            </w:pPr>
            <w:r w:rsidRPr="00AC77DF">
              <w:t>（二）安全衛生之工作環境；</w:t>
            </w:r>
          </w:p>
          <w:p w:rsidR="003807A5" w:rsidRPr="00AC77DF" w:rsidRDefault="003807A5" w:rsidP="001F4F1B">
            <w:pPr>
              <w:spacing w:line="360" w:lineRule="exact"/>
              <w:ind w:left="720" w:hangingChars="300" w:hanging="720"/>
              <w:jc w:val="both"/>
            </w:pPr>
            <w:r w:rsidRPr="00AC77DF">
              <w:t>（三）人人有平等機會於所就職業升至適當之較高等級，不受年資才能以外其他考慮之限制；</w:t>
            </w:r>
          </w:p>
          <w:p w:rsidR="003807A5" w:rsidRPr="00AC77DF" w:rsidRDefault="003807A5" w:rsidP="00704997">
            <w:pPr>
              <w:spacing w:afterLines="30" w:after="108" w:line="360" w:lineRule="exact"/>
              <w:ind w:left="720" w:hangingChars="300" w:hanging="720"/>
              <w:jc w:val="both"/>
            </w:pPr>
            <w:r w:rsidRPr="00AC77DF">
              <w:t>（四）休息、閒暇、工作時間之合理限制與照給薪資之定期休假，公共假日亦須給酬。</w:t>
            </w:r>
          </w:p>
        </w:tc>
      </w:tr>
    </w:tbl>
    <w:p w:rsidR="003807A5" w:rsidRPr="00AC77DF" w:rsidRDefault="003C2FF2" w:rsidP="00FA42B3">
      <w:pPr>
        <w:pStyle w:val="afff1"/>
        <w:spacing w:before="360" w:after="360"/>
      </w:pPr>
      <w:bookmarkStart w:id="431" w:name="_Toc529885030"/>
      <w:bookmarkStart w:id="432" w:name="_Toc529885323"/>
      <w:r>
        <w:rPr>
          <w:rFonts w:hint="eastAsia"/>
        </w:rPr>
        <w:lastRenderedPageBreak/>
        <w:t>(一)</w:t>
      </w:r>
      <w:r w:rsidR="003807A5" w:rsidRPr="00AC77DF">
        <w:t>案情簡述</w:t>
      </w:r>
      <w:bookmarkEnd w:id="431"/>
      <w:bookmarkEnd w:id="432"/>
    </w:p>
    <w:p w:rsidR="001F4F1B" w:rsidRPr="00AC77DF" w:rsidRDefault="003807A5" w:rsidP="00B7222B">
      <w:pPr>
        <w:pStyle w:val="1---"/>
        <w:ind w:firstLine="480"/>
        <w:rPr>
          <w:lang w:eastAsia="zh-TW"/>
        </w:rPr>
      </w:pPr>
      <w:r w:rsidRPr="00AC77DF">
        <w:t>據訴，吳</w:t>
      </w:r>
      <w:r w:rsidRPr="00811AA1">
        <w:rPr>
          <w:rFonts w:asciiTheme="majorEastAsia" w:eastAsiaTheme="majorEastAsia" w:hAnsiTheme="majorEastAsia"/>
        </w:rPr>
        <w:t>○○</w:t>
      </w:r>
      <w:r w:rsidRPr="00AC77DF">
        <w:t>等向三軍總醫院（簡稱三總）澎湖分院（簡稱澎湖分院）爭取超時值班費及要求遵守</w:t>
      </w:r>
      <w:r w:rsidRPr="0025002C">
        <w:rPr>
          <w:rFonts w:hint="eastAsia"/>
        </w:rPr>
        <w:t>勞基法</w:t>
      </w:r>
      <w:r w:rsidRPr="00AC77DF">
        <w:t>相關規定，詎遭該院不當解僱，損及權益，爰經監察委員立案調查。</w:t>
      </w:r>
    </w:p>
    <w:p w:rsidR="00704997" w:rsidRDefault="00704997">
      <w:pPr>
        <w:widowControl/>
        <w:snapToGrid/>
        <w:rPr>
          <w:rFonts w:ascii="華康魏碑體" w:eastAsia="華康魏碑體" w:hAnsi="細明體" w:cs="細明體"/>
          <w:kern w:val="0"/>
          <w:sz w:val="34"/>
          <w:szCs w:val="32"/>
        </w:rPr>
      </w:pPr>
      <w:bookmarkStart w:id="433" w:name="_Toc529885031"/>
      <w:bookmarkStart w:id="434" w:name="_Toc529885324"/>
      <w:r>
        <w:br w:type="page"/>
      </w:r>
    </w:p>
    <w:p w:rsidR="003807A5" w:rsidRPr="00AC77DF" w:rsidRDefault="003C2FF2" w:rsidP="00FA42B3">
      <w:pPr>
        <w:pStyle w:val="afff1"/>
        <w:spacing w:before="360" w:after="360"/>
      </w:pPr>
      <w:r>
        <w:rPr>
          <w:rFonts w:hint="eastAsia"/>
        </w:rPr>
        <w:lastRenderedPageBreak/>
        <w:t>(二)</w:t>
      </w:r>
      <w:r w:rsidR="003807A5" w:rsidRPr="00AC77DF">
        <w:t>監察院調查發現與建議</w:t>
      </w:r>
      <w:bookmarkEnd w:id="433"/>
      <w:bookmarkEnd w:id="434"/>
    </w:p>
    <w:p w:rsidR="003807A5" w:rsidRPr="00AC77DF" w:rsidRDefault="00597483" w:rsidP="006B7CBE">
      <w:pPr>
        <w:pStyle w:val="1--13"/>
        <w:spacing w:before="180" w:after="180"/>
      </w:pPr>
      <w:r w:rsidRPr="008E1832">
        <w:rPr>
          <w:rFonts w:hint="eastAsia"/>
        </w:rPr>
        <w:t>˙</w:t>
      </w:r>
      <w:r w:rsidR="003807A5" w:rsidRPr="00AC77DF">
        <w:t>護理人員勞動條件不佳</w:t>
      </w:r>
    </w:p>
    <w:p w:rsidR="003807A5" w:rsidRPr="00AC77DF" w:rsidRDefault="003807A5" w:rsidP="00B7222B">
      <w:pPr>
        <w:pStyle w:val="1---"/>
        <w:ind w:firstLine="480"/>
      </w:pPr>
      <w:r w:rsidRPr="00AC77DF">
        <w:t>監察院已多次調查要求衛福部改善護理人員工作環境，該部雖已推動相關改革，惟勞動部調查資料顯示，護理人員經常性薪資雖高於各業別之平均薪資，然加計非經常性薪資後，總薪資除低於各業受僱人員之平均值外，與專業人員之總薪資（月薪）於</w:t>
      </w:r>
      <w:r w:rsidRPr="00AC77DF">
        <w:t>105</w:t>
      </w:r>
      <w:r w:rsidRPr="00AC77DF">
        <w:t>年甚至相差約</w:t>
      </w:r>
      <w:r w:rsidRPr="00AC77DF">
        <w:t>2</w:t>
      </w:r>
      <w:r w:rsidRPr="00AC77DF">
        <w:t>萬</w:t>
      </w:r>
      <w:r w:rsidRPr="00AC77DF">
        <w:t>2,000</w:t>
      </w:r>
      <w:r w:rsidRPr="00AC77DF">
        <w:t>元。茲因護理人員之職場環境不佳，復未能提供較佳之勞動條件，致護理人員之空缺率未能有效降低。以澎湖分院為例，該分院臨床實務上，因護理人員不足，需實施調整開放收容床數之措施，嚴重影響民眾就醫</w:t>
      </w:r>
      <w:r w:rsidR="004D275F">
        <w:rPr>
          <w:rFonts w:hint="eastAsia"/>
        </w:rPr>
        <w:t>權益</w:t>
      </w:r>
      <w:r w:rsidRPr="00AC77DF">
        <w:t>。衛福部應持續改善護理人員之勞動條件，以減緩護理人員之空缺率。</w:t>
      </w:r>
    </w:p>
    <w:p w:rsidR="003807A5" w:rsidRPr="00AC77DF" w:rsidRDefault="00597483" w:rsidP="006B7CBE">
      <w:pPr>
        <w:pStyle w:val="1--13"/>
        <w:spacing w:before="180" w:after="180"/>
      </w:pPr>
      <w:r w:rsidRPr="008E1832">
        <w:rPr>
          <w:rFonts w:hint="eastAsia"/>
        </w:rPr>
        <w:t>˙</w:t>
      </w:r>
      <w:r w:rsidR="003807A5" w:rsidRPr="00AC77DF">
        <w:t>強化負時數之勞動檢查</w:t>
      </w:r>
    </w:p>
    <w:p w:rsidR="003807A5" w:rsidRDefault="003807A5" w:rsidP="00B7222B">
      <w:pPr>
        <w:pStyle w:val="1---"/>
        <w:ind w:firstLine="480"/>
        <w:rPr>
          <w:lang w:eastAsia="zh-TW"/>
        </w:rPr>
      </w:pPr>
      <w:r w:rsidRPr="00AC77DF">
        <w:t>負時數為資方無須勞方提供原訂之勞務量，要求勞方停止給付勞務並於日後補行勞務遲延之行為。惟負時數樣態不同，勞動部應就負時數之樣態予以分類，並強化各地方主管機關對負時數之勞動檢查，以避免雇主一再濫用指示權，將雇主應負擔之經營風險，轉嫁由勞方承擔，嚴重損害勞工權益。另澎湖分院之會議資料顯示，該分院似有實施負時數之情事，澎湖縣政府宜重新檢視該分院負時數有否損害勞工權益等情。</w:t>
      </w:r>
    </w:p>
    <w:p w:rsidR="003F6C5F" w:rsidRDefault="003F6C5F" w:rsidP="00B7222B">
      <w:pPr>
        <w:pStyle w:val="1---"/>
        <w:ind w:firstLine="480"/>
        <w:rPr>
          <w:lang w:eastAsia="zh-TW"/>
        </w:rPr>
      </w:pPr>
    </w:p>
    <w:p w:rsidR="003F6C5F" w:rsidRPr="00AC77DF" w:rsidRDefault="003F6C5F" w:rsidP="00B7222B">
      <w:pPr>
        <w:pStyle w:val="1---"/>
        <w:ind w:firstLine="480"/>
        <w:rPr>
          <w:lang w:eastAsia="zh-TW"/>
        </w:rPr>
      </w:pPr>
    </w:p>
    <w:p w:rsidR="003807A5" w:rsidRPr="00AC77DF" w:rsidRDefault="00597483" w:rsidP="006B7CBE">
      <w:pPr>
        <w:pStyle w:val="1--13"/>
        <w:spacing w:before="180" w:after="180"/>
      </w:pPr>
      <w:r w:rsidRPr="008E1832">
        <w:rPr>
          <w:rFonts w:hint="eastAsia"/>
        </w:rPr>
        <w:lastRenderedPageBreak/>
        <w:t>˙</w:t>
      </w:r>
      <w:r w:rsidR="003807A5" w:rsidRPr="00AC77DF">
        <w:t>工資給付未具彈性</w:t>
      </w:r>
    </w:p>
    <w:p w:rsidR="003807A5" w:rsidRPr="00AC77DF" w:rsidRDefault="003807A5" w:rsidP="00B7222B">
      <w:pPr>
        <w:pStyle w:val="1---"/>
        <w:ind w:firstLine="480"/>
        <w:rPr>
          <w:lang w:eastAsia="zh-TW"/>
        </w:rPr>
      </w:pPr>
      <w:r w:rsidRPr="00AC77DF">
        <w:t>待命值勤（</w:t>
      </w:r>
      <w:r w:rsidRPr="00AC77DF">
        <w:t>on call</w:t>
      </w:r>
      <w:r w:rsidRPr="00AC77DF">
        <w:t>）有備勤、待命及候傳等型態，然對勞工均具不同程度之拘束，惟國內相關勞動法規對於該等型態應給付工資等規定缺乏彈性，致時生訴訟爭議。勞動部應研議是否就待命值勤之型態及工資給付之關係予以界定，並研析應否就該等型態之工資給付，給予適當之調整彈性。</w:t>
      </w:r>
    </w:p>
    <w:p w:rsidR="003807A5" w:rsidRPr="00AC77DF" w:rsidRDefault="00597483" w:rsidP="006B7CBE">
      <w:pPr>
        <w:pStyle w:val="1--13"/>
        <w:spacing w:before="180" w:after="180"/>
      </w:pPr>
      <w:r w:rsidRPr="008E1832">
        <w:rPr>
          <w:rFonts w:hint="eastAsia"/>
        </w:rPr>
        <w:t>˙</w:t>
      </w:r>
      <w:r w:rsidR="003807A5" w:rsidRPr="00AC77DF">
        <w:t>主管機關未有效監管</w:t>
      </w:r>
    </w:p>
    <w:p w:rsidR="003807A5" w:rsidRPr="00AC77DF" w:rsidRDefault="003807A5" w:rsidP="00B7222B">
      <w:pPr>
        <w:pStyle w:val="1---"/>
        <w:ind w:firstLine="480"/>
      </w:pPr>
      <w:r w:rsidRPr="00AC77DF">
        <w:t>國防部未能有效督管澎湖分院，積極改善該分院護理人員之勞動條件，致該分院護理人員大量離職，其離職率竟較全國護理人員總離職率高出</w:t>
      </w:r>
      <w:r w:rsidRPr="00AC77DF">
        <w:t>8</w:t>
      </w:r>
      <w:r w:rsidRPr="00AC77DF">
        <w:t>成，並衍生護理人員陳抗事件；復因人力不足，肇致該分院需調整開放病床收容數，損及民眾就醫權益。另勞動部及衛福部</w:t>
      </w:r>
      <w:r w:rsidR="005D1E8F">
        <w:t>應</w:t>
      </w:r>
      <w:r w:rsidRPr="00AC77DF">
        <w:t>就前開案例，研議強化勞資協商之功能及勞動條件之改善，以避免勞方僅能以離職或陳抗方式表達訴求，危及離島之醫療。</w:t>
      </w:r>
    </w:p>
    <w:p w:rsidR="003807A5" w:rsidRPr="00AC77DF" w:rsidRDefault="003807A5" w:rsidP="00B7222B">
      <w:pPr>
        <w:pStyle w:val="1---"/>
        <w:ind w:firstLine="480"/>
      </w:pPr>
      <w:r w:rsidRPr="00AC77DF">
        <w:t>澎湖分院因勞動條件不佳，且內部控制機制失靈，致未能有效處理護理人員不滿情緒，衍生陳抗事件。事後國防部似疏於因應，在雙方互信闕如情勢下，院方與護理人員各自解讀電話及會議</w:t>
      </w:r>
      <w:r w:rsidR="006A0DE6">
        <w:rPr>
          <w:rFonts w:hint="eastAsia"/>
        </w:rPr>
        <w:t>錄</w:t>
      </w:r>
      <w:r w:rsidRPr="00AC77DF">
        <w:t>音檔譯文，肇致多起爭訟事件，</w:t>
      </w:r>
      <w:r w:rsidR="00BA2C08">
        <w:rPr>
          <w:rFonts w:hint="eastAsia"/>
        </w:rPr>
        <w:t>有損</w:t>
      </w:r>
      <w:r w:rsidRPr="00AC77DF">
        <w:t>醫院形象。</w:t>
      </w:r>
    </w:p>
    <w:p w:rsidR="003807A5" w:rsidRPr="00AC77DF" w:rsidRDefault="003807A5" w:rsidP="00B7222B">
      <w:pPr>
        <w:pStyle w:val="1---"/>
        <w:ind w:firstLine="480"/>
      </w:pPr>
      <w:r w:rsidRPr="00AC77DF">
        <w:t>澎湖分院係澎湖地區惟一提供高壓氧治療設備之醫療院所，然該分院因操艙技術人員不足</w:t>
      </w:r>
      <w:r w:rsidRPr="00AC77DF">
        <w:t>2</w:t>
      </w:r>
      <w:r w:rsidRPr="00AC77DF">
        <w:t>人，於</w:t>
      </w:r>
      <w:r w:rsidRPr="00AC77DF">
        <w:t>105</w:t>
      </w:r>
      <w:r w:rsidRPr="00AC77DF">
        <w:t>年</w:t>
      </w:r>
      <w:r w:rsidRPr="00AC77DF">
        <w:t>11</w:t>
      </w:r>
      <w:r w:rsidRPr="00AC77DF">
        <w:t>月</w:t>
      </w:r>
      <w:r w:rsidRPr="00AC77DF">
        <w:t>16</w:t>
      </w:r>
      <w:r w:rsidRPr="00AC77DF">
        <w:t>日停止多人高壓氧設備</w:t>
      </w:r>
      <w:r w:rsidR="004D275F">
        <w:rPr>
          <w:rFonts w:hint="eastAsia"/>
        </w:rPr>
        <w:t>使用</w:t>
      </w:r>
      <w:r w:rsidRPr="00AC77DF">
        <w:t>，惟因民眾就醫需要，澎湖縣政府僅能在救人優先情況下，核可該分院實施多人艙治療。國防部未能儘速補足該等技術人員，甚至函復該府評估暫停提供高壓氧治</w:t>
      </w:r>
      <w:r w:rsidRPr="00AC77DF">
        <w:lastRenderedPageBreak/>
        <w:t>療服務，致生該府發函祈請該部協調調度相關人力之情事。國防部未能彰顯三總設置之宗旨及發展之願景，已輕忽澎湖地區民眾醫療之需求。</w:t>
      </w:r>
    </w:p>
    <w:p w:rsidR="003807A5" w:rsidRPr="00AC77DF" w:rsidRDefault="003807A5" w:rsidP="00B7222B">
      <w:pPr>
        <w:pStyle w:val="1---"/>
        <w:ind w:firstLine="480"/>
      </w:pPr>
      <w:r w:rsidRPr="00AC77DF">
        <w:t>依據本案調查意見</w:t>
      </w:r>
      <w:r w:rsidRPr="00AC77DF">
        <w:rPr>
          <w:rStyle w:val="aff2"/>
        </w:rPr>
        <w:footnoteReference w:id="105"/>
      </w:r>
      <w:r w:rsidRPr="00AC77DF">
        <w:t>，監察院函請衛福部及國防部檢討改進見復，並函請衛福部、勞動部及澎湖縣政府研處見復。</w:t>
      </w:r>
    </w:p>
    <w:p w:rsidR="003807A5" w:rsidRPr="00AC77DF" w:rsidRDefault="003C2FF2" w:rsidP="00FA42B3">
      <w:pPr>
        <w:pStyle w:val="afff1"/>
        <w:spacing w:before="360" w:after="360"/>
      </w:pPr>
      <w:bookmarkStart w:id="435" w:name="_Toc529885032"/>
      <w:bookmarkStart w:id="436" w:name="_Toc529885325"/>
      <w:r>
        <w:rPr>
          <w:rFonts w:hint="eastAsia"/>
        </w:rPr>
        <w:t>(三)</w:t>
      </w:r>
      <w:r w:rsidR="003807A5" w:rsidRPr="00AC77DF">
        <w:t>政府機關改善情形</w:t>
      </w:r>
      <w:bookmarkEnd w:id="435"/>
      <w:bookmarkEnd w:id="436"/>
    </w:p>
    <w:p w:rsidR="003807A5" w:rsidRPr="00AC77DF" w:rsidRDefault="003807A5" w:rsidP="00425EE5">
      <w:pPr>
        <w:pStyle w:val="1----"/>
        <w:ind w:left="600" w:hanging="360"/>
      </w:pPr>
      <w:r w:rsidRPr="00AC77DF">
        <w:t>1</w:t>
      </w:r>
      <w:r w:rsidRPr="00AC77DF">
        <w:t>、衛福部</w:t>
      </w:r>
    </w:p>
    <w:p w:rsidR="003807A5" w:rsidRPr="00AC77DF" w:rsidRDefault="003807A5" w:rsidP="003F6C5F">
      <w:pPr>
        <w:pStyle w:val="1--1"/>
        <w:ind w:left="1080" w:hanging="600"/>
      </w:pPr>
      <w:r w:rsidRPr="00AC77DF">
        <w:t>（</w:t>
      </w:r>
      <w:r w:rsidRPr="00AC77DF">
        <w:t>1</w:t>
      </w:r>
      <w:r w:rsidRPr="00AC77DF">
        <w:t>）為減輕護理人員工作負荷與維護勞動條件，爭取護理人員納入</w:t>
      </w:r>
      <w:r w:rsidRPr="0025002C">
        <w:rPr>
          <w:rFonts w:hint="eastAsia"/>
        </w:rPr>
        <w:t>勞基法</w:t>
      </w:r>
      <w:r w:rsidRPr="00AC77DF">
        <w:t>適用對象及排除責任制，並加強勞基法宣導。</w:t>
      </w:r>
    </w:p>
    <w:p w:rsidR="003807A5" w:rsidRPr="00AC77DF" w:rsidRDefault="003807A5" w:rsidP="003F6C5F">
      <w:pPr>
        <w:pStyle w:val="1--1"/>
        <w:ind w:left="1080" w:hanging="600"/>
      </w:pPr>
      <w:r w:rsidRPr="00AC77DF">
        <w:t>（</w:t>
      </w:r>
      <w:r w:rsidRPr="00AC77DF">
        <w:t>2</w:t>
      </w:r>
      <w:r w:rsidRPr="00AC77DF">
        <w:t>）滾動修訂排班指引。</w:t>
      </w:r>
    </w:p>
    <w:p w:rsidR="003807A5" w:rsidRPr="00AC77DF" w:rsidRDefault="003807A5" w:rsidP="003F6C5F">
      <w:pPr>
        <w:pStyle w:val="1--1"/>
        <w:ind w:left="1080" w:hanging="600"/>
      </w:pPr>
      <w:r w:rsidRPr="00AC77DF">
        <w:t>（</w:t>
      </w:r>
      <w:r w:rsidRPr="00AC77DF">
        <w:t>3</w:t>
      </w:r>
      <w:r w:rsidRPr="00AC77DF">
        <w:t>）已</w:t>
      </w:r>
      <w:r w:rsidR="003750EC">
        <w:rPr>
          <w:rFonts w:hint="eastAsia"/>
        </w:rPr>
        <w:t>將</w:t>
      </w:r>
      <w:r w:rsidR="003750EC">
        <w:rPr>
          <w:rFonts w:ascii="新細明體" w:hAnsi="新細明體" w:hint="eastAsia"/>
        </w:rPr>
        <w:t>「</w:t>
      </w:r>
      <w:r w:rsidR="003750EC" w:rsidRPr="00AC77DF">
        <w:t>違反勞基法</w:t>
      </w:r>
      <w:r w:rsidR="003750EC">
        <w:rPr>
          <w:rFonts w:ascii="新細明體" w:hAnsi="新細明體" w:hint="eastAsia"/>
        </w:rPr>
        <w:t>」</w:t>
      </w:r>
      <w:r w:rsidR="00BD4745">
        <w:t>納入醫院評鑑標準，</w:t>
      </w:r>
      <w:r w:rsidR="00BD4745">
        <w:rPr>
          <w:rFonts w:hint="eastAsia"/>
        </w:rPr>
        <w:t>並將</w:t>
      </w:r>
      <w:r w:rsidR="00BD4745">
        <w:rPr>
          <w:rFonts w:ascii="新細明體" w:hAnsi="新細明體" w:hint="eastAsia"/>
        </w:rPr>
        <w:t>「</w:t>
      </w:r>
      <w:r w:rsidRPr="00AC77DF">
        <w:t>護病比</w:t>
      </w:r>
      <w:r w:rsidR="00BD4745">
        <w:rPr>
          <w:rFonts w:ascii="新細明體" w:hAnsi="新細明體" w:hint="eastAsia"/>
        </w:rPr>
        <w:t>」</w:t>
      </w:r>
      <w:r w:rsidRPr="00AC77DF">
        <w:t>納入醫院評鑑項目。</w:t>
      </w:r>
    </w:p>
    <w:p w:rsidR="003807A5" w:rsidRPr="00AC77DF" w:rsidRDefault="003807A5" w:rsidP="003F6C5F">
      <w:pPr>
        <w:pStyle w:val="1--1"/>
        <w:ind w:left="1080" w:hanging="600"/>
      </w:pPr>
      <w:r w:rsidRPr="00AC77DF">
        <w:t>（</w:t>
      </w:r>
      <w:r w:rsidR="00CD5311">
        <w:rPr>
          <w:rFonts w:hint="eastAsia"/>
        </w:rPr>
        <w:t>4</w:t>
      </w:r>
      <w:r w:rsidRPr="00AC77DF">
        <w:t>）澎湖分院操艙技術人員第</w:t>
      </w:r>
      <w:r w:rsidRPr="00AC77DF">
        <w:t>3</w:t>
      </w:r>
      <w:r w:rsidRPr="00AC77DF">
        <w:t>員於</w:t>
      </w:r>
      <w:r w:rsidRPr="00AC77DF">
        <w:t>107</w:t>
      </w:r>
      <w:r w:rsidRPr="00AC77DF">
        <w:t>年</w:t>
      </w:r>
      <w:r w:rsidRPr="00AC77DF">
        <w:t>2</w:t>
      </w:r>
      <w:r w:rsidRPr="00AC77DF">
        <w:t>月</w:t>
      </w:r>
      <w:r w:rsidRPr="00AC77DF">
        <w:t>1</w:t>
      </w:r>
      <w:r w:rsidRPr="00AC77DF">
        <w:t>日派訓，下半年再派遣第</w:t>
      </w:r>
      <w:r w:rsidRPr="00AC77DF">
        <w:t>4</w:t>
      </w:r>
      <w:r w:rsidRPr="00AC77DF">
        <w:t>員參訓。</w:t>
      </w:r>
    </w:p>
    <w:p w:rsidR="003807A5" w:rsidRPr="00AC77DF" w:rsidRDefault="003807A5" w:rsidP="00425EE5">
      <w:pPr>
        <w:pStyle w:val="1----"/>
        <w:ind w:left="600" w:hanging="360"/>
      </w:pPr>
      <w:r w:rsidRPr="00AC77DF">
        <w:t>2</w:t>
      </w:r>
      <w:r w:rsidRPr="00AC77DF">
        <w:t>、國防部</w:t>
      </w:r>
    </w:p>
    <w:p w:rsidR="003807A5" w:rsidRPr="00AC77DF" w:rsidRDefault="003807A5" w:rsidP="003F6C5F">
      <w:pPr>
        <w:pStyle w:val="1--1"/>
        <w:ind w:left="1080" w:hanging="600"/>
      </w:pPr>
      <w:r w:rsidRPr="00AC77DF">
        <w:t>（</w:t>
      </w:r>
      <w:r w:rsidRPr="00AC77DF">
        <w:t>1</w:t>
      </w:r>
      <w:r w:rsidRPr="00AC77DF">
        <w:t>）麻醉護理員由</w:t>
      </w:r>
      <w:r w:rsidRPr="00AC77DF">
        <w:t>4</w:t>
      </w:r>
      <w:r w:rsidRPr="00AC77DF">
        <w:t>員增補至</w:t>
      </w:r>
      <w:r w:rsidRPr="00AC77DF">
        <w:t>5</w:t>
      </w:r>
      <w:r w:rsidRPr="00AC77DF">
        <w:t>員，開刀房護理員由</w:t>
      </w:r>
      <w:r w:rsidRPr="00AC77DF">
        <w:t>12</w:t>
      </w:r>
      <w:r w:rsidRPr="00AC77DF">
        <w:t>員增補至</w:t>
      </w:r>
      <w:r w:rsidRPr="00AC77DF">
        <w:t>18</w:t>
      </w:r>
      <w:r w:rsidRPr="00AC77DF">
        <w:t>員。</w:t>
      </w:r>
    </w:p>
    <w:p w:rsidR="003807A5" w:rsidRPr="00AC77DF" w:rsidRDefault="003807A5" w:rsidP="003F6C5F">
      <w:pPr>
        <w:pStyle w:val="1--1"/>
        <w:ind w:left="1080" w:hanging="600"/>
      </w:pPr>
      <w:r w:rsidRPr="00AC77DF">
        <w:t>（</w:t>
      </w:r>
      <w:r w:rsidRPr="00AC77DF">
        <w:t>2</w:t>
      </w:r>
      <w:r w:rsidRPr="00AC77DF">
        <w:t>）門診護理人員時薪由</w:t>
      </w:r>
      <w:r w:rsidRPr="00AC77DF">
        <w:t>148</w:t>
      </w:r>
      <w:r w:rsidRPr="00AC77DF">
        <w:t>元調升為</w:t>
      </w:r>
      <w:r w:rsidRPr="00AC77DF">
        <w:t>165</w:t>
      </w:r>
      <w:r w:rsidRPr="00AC77DF">
        <w:t>元。</w:t>
      </w:r>
    </w:p>
    <w:p w:rsidR="003807A5" w:rsidRPr="00AC77DF" w:rsidRDefault="003807A5" w:rsidP="003F6C5F">
      <w:pPr>
        <w:pStyle w:val="1--1"/>
        <w:ind w:left="1080" w:hanging="600"/>
      </w:pPr>
      <w:r w:rsidRPr="00AC77DF">
        <w:t>（</w:t>
      </w:r>
      <w:r w:rsidRPr="00AC77DF">
        <w:t>3</w:t>
      </w:r>
      <w:r w:rsidRPr="00AC77DF">
        <w:t>）自</w:t>
      </w:r>
      <w:r w:rsidRPr="00AC77DF">
        <w:t>106</w:t>
      </w:r>
      <w:r w:rsidRPr="00AC77DF">
        <w:t>年</w:t>
      </w:r>
      <w:r w:rsidRPr="00AC77DF">
        <w:t>4</w:t>
      </w:r>
      <w:r w:rsidRPr="00AC77DF">
        <w:t>月起比照三總層級支給澎湖分院護理人員護理證照津貼，一年三節各發放金額平均約增</w:t>
      </w:r>
      <w:r w:rsidRPr="00AC77DF">
        <w:t>6,000</w:t>
      </w:r>
      <w:r w:rsidRPr="00AC77DF">
        <w:lastRenderedPageBreak/>
        <w:t>元。</w:t>
      </w:r>
    </w:p>
    <w:p w:rsidR="003807A5" w:rsidRPr="00AC77DF" w:rsidRDefault="003807A5" w:rsidP="00425EE5">
      <w:pPr>
        <w:pStyle w:val="1----"/>
        <w:ind w:left="600" w:hanging="360"/>
      </w:pPr>
      <w:r w:rsidRPr="00AC77DF">
        <w:t>3</w:t>
      </w:r>
      <w:r w:rsidRPr="00AC77DF">
        <w:t>、澎湖縣政府：</w:t>
      </w:r>
      <w:r w:rsidRPr="00AC77DF">
        <w:t>107</w:t>
      </w:r>
      <w:r w:rsidRPr="00AC77DF">
        <w:t>年</w:t>
      </w:r>
      <w:r w:rsidRPr="00AC77DF">
        <w:t>1</w:t>
      </w:r>
      <w:r w:rsidRPr="00AC77DF">
        <w:t>月間對三總澎湖分院辦理</w:t>
      </w:r>
      <w:r w:rsidRPr="00AC77DF">
        <w:t>6</w:t>
      </w:r>
      <w:r w:rsidRPr="00AC77DF">
        <w:t>次勞動檢查。</w:t>
      </w:r>
    </w:p>
    <w:p w:rsidR="003807A5" w:rsidRPr="00AC77DF" w:rsidRDefault="003C2FF2" w:rsidP="00FA42B3">
      <w:pPr>
        <w:pStyle w:val="afff1"/>
        <w:spacing w:before="360" w:after="360"/>
      </w:pPr>
      <w:bookmarkStart w:id="437" w:name="_Toc529885033"/>
      <w:bookmarkStart w:id="438" w:name="_Toc529885326"/>
      <w:r>
        <w:rPr>
          <w:rFonts w:hint="eastAsia"/>
        </w:rPr>
        <w:t>(四)</w:t>
      </w:r>
      <w:r w:rsidR="003807A5" w:rsidRPr="00AC77DF">
        <w:t>案件進展</w:t>
      </w:r>
      <w:bookmarkEnd w:id="437"/>
      <w:bookmarkEnd w:id="438"/>
    </w:p>
    <w:p w:rsidR="003807A5" w:rsidRDefault="003807A5" w:rsidP="00B7222B">
      <w:pPr>
        <w:pStyle w:val="1---"/>
        <w:ind w:firstLine="480"/>
        <w:rPr>
          <w:lang w:eastAsia="zh-TW"/>
        </w:rPr>
      </w:pPr>
      <w:r w:rsidRPr="00AC77DF">
        <w:t>監察院仍持續列管追蹤</w:t>
      </w:r>
      <w:r w:rsidR="00BE2EB7" w:rsidRPr="00AC77DF">
        <w:t>本案</w:t>
      </w:r>
      <w:r w:rsidRPr="00AC77DF">
        <w:t>改善情形。</w:t>
      </w:r>
    </w:p>
    <w:p w:rsidR="003C2FF2" w:rsidRDefault="003C2FF2" w:rsidP="00B7222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3284"/>
      </w:tblGrid>
      <w:tr w:rsidR="003C2FF2" w:rsidTr="003F6C5F">
        <w:tc>
          <w:tcPr>
            <w:tcW w:w="3284" w:type="dxa"/>
            <w:shd w:val="clear" w:color="auto" w:fill="D9D9D9" w:themeFill="background1" w:themeFillShade="D9"/>
          </w:tcPr>
          <w:p w:rsidR="003C2FF2" w:rsidRDefault="003C2FF2" w:rsidP="003C2FF2">
            <w:pPr>
              <w:pStyle w:val="11-"/>
              <w:spacing w:before="72" w:after="108"/>
              <w:rPr>
                <w:b/>
                <w:lang w:eastAsia="zh-TW"/>
              </w:rPr>
            </w:pPr>
            <w:bookmarkStart w:id="439" w:name="_Toc529885342"/>
            <w:bookmarkStart w:id="440" w:name="_Toc535228388"/>
            <w:bookmarkStart w:id="441" w:name="_Toc4058799"/>
            <w:r w:rsidRPr="00AC77DF">
              <w:t>無預警停飛事件</w:t>
            </w:r>
            <w:r w:rsidRPr="00AC77DF">
              <w:rPr>
                <w:lang w:eastAsia="zh-HK"/>
              </w:rPr>
              <w:t>之處置</w:t>
            </w:r>
            <w:bookmarkEnd w:id="439"/>
            <w:bookmarkEnd w:id="440"/>
            <w:bookmarkEnd w:id="441"/>
          </w:p>
        </w:tc>
      </w:tr>
    </w:tbl>
    <w:p w:rsidR="003807A5" w:rsidRPr="00AC77DF" w:rsidRDefault="003807A5" w:rsidP="003C2FF2">
      <w:pPr>
        <w:pStyle w:val="1---"/>
        <w:ind w:firstLine="480"/>
      </w:pPr>
      <w:bookmarkStart w:id="442" w:name="_Toc529885327"/>
    </w:p>
    <w:tbl>
      <w:tblPr>
        <w:tblW w:w="477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4"/>
      </w:tblGrid>
      <w:tr w:rsidR="003807A5" w:rsidRPr="00AC77DF" w:rsidTr="00704997">
        <w:trPr>
          <w:trHeight w:val="804"/>
        </w:trPr>
        <w:tc>
          <w:tcPr>
            <w:tcW w:w="5000" w:type="pct"/>
            <w:shd w:val="clear" w:color="auto" w:fill="auto"/>
          </w:tcPr>
          <w:p w:rsidR="003807A5" w:rsidRPr="00AC77DF" w:rsidRDefault="003807A5" w:rsidP="003C2FF2">
            <w:pPr>
              <w:spacing w:line="360" w:lineRule="exact"/>
              <w:jc w:val="both"/>
              <w:rPr>
                <w:color w:val="000000"/>
                <w:szCs w:val="28"/>
                <w:lang w:val="x-none"/>
              </w:rPr>
            </w:pPr>
            <w:r w:rsidRPr="00AC77DF">
              <w:rPr>
                <w:b/>
                <w:color w:val="000000"/>
                <w:szCs w:val="28"/>
                <w:lang w:val="x-none"/>
              </w:rPr>
              <w:t>相關國際人權公約：</w:t>
            </w:r>
            <w:r w:rsidRPr="00AC77DF">
              <w:t>經濟社會文化權利國際公約第</w:t>
            </w:r>
            <w:r w:rsidRPr="00AC77DF">
              <w:t>1</w:t>
            </w:r>
            <w:r w:rsidRPr="00AC77DF">
              <w:t>條、第</w:t>
            </w:r>
            <w:r w:rsidRPr="00AC77DF">
              <w:t>6</w:t>
            </w:r>
            <w:r w:rsidRPr="00AC77DF">
              <w:t>條、第</w:t>
            </w:r>
            <w:r w:rsidRPr="00AC77DF">
              <w:t>7</w:t>
            </w:r>
            <w:r w:rsidRPr="00AC77DF">
              <w:t>條、第</w:t>
            </w:r>
            <w:r w:rsidRPr="00AC77DF">
              <w:t>11</w:t>
            </w:r>
            <w:r w:rsidRPr="00AC77DF">
              <w:t>條</w:t>
            </w:r>
          </w:p>
        </w:tc>
      </w:tr>
    </w:tbl>
    <w:p w:rsidR="003807A5" w:rsidRPr="00AC77DF" w:rsidRDefault="003C2FF2" w:rsidP="00FA42B3">
      <w:pPr>
        <w:pStyle w:val="afff1"/>
        <w:spacing w:before="360" w:after="360"/>
      </w:pPr>
      <w:bookmarkStart w:id="443" w:name="_Toc529885045"/>
      <w:bookmarkStart w:id="444" w:name="_Toc529885343"/>
      <w:r>
        <w:rPr>
          <w:rFonts w:hint="eastAsia"/>
        </w:rPr>
        <w:t>(一)</w:t>
      </w:r>
      <w:r w:rsidR="003807A5" w:rsidRPr="00AC77DF">
        <w:t>案情簡述</w:t>
      </w:r>
      <w:bookmarkEnd w:id="443"/>
      <w:bookmarkEnd w:id="444"/>
    </w:p>
    <w:p w:rsidR="003807A5" w:rsidRPr="00AC77DF" w:rsidRDefault="003807A5" w:rsidP="00B7222B">
      <w:pPr>
        <w:pStyle w:val="1---"/>
        <w:ind w:firstLine="480"/>
      </w:pPr>
      <w:r w:rsidRPr="00AC77DF">
        <w:t>復興航空（簡稱興航）無預警停飛事件，事涉航空運輸服務責任及後續航權處理，究係飛航主管機關未落實監督，抑或金融監理單位疏於查核財務，該等機關於事前預警及事後應變機制有無違失，均有深入瞭解之必要，案經監察院交通及採購委員會決議調查。</w:t>
      </w:r>
    </w:p>
    <w:p w:rsidR="003807A5" w:rsidRPr="00AC77DF" w:rsidRDefault="003C2FF2" w:rsidP="00704997">
      <w:pPr>
        <w:pStyle w:val="afff1"/>
        <w:spacing w:beforeLines="80" w:before="288" w:afterLines="80" w:after="288"/>
      </w:pPr>
      <w:bookmarkStart w:id="445" w:name="_Toc529885046"/>
      <w:bookmarkStart w:id="446" w:name="_Toc529885344"/>
      <w:r>
        <w:rPr>
          <w:rFonts w:hint="eastAsia"/>
        </w:rPr>
        <w:t>(二)</w:t>
      </w:r>
      <w:r w:rsidR="003807A5" w:rsidRPr="00AC77DF">
        <w:t>監察院調查發現與建議</w:t>
      </w:r>
      <w:bookmarkEnd w:id="445"/>
      <w:bookmarkEnd w:id="446"/>
    </w:p>
    <w:p w:rsidR="003807A5" w:rsidRPr="00AC77DF" w:rsidRDefault="00597483" w:rsidP="006B7CBE">
      <w:pPr>
        <w:pStyle w:val="1--13"/>
        <w:spacing w:before="180" w:after="180"/>
      </w:pPr>
      <w:r w:rsidRPr="008E1832">
        <w:rPr>
          <w:rFonts w:hint="eastAsia"/>
        </w:rPr>
        <w:t>˙</w:t>
      </w:r>
      <w:r w:rsidR="003807A5" w:rsidRPr="00AC77DF">
        <w:t>無預警停航影響旅客權益</w:t>
      </w:r>
    </w:p>
    <w:p w:rsidR="003807A5" w:rsidRPr="00AC77DF" w:rsidRDefault="003807A5" w:rsidP="00B7222B">
      <w:pPr>
        <w:pStyle w:val="1---"/>
        <w:ind w:firstLine="480"/>
        <w:rPr>
          <w:lang w:eastAsia="zh-TW"/>
        </w:rPr>
      </w:pPr>
      <w:r w:rsidRPr="00AC77DF">
        <w:lastRenderedPageBreak/>
        <w:t>交通部民用航空局（簡稱民航局）對興航未落實公司自我督察機制，致接連於</w:t>
      </w:r>
      <w:r w:rsidRPr="00AC77DF">
        <w:t>103</w:t>
      </w:r>
      <w:r w:rsidRPr="00AC77DF">
        <w:t>年</w:t>
      </w:r>
      <w:r w:rsidRPr="00AC77DF">
        <w:t>7</w:t>
      </w:r>
      <w:r w:rsidRPr="00AC77DF">
        <w:t>月及</w:t>
      </w:r>
      <w:r w:rsidRPr="00AC77DF">
        <w:t>104</w:t>
      </w:r>
      <w:r w:rsidRPr="00AC77DF">
        <w:t>年</w:t>
      </w:r>
      <w:r w:rsidRPr="00AC77DF">
        <w:t>2</w:t>
      </w:r>
      <w:r w:rsidRPr="00AC77DF">
        <w:t>月發生兩起重大事故，前經監察院基於監督不周而糾正在案。嗣興航雖導入國際飛安基金會的飛安管理系統，惟其財務報表於</w:t>
      </w:r>
      <w:r w:rsidRPr="00AC77DF">
        <w:t>104</w:t>
      </w:r>
      <w:r w:rsidRPr="00AC77DF">
        <w:t>年首度出現虧損後業績仍持續惡化，期間雖完成增資</w:t>
      </w:r>
      <w:r w:rsidRPr="00AC77DF">
        <w:t>10</w:t>
      </w:r>
      <w:r w:rsidRPr="00AC77DF">
        <w:t>億元，並將累積虧損逾</w:t>
      </w:r>
      <w:r w:rsidRPr="00AC77DF">
        <w:t>11</w:t>
      </w:r>
      <w:r w:rsidRPr="00AC77DF">
        <w:t>億元之子公司威航停業，然而影響航空公司營運之最主要關鍵乃飛航安全，兩次事故造成民眾搭乘意願低落，以致興航</w:t>
      </w:r>
      <w:r w:rsidRPr="00AC77DF">
        <w:t>105</w:t>
      </w:r>
      <w:r w:rsidRPr="00AC77DF">
        <w:t>年第三季止累計虧損已逾</w:t>
      </w:r>
      <w:r w:rsidRPr="00AC77DF">
        <w:t>22</w:t>
      </w:r>
      <w:r w:rsidRPr="00AC77DF">
        <w:t>億元，營運難以為繼。縱使民航局已啟動</w:t>
      </w:r>
      <w:r w:rsidRPr="00AC77DF">
        <w:t>4</w:t>
      </w:r>
      <w:r w:rsidRPr="00AC77DF">
        <w:t>次財務檢查，惟未能警覺興航可能因持續虧損且對未來之預期不樂觀，</w:t>
      </w:r>
      <w:r w:rsidR="00B60D42">
        <w:rPr>
          <w:rFonts w:hint="eastAsia"/>
        </w:rPr>
        <w:t>而恐發生</w:t>
      </w:r>
      <w:r w:rsidRPr="00AC77DF">
        <w:t>停航</w:t>
      </w:r>
      <w:r w:rsidR="00B60D42">
        <w:rPr>
          <w:rFonts w:hint="eastAsia"/>
        </w:rPr>
        <w:t>情事。又民航局對興航</w:t>
      </w:r>
      <w:r w:rsidRPr="00327CC4">
        <w:rPr>
          <w:spacing w:val="-2"/>
        </w:rPr>
        <w:t>自行決定全面停航等違規事件一籌莫展，</w:t>
      </w:r>
      <w:r w:rsidR="00B60D42" w:rsidRPr="00327CC4">
        <w:rPr>
          <w:rFonts w:hint="eastAsia"/>
          <w:spacing w:val="-2"/>
        </w:rPr>
        <w:t>已嚴重</w:t>
      </w:r>
      <w:r w:rsidRPr="00327CC4">
        <w:rPr>
          <w:spacing w:val="-2"/>
        </w:rPr>
        <w:t>影響旅客權益。</w:t>
      </w:r>
    </w:p>
    <w:p w:rsidR="003807A5" w:rsidRPr="00AC77DF" w:rsidRDefault="00597483" w:rsidP="006B7CBE">
      <w:pPr>
        <w:pStyle w:val="1--13"/>
        <w:spacing w:before="180" w:after="180"/>
      </w:pPr>
      <w:r w:rsidRPr="008E1832">
        <w:rPr>
          <w:rFonts w:hint="eastAsia"/>
        </w:rPr>
        <w:t>˙</w:t>
      </w:r>
      <w:r w:rsidR="003807A5" w:rsidRPr="00AC77DF">
        <w:t>無法約束航空公司決策人員</w:t>
      </w:r>
    </w:p>
    <w:p w:rsidR="003807A5" w:rsidRPr="00AC77DF" w:rsidRDefault="003807A5" w:rsidP="00B7222B">
      <w:pPr>
        <w:pStyle w:val="1---"/>
        <w:ind w:firstLine="480"/>
      </w:pPr>
      <w:r w:rsidRPr="00AC77DF">
        <w:t>民航局特許之民用航空運輸業，是在獲得的航權基礎上經營航線事業，惟現行民航法僅就公司違規事項定有罰鍰及廢止許可之規範，對於公司負責人等決策人員，竟無追究違失責任等相關規定，致其得恣意閒置航權，破壞民航制度，並損及公共利益。</w:t>
      </w:r>
    </w:p>
    <w:p w:rsidR="003807A5" w:rsidRPr="00AC77DF" w:rsidRDefault="003807A5" w:rsidP="00B7222B">
      <w:pPr>
        <w:pStyle w:val="1---"/>
        <w:ind w:firstLine="480"/>
        <w:rPr>
          <w:lang w:eastAsia="zh-TW"/>
        </w:rPr>
      </w:pPr>
      <w:r w:rsidRPr="0025002C">
        <w:rPr>
          <w:rFonts w:hint="eastAsia"/>
        </w:rPr>
        <w:t>金融監督管理委員會（簡稱金管會）</w:t>
      </w:r>
      <w:r w:rsidRPr="00AC77DF">
        <w:t>雖已就本案進行檢討並提出若干改進作為，惟仍有不足之處，宜持續檢討法令並精進改善作為，尤其是對於不遵守相關法令且情節重大者，主管機關應具備及時導正之工具，始能避免類似案件再次發生。</w:t>
      </w:r>
    </w:p>
    <w:p w:rsidR="003807A5" w:rsidRPr="00AC77DF" w:rsidRDefault="00597483" w:rsidP="006B7CBE">
      <w:pPr>
        <w:pStyle w:val="1--13"/>
        <w:spacing w:before="180" w:after="180"/>
      </w:pPr>
      <w:r w:rsidRPr="008E1832">
        <w:rPr>
          <w:rFonts w:hint="eastAsia"/>
        </w:rPr>
        <w:t>˙</w:t>
      </w:r>
      <w:r w:rsidR="003807A5" w:rsidRPr="00AC77DF">
        <w:t>檢討法制保障突發事件之勞工</w:t>
      </w:r>
    </w:p>
    <w:p w:rsidR="003807A5" w:rsidRPr="00AC77DF" w:rsidRDefault="003807A5" w:rsidP="00B7222B">
      <w:pPr>
        <w:pStyle w:val="1---"/>
        <w:ind w:firstLine="480"/>
      </w:pPr>
      <w:r w:rsidRPr="00AC77DF">
        <w:t>本案興航大量解僱勞工案件，進入強制協商程序，臺北市</w:t>
      </w:r>
      <w:r w:rsidRPr="00AC77DF">
        <w:lastRenderedPageBreak/>
        <w:t>政府勞動局積極處理本案，歷經</w:t>
      </w:r>
      <w:r w:rsidRPr="00AC77DF">
        <w:t>8</w:t>
      </w:r>
      <w:r w:rsidRPr="00AC77DF">
        <w:t>次強制協商會議，勞資雙方始達成協議。該局據以提出法規解釋面及行政面窒礙之處，尤其相關法令無預警之功能，且欠缺有效嚇阻工具等。勞動部宜參考該局處理本案所提意見，適時檢討法令及相關機制，以保障失業勞工。</w:t>
      </w:r>
    </w:p>
    <w:p w:rsidR="003807A5" w:rsidRPr="00AC77DF" w:rsidRDefault="003807A5" w:rsidP="00B7222B">
      <w:pPr>
        <w:pStyle w:val="1---"/>
        <w:ind w:firstLine="480"/>
      </w:pPr>
      <w:r w:rsidRPr="00AC77DF">
        <w:t>依據本案調查意見</w:t>
      </w:r>
      <w:r w:rsidRPr="00AC77DF">
        <w:rPr>
          <w:rStyle w:val="aff2"/>
        </w:rPr>
        <w:footnoteReference w:id="106"/>
      </w:r>
      <w:r w:rsidRPr="00AC77DF">
        <w:t>，監察院糾正民航局，並函請金管會及勞動部確實檢討改進見復。</w:t>
      </w:r>
    </w:p>
    <w:p w:rsidR="003807A5" w:rsidRPr="00AC77DF" w:rsidRDefault="003C2FF2" w:rsidP="00FA42B3">
      <w:pPr>
        <w:pStyle w:val="afff1"/>
        <w:spacing w:before="360" w:after="360"/>
      </w:pPr>
      <w:bookmarkStart w:id="447" w:name="_Toc529885047"/>
      <w:bookmarkStart w:id="448" w:name="_Toc529885345"/>
      <w:r>
        <w:rPr>
          <w:rFonts w:hint="eastAsia"/>
        </w:rPr>
        <w:t>(三)</w:t>
      </w:r>
      <w:r w:rsidR="003807A5" w:rsidRPr="00AC77DF">
        <w:t>政府機關改善情形</w:t>
      </w:r>
      <w:bookmarkEnd w:id="447"/>
      <w:bookmarkEnd w:id="448"/>
    </w:p>
    <w:p w:rsidR="003807A5" w:rsidRPr="00AC77DF" w:rsidRDefault="003807A5" w:rsidP="00425EE5">
      <w:pPr>
        <w:pStyle w:val="1----"/>
        <w:ind w:left="600" w:hanging="360"/>
      </w:pPr>
      <w:r w:rsidRPr="00AC77DF">
        <w:t>1</w:t>
      </w:r>
      <w:r w:rsidRPr="00AC77DF">
        <w:t>、修正民用航空法第</w:t>
      </w:r>
      <w:r w:rsidRPr="00AC77DF">
        <w:t>48</w:t>
      </w:r>
      <w:r w:rsidRPr="00AC77DF">
        <w:t>條第</w:t>
      </w:r>
      <w:r w:rsidRPr="00AC77DF">
        <w:t>3</w:t>
      </w:r>
      <w:r w:rsidRPr="00AC77DF">
        <w:t>項，增訂民用航空運輸業停業或結束營業應遵守之事前申報程序，要求民用航空運輸業停業或結束營業前，應將停業或結束營業計畫報請民航局核轉交通部核准，並於該部核准</w:t>
      </w:r>
      <w:r w:rsidRPr="00AC77DF">
        <w:t>60</w:t>
      </w:r>
      <w:r w:rsidRPr="00AC77DF">
        <w:t>日後始得停業或結束營業。另修正民用航空法第</w:t>
      </w:r>
      <w:r w:rsidRPr="00AC77DF">
        <w:t>112</w:t>
      </w:r>
      <w:r w:rsidRPr="00AC77DF">
        <w:t>條第</w:t>
      </w:r>
      <w:r w:rsidRPr="00AC77DF">
        <w:t>4</w:t>
      </w:r>
      <w:r w:rsidRPr="00AC77DF">
        <w:t>項及第</w:t>
      </w:r>
      <w:r w:rsidRPr="00AC77DF">
        <w:t>5</w:t>
      </w:r>
      <w:r w:rsidRPr="00AC77DF">
        <w:t>項，規定民用航空運輸業未經該部核准即停業或結束營業、或未依核准停業或結束營業計畫執行，公司及其負責人將分別處以</w:t>
      </w:r>
      <w:r w:rsidRPr="00AC77DF">
        <w:t>60</w:t>
      </w:r>
      <w:r w:rsidRPr="00AC77DF">
        <w:t>萬元以上</w:t>
      </w:r>
      <w:r w:rsidRPr="00AC77DF">
        <w:t>3</w:t>
      </w:r>
      <w:r w:rsidRPr="00AC77DF">
        <w:t>百萬元以下，以及</w:t>
      </w:r>
      <w:r w:rsidRPr="00AC77DF">
        <w:t>60</w:t>
      </w:r>
      <w:r w:rsidRPr="00AC77DF">
        <w:t>萬元以上</w:t>
      </w:r>
      <w:r w:rsidRPr="00AC77DF">
        <w:t>1,200</w:t>
      </w:r>
      <w:r w:rsidRPr="00AC77DF">
        <w:t>萬元以下罰金。增訂民用航空法第</w:t>
      </w:r>
      <w:r w:rsidRPr="00AC77DF">
        <w:t>110</w:t>
      </w:r>
      <w:r w:rsidRPr="00AC77DF">
        <w:t>條之</w:t>
      </w:r>
      <w:r w:rsidRPr="00AC77DF">
        <w:t>3</w:t>
      </w:r>
      <w:r w:rsidRPr="00AC77DF">
        <w:t>，規定如致生損害於公眾或他人且情節重大時，執行業務之負責人將處以</w:t>
      </w:r>
      <w:r w:rsidRPr="00AC77DF">
        <w:t>3</w:t>
      </w:r>
      <w:r w:rsidRPr="00AC77DF">
        <w:t>年以下有期徒刑或科或併科</w:t>
      </w:r>
      <w:r w:rsidRPr="00AC77DF">
        <w:t>2</w:t>
      </w:r>
      <w:r w:rsidRPr="00AC77DF">
        <w:t>千萬元以上</w:t>
      </w:r>
      <w:r w:rsidRPr="00AC77DF">
        <w:t>2</w:t>
      </w:r>
      <w:r w:rsidRPr="00AC77DF">
        <w:t>億元以下罰金。</w:t>
      </w:r>
    </w:p>
    <w:p w:rsidR="003807A5" w:rsidRPr="00AC77DF" w:rsidRDefault="003807A5" w:rsidP="00425EE5">
      <w:pPr>
        <w:pStyle w:val="1----"/>
        <w:ind w:left="600" w:hanging="360"/>
      </w:pPr>
      <w:r w:rsidRPr="00AC77DF">
        <w:t>2</w:t>
      </w:r>
      <w:r w:rsidRPr="00AC77DF">
        <w:t>、為使資訊充分揭露，民航局自</w:t>
      </w:r>
      <w:r w:rsidRPr="00AC77DF">
        <w:t>106</w:t>
      </w:r>
      <w:r w:rsidRPr="00AC77DF">
        <w:t>年</w:t>
      </w:r>
      <w:r w:rsidRPr="00AC77DF">
        <w:t>6</w:t>
      </w:r>
      <w:r w:rsidRPr="00AC77DF">
        <w:t>月起按季揭露國籍</w:t>
      </w:r>
      <w:r w:rsidRPr="00AC77DF">
        <w:lastRenderedPageBreak/>
        <w:t>航空公司之營業收入、稅後淨利及累積盈餘等營運概況相關資訊。另對於民用航空運輸業未改善財務缺失之行政裁處時，同時副知相關部會。</w:t>
      </w:r>
    </w:p>
    <w:p w:rsidR="003807A5" w:rsidRPr="00AC77DF" w:rsidRDefault="003807A5" w:rsidP="00425EE5">
      <w:pPr>
        <w:pStyle w:val="1----"/>
        <w:ind w:left="600" w:hanging="360"/>
      </w:pPr>
      <w:r w:rsidRPr="00AC77DF">
        <w:t>3</w:t>
      </w:r>
      <w:r w:rsidRPr="00AC77DF">
        <w:t>、金管會針對上市（櫃）公司不依規定召開記者會、重大訊息之公布延宕或前後不一，且情節重大者，若其涉有虛偽或隱匿等不法情事時，將依證券交易法第</w:t>
      </w:r>
      <w:r w:rsidRPr="00AC77DF">
        <w:t>20</w:t>
      </w:r>
      <w:r w:rsidRPr="00AC77DF">
        <w:t>條第</w:t>
      </w:r>
      <w:r w:rsidRPr="00AC77DF">
        <w:t>2</w:t>
      </w:r>
      <w:r w:rsidRPr="00AC77DF">
        <w:t>項、第</w:t>
      </w:r>
      <w:r w:rsidRPr="00AC77DF">
        <w:t>171</w:t>
      </w:r>
      <w:r w:rsidRPr="00AC77DF">
        <w:t>條第</w:t>
      </w:r>
      <w:r w:rsidRPr="00AC77DF">
        <w:t>1</w:t>
      </w:r>
      <w:r w:rsidRPr="00AC77DF">
        <w:t>項第</w:t>
      </w:r>
      <w:r w:rsidRPr="00AC77DF">
        <w:t>1</w:t>
      </w:r>
      <w:r w:rsidRPr="00AC77DF">
        <w:t>款規定移送檢調單位偵辦。該會另就本案預警機制缺失研提</w:t>
      </w:r>
      <w:r w:rsidRPr="00790801">
        <w:rPr>
          <w:spacing w:val="-28"/>
        </w:rPr>
        <w:t>：</w:t>
      </w:r>
      <w:r w:rsidRPr="00AC77DF">
        <w:t>（</w:t>
      </w:r>
      <w:r w:rsidRPr="00AC77DF">
        <w:t>1</w:t>
      </w:r>
      <w:r w:rsidRPr="00AC77DF">
        <w:t>）</w:t>
      </w:r>
      <w:r w:rsidR="00455AA2">
        <w:rPr>
          <w:rFonts w:hint="eastAsia"/>
        </w:rPr>
        <w:t>臺灣</w:t>
      </w:r>
      <w:r w:rsidRPr="00AC77DF">
        <w:t>證</w:t>
      </w:r>
      <w:r w:rsidR="00455AA2">
        <w:rPr>
          <w:rFonts w:hint="eastAsia"/>
        </w:rPr>
        <w:t>券</w:t>
      </w:r>
      <w:r w:rsidRPr="00AC77DF">
        <w:t>交</w:t>
      </w:r>
      <w:r w:rsidR="00455AA2">
        <w:rPr>
          <w:rFonts w:hint="eastAsia"/>
        </w:rPr>
        <w:t>易</w:t>
      </w:r>
      <w:r w:rsidRPr="00AC77DF">
        <w:t>所及</w:t>
      </w:r>
      <w:r w:rsidR="00455AA2">
        <w:rPr>
          <w:rFonts w:hint="eastAsia"/>
        </w:rPr>
        <w:t>證券</w:t>
      </w:r>
      <w:r w:rsidRPr="00AC77DF">
        <w:t>櫃買</w:t>
      </w:r>
      <w:r w:rsidR="00455AA2">
        <w:rPr>
          <w:rFonts w:hint="eastAsia"/>
        </w:rPr>
        <w:t>買賣</w:t>
      </w:r>
      <w:r w:rsidRPr="00AC77DF">
        <w:t>中心主動對外公告，提醒投資人注意</w:t>
      </w:r>
      <w:r w:rsidRPr="00790801">
        <w:rPr>
          <w:spacing w:val="-28"/>
        </w:rPr>
        <w:t>。</w:t>
      </w:r>
      <w:r w:rsidRPr="00AC77DF">
        <w:t>（</w:t>
      </w:r>
      <w:r w:rsidRPr="00AC77DF">
        <w:t>2</w:t>
      </w:r>
      <w:r w:rsidRPr="00AC77DF">
        <w:t>）強化推動財務重點專區等改善措施。</w:t>
      </w:r>
    </w:p>
    <w:p w:rsidR="003807A5" w:rsidRPr="00AC77DF" w:rsidRDefault="003807A5" w:rsidP="00425EE5">
      <w:pPr>
        <w:pStyle w:val="1----"/>
        <w:ind w:left="600" w:hanging="360"/>
      </w:pPr>
      <w:r w:rsidRPr="00AC77DF">
        <w:t>4</w:t>
      </w:r>
      <w:r w:rsidRPr="00AC77DF">
        <w:t>、勞動部相關策進作為</w:t>
      </w:r>
      <w:r w:rsidRPr="00790801">
        <w:rPr>
          <w:spacing w:val="-28"/>
        </w:rPr>
        <w:t>：</w:t>
      </w:r>
      <w:r w:rsidRPr="00AC77DF">
        <w:t>（</w:t>
      </w:r>
      <w:r w:rsidRPr="00AC77DF">
        <w:t>1</w:t>
      </w:r>
      <w:r w:rsidRPr="00AC77DF">
        <w:t>）</w:t>
      </w:r>
      <w:r w:rsidR="00682D9C">
        <w:rPr>
          <w:rFonts w:hint="eastAsia"/>
        </w:rPr>
        <w:t>為</w:t>
      </w:r>
      <w:r w:rsidRPr="00AC77DF">
        <w:t>強化預警通報查訪機制</w:t>
      </w:r>
      <w:r w:rsidR="00682D9C">
        <w:t>，</w:t>
      </w:r>
      <w:r w:rsidR="00682D9C" w:rsidRPr="00AC77DF">
        <w:t>勾選</w:t>
      </w:r>
      <w:r w:rsidRPr="00AC77DF">
        <w:t>「公開資訊觀測站」</w:t>
      </w:r>
      <w:r w:rsidRPr="00AC77DF">
        <w:t>15</w:t>
      </w:r>
      <w:r w:rsidRPr="00AC77DF">
        <w:t>項</w:t>
      </w:r>
      <w:r w:rsidR="00682D9C" w:rsidRPr="00AC77DF">
        <w:t>重大訊息</w:t>
      </w:r>
      <w:r w:rsidRPr="00AC77DF">
        <w:t>，列為地方主管機關評估是否須查訪事業單位之參考指標，並於</w:t>
      </w:r>
      <w:r w:rsidRPr="00AC77DF">
        <w:t>106</w:t>
      </w:r>
      <w:r w:rsidRPr="00AC77DF">
        <w:t>年</w:t>
      </w:r>
      <w:r w:rsidRPr="00AC77DF">
        <w:t>1</w:t>
      </w:r>
      <w:r w:rsidRPr="00AC77DF">
        <w:t>月建置「大量解僱預警情事重要系統</w:t>
      </w:r>
      <w:r w:rsidRPr="00790801">
        <w:rPr>
          <w:spacing w:val="-28"/>
        </w:rPr>
        <w:t>」</w:t>
      </w:r>
      <w:r w:rsidRPr="00AC77DF">
        <w:t>。該部已將地方主管機關是否確實執行入廠查訪事宜，納入「地方政府勞動行政業務督導考核與獎勵計畫」之考核項目中</w:t>
      </w:r>
      <w:r w:rsidRPr="00790801">
        <w:rPr>
          <w:spacing w:val="-28"/>
        </w:rPr>
        <w:t>。</w:t>
      </w:r>
      <w:r w:rsidRPr="00AC77DF">
        <w:t>（</w:t>
      </w:r>
      <w:r w:rsidRPr="00AC77DF">
        <w:t>2</w:t>
      </w:r>
      <w:r w:rsidRPr="00AC77DF">
        <w:t>）研商大量解僱勞工保護法實務運作及相關法制，包括強化大量解僱計畫書內容、落實勞資自治協商及保障協商期間之勞工權益。</w:t>
      </w:r>
    </w:p>
    <w:p w:rsidR="003807A5" w:rsidRPr="00AC77DF" w:rsidRDefault="003C2FF2" w:rsidP="00FA42B3">
      <w:pPr>
        <w:pStyle w:val="afff1"/>
        <w:spacing w:before="360" w:after="360"/>
      </w:pPr>
      <w:bookmarkStart w:id="449" w:name="_Toc529885048"/>
      <w:bookmarkStart w:id="450" w:name="_Toc529885346"/>
      <w:r>
        <w:rPr>
          <w:rFonts w:hint="eastAsia"/>
        </w:rPr>
        <w:t>(四)</w:t>
      </w:r>
      <w:r w:rsidR="003807A5" w:rsidRPr="00AC77DF">
        <w:t>案件進展</w:t>
      </w:r>
      <w:bookmarkEnd w:id="449"/>
      <w:bookmarkEnd w:id="450"/>
    </w:p>
    <w:p w:rsidR="00704997" w:rsidRDefault="003807A5" w:rsidP="00B7222B">
      <w:pPr>
        <w:pStyle w:val="1---"/>
        <w:ind w:firstLine="480"/>
        <w:rPr>
          <w:lang w:eastAsia="zh-TW"/>
        </w:rPr>
      </w:pPr>
      <w:r w:rsidRPr="00AC77DF">
        <w:t>監察院仍持續列管追蹤本案改善情形，促請相關權責機關完成財務監理制度檢討作業，以保障搭機民眾財產及大量遭解僱勞工合法權益。</w:t>
      </w:r>
    </w:p>
    <w:tbl>
      <w:tblPr>
        <w:tblStyle w:val="aff5"/>
        <w:tblW w:w="0" w:type="auto"/>
        <w:tblInd w:w="113" w:type="dxa"/>
        <w:shd w:val="clear" w:color="auto" w:fill="D9D9D9" w:themeFill="background1" w:themeFillShade="D9"/>
        <w:tblLook w:val="04A0" w:firstRow="1" w:lastRow="0" w:firstColumn="1" w:lastColumn="0" w:noHBand="0" w:noVBand="1"/>
      </w:tblPr>
      <w:tblGrid>
        <w:gridCol w:w="3567"/>
      </w:tblGrid>
      <w:tr w:rsidR="003C2FF2" w:rsidTr="00790801">
        <w:tc>
          <w:tcPr>
            <w:tcW w:w="3567" w:type="dxa"/>
            <w:shd w:val="clear" w:color="auto" w:fill="D9D9D9" w:themeFill="background1" w:themeFillShade="D9"/>
          </w:tcPr>
          <w:p w:rsidR="003C2FF2" w:rsidRDefault="003C2FF2" w:rsidP="003C2FF2">
            <w:pPr>
              <w:pStyle w:val="11-"/>
              <w:spacing w:before="72" w:after="108"/>
              <w:rPr>
                <w:b/>
                <w:lang w:eastAsia="zh-TW"/>
              </w:rPr>
            </w:pPr>
            <w:bookmarkStart w:id="451" w:name="_Toc535228389"/>
            <w:bookmarkStart w:id="452" w:name="_Toc4058800"/>
            <w:r w:rsidRPr="00AC77DF">
              <w:lastRenderedPageBreak/>
              <w:t>教師不續聘事件衍生爭議</w:t>
            </w:r>
            <w:bookmarkEnd w:id="451"/>
            <w:bookmarkEnd w:id="452"/>
          </w:p>
        </w:tc>
      </w:tr>
    </w:tbl>
    <w:p w:rsidR="003807A5" w:rsidRPr="00AC77DF" w:rsidRDefault="003C2FF2" w:rsidP="00704997">
      <w:pPr>
        <w:pStyle w:val="afff1"/>
        <w:spacing w:beforeLines="150" w:before="540" w:after="360"/>
      </w:pPr>
      <w:bookmarkStart w:id="453" w:name="_Toc529885020"/>
      <w:bookmarkStart w:id="454" w:name="_Toc529885328"/>
      <w:bookmarkEnd w:id="442"/>
      <w:r>
        <w:rPr>
          <w:rFonts w:hint="eastAsia"/>
        </w:rPr>
        <w:t>(一)</w:t>
      </w:r>
      <w:r w:rsidR="003807A5" w:rsidRPr="00AC77DF">
        <w:t>案情簡述</w:t>
      </w:r>
      <w:bookmarkEnd w:id="453"/>
      <w:bookmarkEnd w:id="454"/>
    </w:p>
    <w:p w:rsidR="003807A5" w:rsidRPr="00AC77DF" w:rsidRDefault="003807A5" w:rsidP="00B7222B">
      <w:pPr>
        <w:pStyle w:val="1---"/>
        <w:ind w:firstLine="480"/>
        <w:rPr>
          <w:b/>
        </w:rPr>
      </w:pPr>
      <w:r w:rsidRPr="00AC77DF">
        <w:t>據陳訴人表示，其未於規定期限內升等，遭某國立科技大學不予續聘，雖經教育部訴願決定不續聘處分撤銷，然該校認為依據大學法第</w:t>
      </w:r>
      <w:r w:rsidRPr="00AC77DF">
        <w:t>19</w:t>
      </w:r>
      <w:r w:rsidRPr="00AC77DF">
        <w:t>條規定，該校得基於學術研究發展需要另</w:t>
      </w:r>
      <w:r w:rsidR="00704997">
        <w:rPr>
          <w:rFonts w:hint="eastAsia"/>
          <w:lang w:eastAsia="zh-TW"/>
        </w:rPr>
        <w:t>訂</w:t>
      </w:r>
      <w:r w:rsidRPr="00AC77DF">
        <w:t>教師權利義務規定。該校於學校章則列有教師權利義務，該師未符相關規定。究大學法第</w:t>
      </w:r>
      <w:r w:rsidRPr="00AC77DF">
        <w:t>19</w:t>
      </w:r>
      <w:r w:rsidRPr="00AC77DF">
        <w:t>條與教師法第</w:t>
      </w:r>
      <w:r w:rsidRPr="00AC77DF">
        <w:t>14</w:t>
      </w:r>
      <w:r w:rsidRPr="00AC77DF">
        <w:t>條之法律關係為何？監察委員認有深入瞭解之必要，而立案調查。</w:t>
      </w:r>
    </w:p>
    <w:p w:rsidR="003807A5" w:rsidRPr="00AC77DF" w:rsidRDefault="003C2FF2" w:rsidP="00FA42B3">
      <w:pPr>
        <w:pStyle w:val="afff1"/>
        <w:spacing w:before="360" w:after="360"/>
      </w:pPr>
      <w:bookmarkStart w:id="455" w:name="_Toc529885021"/>
      <w:bookmarkStart w:id="456" w:name="_Toc529885329"/>
      <w:r>
        <w:rPr>
          <w:rFonts w:hint="eastAsia"/>
        </w:rPr>
        <w:t>(二)</w:t>
      </w:r>
      <w:r w:rsidR="003807A5" w:rsidRPr="00AC77DF">
        <w:t>監察院調查發現與建議</w:t>
      </w:r>
      <w:bookmarkEnd w:id="455"/>
      <w:bookmarkEnd w:id="456"/>
    </w:p>
    <w:p w:rsidR="003807A5" w:rsidRPr="00AC77DF" w:rsidRDefault="00597483" w:rsidP="006B7CBE">
      <w:pPr>
        <w:pStyle w:val="1--13"/>
        <w:spacing w:before="180" w:after="180"/>
      </w:pPr>
      <w:r w:rsidRPr="008E1832">
        <w:rPr>
          <w:rFonts w:hint="eastAsia"/>
        </w:rPr>
        <w:t>˙</w:t>
      </w:r>
      <w:r w:rsidR="003807A5" w:rsidRPr="00AC77DF">
        <w:t>大學法與教師法之競合</w:t>
      </w:r>
    </w:p>
    <w:p w:rsidR="003807A5" w:rsidRPr="00AC77DF" w:rsidRDefault="003807A5" w:rsidP="00B7222B">
      <w:pPr>
        <w:pStyle w:val="1---"/>
        <w:ind w:firstLine="480"/>
      </w:pPr>
      <w:r w:rsidRPr="00AC77DF">
        <w:t>大學法第</w:t>
      </w:r>
      <w:r w:rsidRPr="00AC77DF">
        <w:t>19</w:t>
      </w:r>
      <w:r w:rsidRPr="00AC77DF">
        <w:t>條與教師法第</w:t>
      </w:r>
      <w:r w:rsidRPr="00AC77DF">
        <w:t>14</w:t>
      </w:r>
      <w:r w:rsidRPr="00AC77DF">
        <w:t>條第</w:t>
      </w:r>
      <w:r w:rsidRPr="00AC77DF">
        <w:t>1</w:t>
      </w:r>
      <w:r w:rsidRPr="00AC77DF">
        <w:t>項第</w:t>
      </w:r>
      <w:r w:rsidRPr="00AC77DF">
        <w:t>14</w:t>
      </w:r>
      <w:r w:rsidRPr="00AC77DF">
        <w:t>款及第</w:t>
      </w:r>
      <w:r w:rsidRPr="00AC77DF">
        <w:t>14</w:t>
      </w:r>
      <w:r w:rsidRPr="00AC77DF">
        <w:t>條之</w:t>
      </w:r>
      <w:r w:rsidRPr="00AC77DF">
        <w:t>1</w:t>
      </w:r>
      <w:r w:rsidRPr="00AC77DF">
        <w:t>規定間之法條競合爭議，教育部雖已多次召集相關會議研商解決之道，惟仍乏積極之具體因應作為與配套措施，以協助大學處理停聘或不續聘個案之法條適用問題。</w:t>
      </w:r>
    </w:p>
    <w:p w:rsidR="003807A5" w:rsidRPr="00AC77DF" w:rsidRDefault="003807A5" w:rsidP="00B7222B">
      <w:pPr>
        <w:pStyle w:val="1---"/>
        <w:ind w:firstLine="480"/>
        <w:rPr>
          <w:lang w:eastAsia="zh-TW"/>
        </w:rPr>
      </w:pPr>
      <w:r w:rsidRPr="00AC77DF">
        <w:t>大學法第</w:t>
      </w:r>
      <w:r w:rsidRPr="00AC77DF">
        <w:t>19</w:t>
      </w:r>
      <w:r w:rsidRPr="00AC77DF">
        <w:t>條規定施行迄今已</w:t>
      </w:r>
      <w:r w:rsidR="003F35F4">
        <w:rPr>
          <w:rFonts w:hint="eastAsia"/>
        </w:rPr>
        <w:t>十</w:t>
      </w:r>
      <w:r w:rsidRPr="00AC77DF">
        <w:t>餘年，目前全國雖有</w:t>
      </w:r>
      <w:r w:rsidRPr="00AC77DF">
        <w:t>107</w:t>
      </w:r>
      <w:r w:rsidRPr="00AC77DF">
        <w:t>所大專校院依此條文訂有教師限期升等相關規定，惟部分學校未予落實。近年出現學校陸續廢止限期升等制度，教育部應正視學校實務運作情形；況教育部處理本件國立科技大學不續聘案程序混亂，於法律或準則性規定完成修正前，仍應儘速檢討</w:t>
      </w:r>
      <w:r w:rsidRPr="00AC77DF">
        <w:lastRenderedPageBreak/>
        <w:t>改善現行配套措施，以符合該條之立法意旨並加以落實。</w:t>
      </w:r>
    </w:p>
    <w:p w:rsidR="003807A5" w:rsidRPr="00AC77DF" w:rsidRDefault="00597483" w:rsidP="006B7CBE">
      <w:pPr>
        <w:pStyle w:val="1--13"/>
        <w:spacing w:before="180" w:after="180"/>
      </w:pPr>
      <w:r w:rsidRPr="008E1832">
        <w:rPr>
          <w:rFonts w:hint="eastAsia"/>
        </w:rPr>
        <w:t>˙</w:t>
      </w:r>
      <w:r w:rsidR="003807A5" w:rsidRPr="00AC77DF">
        <w:t>爭訟判決歧異</w:t>
      </w:r>
    </w:p>
    <w:p w:rsidR="003807A5" w:rsidRPr="00AC77DF" w:rsidRDefault="003807A5" w:rsidP="00B7222B">
      <w:pPr>
        <w:pStyle w:val="1---"/>
        <w:ind w:firstLine="480"/>
      </w:pPr>
      <w:bookmarkStart w:id="457" w:name="_Toc494985681"/>
      <w:r w:rsidRPr="00AC77DF">
        <w:t>對於大學於經由校務會務通過之相關辦法中明定，教師未於一定期限內升等者不予續聘（限期升等條款</w:t>
      </w:r>
      <w:r w:rsidRPr="00CD0C19">
        <w:rPr>
          <w:spacing w:val="-26"/>
        </w:rPr>
        <w:t>）</w:t>
      </w:r>
      <w:r w:rsidRPr="00AC77DF">
        <w:t>，並納入教師聘約之爭訟案件。最高行政法院曾於</w:t>
      </w:r>
      <w:r w:rsidRPr="00AC77DF">
        <w:t>101</w:t>
      </w:r>
      <w:r w:rsidRPr="00AC77DF">
        <w:t>年度判字第</w:t>
      </w:r>
      <w:r w:rsidRPr="00AC77DF">
        <w:t>1025</w:t>
      </w:r>
      <w:r w:rsidRPr="00AC77DF">
        <w:t>號判決，以該條款屬憲法第</w:t>
      </w:r>
      <w:r w:rsidRPr="00AC77DF">
        <w:t>11</w:t>
      </w:r>
      <w:r w:rsidRPr="00AC77DF">
        <w:t>條大學自治範疇、教師受聘約拘束、大學法第</w:t>
      </w:r>
      <w:r w:rsidRPr="00AC77DF">
        <w:t>19</w:t>
      </w:r>
      <w:r w:rsidRPr="00AC77DF">
        <w:t>條增訂前之不續聘事由，無違法律保留原則、尊重學校判斷餘地等理由判決教師敗訴。惟最高行政法院自</w:t>
      </w:r>
      <w:r w:rsidRPr="00AC77DF">
        <w:t>102</w:t>
      </w:r>
      <w:r w:rsidRPr="00AC77DF">
        <w:t>年起在多份判決中強調「學校不得於聘約中約定教師有一定違反聘約行為，即屬情節重大，應於個案中予以判斷；大學依大學法第</w:t>
      </w:r>
      <w:r w:rsidRPr="00AC77DF">
        <w:t>19</w:t>
      </w:r>
      <w:r w:rsidRPr="00AC77DF">
        <w:t>條擬將教師停聘或不續聘時，仍應受『情節重大』之限制」等語而判決教育部敗訴，與教師法第</w:t>
      </w:r>
      <w:r w:rsidRPr="00AC77DF">
        <w:t>14</w:t>
      </w:r>
      <w:r w:rsidRPr="00AC77DF">
        <w:t>條第</w:t>
      </w:r>
      <w:r w:rsidRPr="00AC77DF">
        <w:t>1</w:t>
      </w:r>
      <w:r w:rsidRPr="00AC77DF">
        <w:t>項第</w:t>
      </w:r>
      <w:r w:rsidRPr="00AC77DF">
        <w:t>14</w:t>
      </w:r>
      <w:r w:rsidRPr="00AC77DF">
        <w:t>款（</w:t>
      </w:r>
      <w:r w:rsidRPr="00AC77DF">
        <w:t>101</w:t>
      </w:r>
      <w:r w:rsidRPr="00AC77DF">
        <w:t>年</w:t>
      </w:r>
      <w:r w:rsidRPr="00AC77DF">
        <w:t>1</w:t>
      </w:r>
      <w:r w:rsidRPr="00AC77DF">
        <w:t>月</w:t>
      </w:r>
      <w:r w:rsidRPr="00AC77DF">
        <w:t>4</w:t>
      </w:r>
      <w:r w:rsidRPr="00AC77DF">
        <w:t>日修正前為第</w:t>
      </w:r>
      <w:r w:rsidRPr="00AC77DF">
        <w:t>8</w:t>
      </w:r>
      <w:r w:rsidRPr="00AC77DF">
        <w:t>款）之規定連結解釋，顯然最高行政法院不同庭間先後見解歧異。究大學法第</w:t>
      </w:r>
      <w:r w:rsidRPr="00AC77DF">
        <w:t>19</w:t>
      </w:r>
      <w:r w:rsidRPr="00AC77DF">
        <w:t>條是否為教師法第</w:t>
      </w:r>
      <w:r w:rsidRPr="00AC77DF">
        <w:t>14</w:t>
      </w:r>
      <w:r w:rsidRPr="00AC77DF">
        <w:t>條第</w:t>
      </w:r>
      <w:r w:rsidRPr="00AC77DF">
        <w:t>1</w:t>
      </w:r>
      <w:r w:rsidRPr="00AC77DF">
        <w:t>項第</w:t>
      </w:r>
      <w:r w:rsidRPr="00AC77DF">
        <w:t>14</w:t>
      </w:r>
      <w:r w:rsidRPr="00AC77DF">
        <w:t>款之特別規定應優先適用，及符合大學法第</w:t>
      </w:r>
      <w:r w:rsidRPr="00AC77DF">
        <w:t>19</w:t>
      </w:r>
      <w:r w:rsidRPr="00AC77DF">
        <w:t>條程序所定停聘或不續聘之情形是否係教師法上開規定以外之獨立事由，亟須在實務上有一致之見解，最高行政法院宜依法作成決議，俾利教育部及各大學有所依循，避免案關當事人經年訟累。</w:t>
      </w:r>
      <w:bookmarkEnd w:id="457"/>
    </w:p>
    <w:p w:rsidR="003807A5" w:rsidRDefault="003807A5" w:rsidP="00B7222B">
      <w:pPr>
        <w:pStyle w:val="1---"/>
        <w:ind w:firstLine="480"/>
        <w:rPr>
          <w:lang w:eastAsia="zh-TW"/>
        </w:rPr>
      </w:pPr>
      <w:r w:rsidRPr="00AC77DF">
        <w:t>依據本案調查意見</w:t>
      </w:r>
      <w:r w:rsidRPr="00F85A65">
        <w:rPr>
          <w:rStyle w:val="aff2"/>
        </w:rPr>
        <w:footnoteReference w:id="107"/>
      </w:r>
      <w:r w:rsidRPr="00AC77DF">
        <w:t>，監察院函請教育部確實檢討改進。</w:t>
      </w:r>
    </w:p>
    <w:p w:rsidR="00CD0C19" w:rsidRPr="00AC77DF" w:rsidRDefault="00CD0C19" w:rsidP="00B7222B">
      <w:pPr>
        <w:pStyle w:val="1---"/>
        <w:ind w:firstLine="480"/>
        <w:rPr>
          <w:lang w:eastAsia="zh-TW"/>
        </w:rPr>
      </w:pPr>
    </w:p>
    <w:p w:rsidR="003807A5" w:rsidRPr="00AC77DF" w:rsidRDefault="003C2FF2" w:rsidP="00FA42B3">
      <w:pPr>
        <w:pStyle w:val="afff1"/>
        <w:spacing w:before="360" w:after="360"/>
      </w:pPr>
      <w:bookmarkStart w:id="458" w:name="_Toc529885022"/>
      <w:bookmarkStart w:id="459" w:name="_Toc529885330"/>
      <w:r>
        <w:rPr>
          <w:rFonts w:hint="eastAsia"/>
        </w:rPr>
        <w:lastRenderedPageBreak/>
        <w:t>(三)</w:t>
      </w:r>
      <w:r w:rsidR="003807A5" w:rsidRPr="00AC77DF">
        <w:t>政府機關改善情形</w:t>
      </w:r>
      <w:bookmarkEnd w:id="458"/>
      <w:bookmarkEnd w:id="459"/>
    </w:p>
    <w:p w:rsidR="003807A5" w:rsidRPr="00AC77DF" w:rsidRDefault="003807A5" w:rsidP="00425EE5">
      <w:pPr>
        <w:pStyle w:val="1----"/>
        <w:ind w:left="600" w:hanging="360"/>
      </w:pPr>
      <w:r w:rsidRPr="00AC77DF">
        <w:t>1</w:t>
      </w:r>
      <w:r w:rsidRPr="00AC77DF">
        <w:t>、教育部修法進度及規劃</w:t>
      </w:r>
    </w:p>
    <w:p w:rsidR="003807A5" w:rsidRPr="00AC77DF" w:rsidRDefault="003807A5" w:rsidP="00CD0C19">
      <w:pPr>
        <w:pStyle w:val="1--1"/>
        <w:ind w:left="1080" w:hanging="600"/>
      </w:pPr>
      <w:r w:rsidRPr="00AC77DF">
        <w:t>（</w:t>
      </w:r>
      <w:r w:rsidRPr="00AC77DF">
        <w:t>1</w:t>
      </w:r>
      <w:r w:rsidRPr="00AC77DF">
        <w:t>）本案既經司法院表示尚難排除教師法之適用，該部規劃將修正教師法。至原擬具「大學依大學法第</w:t>
      </w:r>
      <w:r w:rsidRPr="00AC77DF">
        <w:t>19</w:t>
      </w:r>
      <w:r w:rsidRPr="00AC77DF">
        <w:t>條辦理教師不續聘作業參考原則（草案</w:t>
      </w:r>
      <w:r w:rsidRPr="005E34B1">
        <w:rPr>
          <w:spacing w:val="-22"/>
        </w:rPr>
        <w:t>）」</w:t>
      </w:r>
      <w:r w:rsidRPr="00AC77DF">
        <w:t>，已納入未來修法參考，並於</w:t>
      </w:r>
      <w:r w:rsidRPr="00AC77DF">
        <w:t>106</w:t>
      </w:r>
      <w:r w:rsidRPr="00AC77DF">
        <w:t>年</w:t>
      </w:r>
      <w:r w:rsidRPr="00AC77DF">
        <w:t>9</w:t>
      </w:r>
      <w:r w:rsidRPr="00AC77DF">
        <w:t>月</w:t>
      </w:r>
      <w:r w:rsidRPr="00AC77DF">
        <w:t>21</w:t>
      </w:r>
      <w:r w:rsidRPr="00AC77DF">
        <w:t>日函復立法院教育及文化委員會在案。該部已將教師法修正案報送行政院核轉立法院審議，後續將每半年提報法制作業進度給監察院。</w:t>
      </w:r>
    </w:p>
    <w:p w:rsidR="003807A5" w:rsidRPr="00AC77DF" w:rsidRDefault="003807A5" w:rsidP="00CD0C19">
      <w:pPr>
        <w:pStyle w:val="1--1"/>
        <w:ind w:left="1080" w:hanging="600"/>
      </w:pPr>
      <w:r w:rsidRPr="00AC77DF">
        <w:t>（</w:t>
      </w:r>
      <w:r w:rsidRPr="00AC77DF">
        <w:t>2</w:t>
      </w:r>
      <w:r w:rsidRPr="00AC77DF">
        <w:t>）考量教師法一體適用，惟大學教師之權利義務本異於一般中小學教師，自得依大學法第</w:t>
      </w:r>
      <w:r w:rsidRPr="00AC77DF">
        <w:t>19</w:t>
      </w:r>
      <w:r w:rsidRPr="00AC77DF">
        <w:t>條基於學術研究發展需要，訂定教師停聘或不續聘之規定。教育部將啟動教師法修法，朝向教師有違反限期升等之聘約條款，由服務學校報主管機關核定後予以資遣之方向規劃。</w:t>
      </w:r>
    </w:p>
    <w:p w:rsidR="003807A5" w:rsidRPr="00AC77DF" w:rsidRDefault="003807A5" w:rsidP="00425EE5">
      <w:pPr>
        <w:pStyle w:val="1----"/>
        <w:ind w:left="600" w:hanging="360"/>
      </w:pPr>
      <w:r w:rsidRPr="00AC77DF">
        <w:t>2</w:t>
      </w:r>
      <w:r w:rsidRPr="00AC77DF">
        <w:t>、有關該國立科技大學</w:t>
      </w:r>
      <w:r w:rsidRPr="00AC77DF">
        <w:t>2</w:t>
      </w:r>
      <w:r w:rsidRPr="00AC77DF">
        <w:t>件不續聘個案之後續處理情形</w:t>
      </w:r>
    </w:p>
    <w:p w:rsidR="003807A5" w:rsidRPr="00AC77DF" w:rsidRDefault="003807A5" w:rsidP="00CD0C19">
      <w:pPr>
        <w:pStyle w:val="1--1"/>
        <w:ind w:left="1080" w:hanging="600"/>
      </w:pPr>
      <w:r w:rsidRPr="00AC77DF">
        <w:t>（</w:t>
      </w:r>
      <w:r w:rsidRPr="00AC77DF">
        <w:t>1</w:t>
      </w:r>
      <w:r w:rsidRPr="00AC77DF">
        <w:t>）北科大於</w:t>
      </w:r>
      <w:r w:rsidRPr="00AC77DF">
        <w:t>106</w:t>
      </w:r>
      <w:r w:rsidRPr="00AC77DF">
        <w:t>年</w:t>
      </w:r>
      <w:r w:rsidRPr="00AC77DF">
        <w:t>12</w:t>
      </w:r>
      <w:r w:rsidRPr="00AC77DF">
        <w:t>月</w:t>
      </w:r>
      <w:r w:rsidRPr="00AC77DF">
        <w:t>29</w:t>
      </w:r>
      <w:r w:rsidRPr="00AC77DF">
        <w:t>日函復王師（女性</w:t>
      </w:r>
      <w:r w:rsidRPr="005E34B1">
        <w:rPr>
          <w:spacing w:val="-22"/>
        </w:rPr>
        <w:t>）</w:t>
      </w:r>
      <w:r w:rsidRPr="00AC77DF">
        <w:t>，</w:t>
      </w:r>
      <w:r w:rsidRPr="00AC77DF">
        <w:t>105</w:t>
      </w:r>
      <w:r w:rsidRPr="00AC77DF">
        <w:t>年</w:t>
      </w:r>
      <w:r w:rsidRPr="00AC77DF">
        <w:t>12</w:t>
      </w:r>
      <w:r w:rsidRPr="00AC77DF">
        <w:t>月</w:t>
      </w:r>
      <w:r w:rsidRPr="00AC77DF">
        <w:t>6</w:t>
      </w:r>
      <w:r w:rsidRPr="00AC77DF">
        <w:t>日至</w:t>
      </w:r>
      <w:r w:rsidRPr="00AC77DF">
        <w:t>106</w:t>
      </w:r>
      <w:r w:rsidRPr="00AC77DF">
        <w:t>年</w:t>
      </w:r>
      <w:r w:rsidRPr="00AC77DF">
        <w:t>12</w:t>
      </w:r>
      <w:r w:rsidRPr="00AC77DF">
        <w:t>月</w:t>
      </w:r>
      <w:r w:rsidRPr="00AC77DF">
        <w:t>31</w:t>
      </w:r>
      <w:r w:rsidRPr="00AC77DF">
        <w:t>日止薪資及</w:t>
      </w:r>
      <w:r w:rsidRPr="00AC77DF">
        <w:t>105</w:t>
      </w:r>
      <w:r w:rsidRPr="00AC77DF">
        <w:t>年度年終獎金</w:t>
      </w:r>
      <w:r w:rsidRPr="00AC77DF">
        <w:t>112</w:t>
      </w:r>
      <w:r w:rsidRPr="00AC77DF">
        <w:t>萬</w:t>
      </w:r>
      <w:r w:rsidRPr="00AC77DF">
        <w:t>7,668</w:t>
      </w:r>
      <w:r w:rsidRPr="00AC77DF">
        <w:t>元，係已扣除公健保費</w:t>
      </w:r>
      <w:r w:rsidRPr="00AC77DF">
        <w:t>5</w:t>
      </w:r>
      <w:r w:rsidRPr="00AC77DF">
        <w:t>萬</w:t>
      </w:r>
      <w:r w:rsidRPr="00AC77DF">
        <w:t>8,888</w:t>
      </w:r>
      <w:r w:rsidRPr="00AC77DF">
        <w:t>元，爰實際給付陳訴人金額</w:t>
      </w:r>
      <w:r w:rsidRPr="00AC77DF">
        <w:t>106</w:t>
      </w:r>
      <w:r w:rsidRPr="00AC77DF">
        <w:t>萬</w:t>
      </w:r>
      <w:r w:rsidRPr="00AC77DF">
        <w:t>8,780</w:t>
      </w:r>
      <w:r w:rsidRPr="00AC77DF">
        <w:t>元，但並未發給王師聘書，未符該部前於</w:t>
      </w:r>
      <w:r w:rsidRPr="00AC77DF">
        <w:t>106</w:t>
      </w:r>
      <w:r w:rsidRPr="00AC77DF">
        <w:t>年</w:t>
      </w:r>
      <w:r w:rsidRPr="00AC77DF">
        <w:t>11</w:t>
      </w:r>
      <w:r w:rsidRPr="00AC77DF">
        <w:t>月</w:t>
      </w:r>
      <w:r w:rsidRPr="00AC77DF">
        <w:t>17</w:t>
      </w:r>
      <w:r w:rsidRPr="00AC77DF">
        <w:t>日以臺教技（三）字第</w:t>
      </w:r>
      <w:r w:rsidRPr="00AC77DF">
        <w:t>1060158624</w:t>
      </w:r>
      <w:r w:rsidRPr="00AC77DF">
        <w:t>號函知需辦理事項，爰該部業於</w:t>
      </w:r>
      <w:r w:rsidRPr="00AC77DF">
        <w:t>107</w:t>
      </w:r>
      <w:r w:rsidRPr="00AC77DF">
        <w:t>年</w:t>
      </w:r>
      <w:r w:rsidRPr="00AC77DF">
        <w:t>1</w:t>
      </w:r>
      <w:r w:rsidRPr="00AC77DF">
        <w:t>月</w:t>
      </w:r>
      <w:r w:rsidRPr="00AC77DF">
        <w:t>5</w:t>
      </w:r>
      <w:r w:rsidRPr="00AC77DF">
        <w:t>日臺教技（三）字第</w:t>
      </w:r>
      <w:r w:rsidRPr="00AC77DF">
        <w:t>1070001113</w:t>
      </w:r>
      <w:r w:rsidRPr="00AC77DF">
        <w:t>號函扣減該校補助款項</w:t>
      </w:r>
      <w:r w:rsidRPr="00AC77DF">
        <w:t>2,000</w:t>
      </w:r>
      <w:r w:rsidRPr="00AC77DF">
        <w:t>萬元。</w:t>
      </w:r>
    </w:p>
    <w:p w:rsidR="003807A5" w:rsidRPr="00AC77DF" w:rsidRDefault="003807A5" w:rsidP="00CD0C19">
      <w:pPr>
        <w:pStyle w:val="1--1"/>
        <w:ind w:left="1080" w:hanging="600"/>
      </w:pPr>
      <w:r w:rsidRPr="00AC77DF">
        <w:lastRenderedPageBreak/>
        <w:t>（</w:t>
      </w:r>
      <w:r w:rsidRPr="00AC77DF">
        <w:t>2</w:t>
      </w:r>
      <w:r w:rsidRPr="00AC77DF">
        <w:t>）該部限期該國立科技大學發給聘書，並請該校與王師釐</w:t>
      </w:r>
      <w:r w:rsidR="00A97E4D">
        <w:rPr>
          <w:rFonts w:hint="eastAsia"/>
        </w:rPr>
        <w:t>清</w:t>
      </w:r>
      <w:r w:rsidRPr="00AC77DF">
        <w:t>其他相關權益事項（包括</w:t>
      </w:r>
      <w:r w:rsidRPr="00AC77DF">
        <w:t>105</w:t>
      </w:r>
      <w:r w:rsidRPr="00AC77DF">
        <w:t>年度科技部計畫主持人等費用</w:t>
      </w:r>
      <w:r w:rsidRPr="005E34B1">
        <w:rPr>
          <w:spacing w:val="-22"/>
        </w:rPr>
        <w:t>）</w:t>
      </w:r>
      <w:r w:rsidRPr="00AC77DF">
        <w:t>，如逾期未發給聘書及支給薪資等權益事項，將再扣減獎補助款項</w:t>
      </w:r>
      <w:r w:rsidRPr="00AC77DF">
        <w:t>2,000</w:t>
      </w:r>
      <w:r w:rsidRPr="00AC77DF">
        <w:t>萬元，並連續限期與扣減，至該校</w:t>
      </w:r>
      <w:r w:rsidRPr="00AC77DF">
        <w:t>2</w:t>
      </w:r>
      <w:r w:rsidRPr="00AC77DF">
        <w:t>位教師確實依訴願決定意旨辦理。</w:t>
      </w:r>
    </w:p>
    <w:p w:rsidR="003807A5" w:rsidRPr="00AC77DF" w:rsidRDefault="003807A5" w:rsidP="00CD0C19">
      <w:pPr>
        <w:pStyle w:val="1--1"/>
        <w:ind w:left="1080" w:hanging="600"/>
      </w:pPr>
      <w:r w:rsidRPr="00AC77DF">
        <w:t>（</w:t>
      </w:r>
      <w:r w:rsidRPr="00AC77DF">
        <w:t>3</w:t>
      </w:r>
      <w:r w:rsidRPr="00AC77DF">
        <w:t>）又該校業分別以</w:t>
      </w:r>
      <w:r w:rsidRPr="00AC77DF">
        <w:t>107</w:t>
      </w:r>
      <w:r w:rsidRPr="00AC77DF">
        <w:t>年</w:t>
      </w:r>
      <w:r w:rsidRPr="00AC77DF">
        <w:t>2</w:t>
      </w:r>
      <w:r w:rsidRPr="00AC77DF">
        <w:t>月</w:t>
      </w:r>
      <w:r w:rsidRPr="00AC77DF">
        <w:t>13</w:t>
      </w:r>
      <w:r w:rsidRPr="00AC77DF">
        <w:t>日北科大人字第</w:t>
      </w:r>
      <w:r w:rsidRPr="00AC77DF">
        <w:t>1070800192</w:t>
      </w:r>
      <w:r w:rsidRPr="00AC77DF">
        <w:t>號及第</w:t>
      </w:r>
      <w:r w:rsidRPr="00AC77DF">
        <w:t>1070800193</w:t>
      </w:r>
      <w:r w:rsidRPr="00AC77DF">
        <w:t>號函報送自</w:t>
      </w:r>
      <w:r w:rsidRPr="00AC77DF">
        <w:t>105</w:t>
      </w:r>
      <w:r w:rsidRPr="00AC77DF">
        <w:t>學年度起不續聘</w:t>
      </w:r>
      <w:r w:rsidRPr="00AC77DF">
        <w:t>2</w:t>
      </w:r>
      <w:r w:rsidRPr="00AC77DF">
        <w:t>名王姓教師二案，該部刻正審議中。</w:t>
      </w:r>
    </w:p>
    <w:p w:rsidR="003807A5" w:rsidRPr="00AC77DF" w:rsidRDefault="003807A5" w:rsidP="00425EE5">
      <w:pPr>
        <w:pStyle w:val="1----"/>
        <w:ind w:left="600" w:hanging="360"/>
      </w:pPr>
      <w:r w:rsidRPr="00AC77DF">
        <w:t>3</w:t>
      </w:r>
      <w:r w:rsidRPr="00AC77DF">
        <w:t>、教育部檢討內部作業程序情形</w:t>
      </w:r>
    </w:p>
    <w:p w:rsidR="003807A5" w:rsidRPr="00AC77DF" w:rsidRDefault="003807A5" w:rsidP="005E34B1">
      <w:pPr>
        <w:pStyle w:val="1--1"/>
        <w:ind w:left="1080" w:hanging="600"/>
      </w:pPr>
      <w:r w:rsidRPr="00AC77DF">
        <w:t>（</w:t>
      </w:r>
      <w:r w:rsidRPr="00AC77DF">
        <w:t>1</w:t>
      </w:r>
      <w:r w:rsidRPr="00AC77DF">
        <w:t>）於</w:t>
      </w:r>
      <w:r w:rsidRPr="00AC77DF">
        <w:t>106</w:t>
      </w:r>
      <w:r w:rsidRPr="00AC77DF">
        <w:t>年</w:t>
      </w:r>
      <w:r w:rsidRPr="00AC77DF">
        <w:t>11</w:t>
      </w:r>
      <w:r w:rsidRPr="00AC77DF">
        <w:t>月</w:t>
      </w:r>
      <w:r w:rsidRPr="00AC77DF">
        <w:t>10</w:t>
      </w:r>
      <w:r w:rsidRPr="00AC77DF">
        <w:t>日辦理「專科以上學校教師聘任、資格審查暨行政救濟業務研討會</w:t>
      </w:r>
      <w:r w:rsidRPr="005E34B1">
        <w:rPr>
          <w:spacing w:val="-22"/>
        </w:rPr>
        <w:t>」</w:t>
      </w:r>
      <w:r w:rsidRPr="00AC77DF">
        <w:t>，邀請</w:t>
      </w:r>
      <w:r w:rsidRPr="0025002C">
        <w:rPr>
          <w:rFonts w:hint="eastAsia"/>
        </w:rPr>
        <w:t>國立臺灣大學（簡稱臺大）</w:t>
      </w:r>
      <w:r w:rsidRPr="00AC77DF">
        <w:t>法律學院教授專題演講「大學教師限期升等制度及不續聘案例探討」，說明近年行政法院判例及實務見解之演變。另提醒學校得依據大學法第</w:t>
      </w:r>
      <w:r w:rsidRPr="005E34B1">
        <w:rPr>
          <w:spacing w:val="-2"/>
        </w:rPr>
        <w:t>1</w:t>
      </w:r>
      <w:r w:rsidRPr="005E34B1">
        <w:rPr>
          <w:spacing w:val="-20"/>
        </w:rPr>
        <w:t>9</w:t>
      </w:r>
      <w:r w:rsidRPr="005E34B1">
        <w:rPr>
          <w:spacing w:val="-2"/>
        </w:rPr>
        <w:t>條明定限期升等規定，違反前開規定應受教師法第</w:t>
      </w:r>
      <w:r w:rsidRPr="00AC77DF">
        <w:t>14</w:t>
      </w:r>
      <w:r w:rsidRPr="00AC77DF">
        <w:t>條第</w:t>
      </w:r>
      <w:r w:rsidRPr="00AC77DF">
        <w:t>1</w:t>
      </w:r>
      <w:r w:rsidRPr="00AC77DF">
        <w:t>項第</w:t>
      </w:r>
      <w:r w:rsidRPr="00AC77DF">
        <w:t>14</w:t>
      </w:r>
      <w:r w:rsidRPr="00AC77DF">
        <w:t>款「違反聘約情節重大」之限制。</w:t>
      </w:r>
    </w:p>
    <w:p w:rsidR="003807A5" w:rsidRPr="00AC77DF" w:rsidRDefault="003807A5" w:rsidP="00CD0C19">
      <w:pPr>
        <w:pStyle w:val="1--1"/>
        <w:ind w:left="1080" w:hanging="600"/>
      </w:pPr>
      <w:r w:rsidRPr="00AC77DF">
        <w:t>（</w:t>
      </w:r>
      <w:r w:rsidRPr="00AC77DF">
        <w:t>2</w:t>
      </w:r>
      <w:r w:rsidRPr="00AC77DF">
        <w:t>）學校教評會應審酌個案違反聘約「情節重大」之程度，依公益性、必要性、符合比例原則、符合正當法律程序之原則審議。</w:t>
      </w:r>
    </w:p>
    <w:p w:rsidR="003807A5" w:rsidRPr="00AC77DF" w:rsidRDefault="003C2FF2" w:rsidP="00FA42B3">
      <w:pPr>
        <w:pStyle w:val="afff1"/>
        <w:spacing w:before="360" w:after="360"/>
      </w:pPr>
      <w:bookmarkStart w:id="460" w:name="_Toc529885023"/>
      <w:bookmarkStart w:id="461" w:name="_Toc529885331"/>
      <w:r>
        <w:rPr>
          <w:rFonts w:hint="eastAsia"/>
        </w:rPr>
        <w:t>(四)</w:t>
      </w:r>
      <w:r w:rsidR="003807A5" w:rsidRPr="00AC77DF">
        <w:t>案件進展</w:t>
      </w:r>
      <w:bookmarkEnd w:id="460"/>
      <w:bookmarkEnd w:id="461"/>
    </w:p>
    <w:p w:rsidR="003807A5" w:rsidRPr="00AC77DF" w:rsidRDefault="003807A5" w:rsidP="00B7222B">
      <w:pPr>
        <w:pStyle w:val="1---"/>
        <w:ind w:firstLine="480"/>
      </w:pPr>
      <w:r w:rsidRPr="00AC77DF">
        <w:t>本案監察院仍持續追蹤中。</w:t>
      </w:r>
    </w:p>
    <w:p w:rsidR="003807A5" w:rsidRDefault="003807A5" w:rsidP="002952DE">
      <w:pPr>
        <w:pStyle w:val="a2"/>
        <w:ind w:left="426"/>
        <w:rPr>
          <w:shd w:val="pct15" w:color="auto" w:fill="FFFFFF"/>
        </w:rPr>
      </w:pPr>
    </w:p>
    <w:tbl>
      <w:tblPr>
        <w:tblStyle w:val="aff5"/>
        <w:tblW w:w="2915" w:type="pct"/>
        <w:tblInd w:w="113" w:type="dxa"/>
        <w:shd w:val="clear" w:color="auto" w:fill="BFBFBF" w:themeFill="background1" w:themeFillShade="BF"/>
        <w:tblLook w:val="04A0" w:firstRow="1" w:lastRow="0" w:firstColumn="1" w:lastColumn="0" w:noHBand="0" w:noVBand="1"/>
      </w:tblPr>
      <w:tblGrid>
        <w:gridCol w:w="3994"/>
      </w:tblGrid>
      <w:tr w:rsidR="003C2FF2" w:rsidTr="0082144A">
        <w:tc>
          <w:tcPr>
            <w:tcW w:w="5000" w:type="pct"/>
            <w:shd w:val="clear" w:color="auto" w:fill="BFBFBF" w:themeFill="background1" w:themeFillShade="BF"/>
          </w:tcPr>
          <w:p w:rsidR="003C2FF2" w:rsidRDefault="003C2FF2" w:rsidP="003C2FF2">
            <w:pPr>
              <w:pStyle w:val="11-"/>
              <w:spacing w:before="72" w:after="108"/>
              <w:rPr>
                <w:shd w:val="pct15" w:color="auto" w:fill="FFFFFF"/>
              </w:rPr>
            </w:pPr>
            <w:bookmarkStart w:id="462" w:name="_Toc529885332"/>
            <w:bookmarkStart w:id="463" w:name="_Toc535228390"/>
            <w:bookmarkStart w:id="464" w:name="_Toc4058801"/>
            <w:r w:rsidRPr="00AC77DF">
              <w:lastRenderedPageBreak/>
              <w:t>大專教師升等多元自主機制</w:t>
            </w:r>
            <w:bookmarkEnd w:id="462"/>
            <w:bookmarkEnd w:id="463"/>
            <w:bookmarkEnd w:id="464"/>
          </w:p>
        </w:tc>
      </w:tr>
    </w:tbl>
    <w:p w:rsidR="003807A5" w:rsidRPr="00AC77DF" w:rsidRDefault="003C2FF2" w:rsidP="00FA42B3">
      <w:pPr>
        <w:pStyle w:val="afff1"/>
        <w:spacing w:before="360" w:after="360"/>
      </w:pPr>
      <w:bookmarkStart w:id="465" w:name="_Toc529885025"/>
      <w:bookmarkStart w:id="466" w:name="_Toc529885333"/>
      <w:r>
        <w:rPr>
          <w:rFonts w:hint="eastAsia"/>
        </w:rPr>
        <w:t>(一)</w:t>
      </w:r>
      <w:r w:rsidR="003807A5" w:rsidRPr="00AC77DF">
        <w:t>案情簡述</w:t>
      </w:r>
      <w:bookmarkEnd w:id="465"/>
      <w:bookmarkEnd w:id="466"/>
    </w:p>
    <w:p w:rsidR="003807A5" w:rsidRPr="00AC77DF" w:rsidRDefault="003807A5" w:rsidP="00B7222B">
      <w:pPr>
        <w:pStyle w:val="1---"/>
        <w:ind w:firstLine="480"/>
      </w:pPr>
      <w:bookmarkStart w:id="467" w:name="_Toc484708954"/>
      <w:bookmarkStart w:id="468" w:name="_Toc485291196"/>
      <w:bookmarkStart w:id="469" w:name="_Toc485719296"/>
      <w:bookmarkStart w:id="470" w:name="_Toc485738697"/>
      <w:bookmarkStart w:id="471" w:name="_Toc486868381"/>
      <w:bookmarkStart w:id="472" w:name="_Toc486925934"/>
      <w:bookmarkStart w:id="473" w:name="_Toc498507818"/>
      <w:bookmarkStart w:id="474" w:name="_Toc498508166"/>
      <w:bookmarkStart w:id="475" w:name="_Toc498518500"/>
      <w:bookmarkStart w:id="476" w:name="_Toc498531683"/>
      <w:bookmarkStart w:id="477" w:name="_Toc500147746"/>
      <w:bookmarkStart w:id="478" w:name="_Toc500147903"/>
      <w:bookmarkStart w:id="479" w:name="_Toc500404615"/>
      <w:bookmarkStart w:id="480" w:name="_Toc500404829"/>
      <w:r w:rsidRPr="00AC77DF">
        <w:t>大學教師升等資格之審查，關係大學教師素質與大學教學、研究水準，並涉及人民工作權與職業資格之取得（司法院釋字第</w:t>
      </w:r>
      <w:r w:rsidRPr="00AC77DF">
        <w:t>462</w:t>
      </w:r>
      <w:r w:rsidRPr="00AC77DF">
        <w:t>號解釋參照</w:t>
      </w:r>
      <w:r w:rsidRPr="0082144A">
        <w:rPr>
          <w:spacing w:val="-30"/>
        </w:rPr>
        <w:t>）</w:t>
      </w:r>
      <w:r w:rsidRPr="00AC77DF">
        <w:t>。其審查程序自應合法公平，以保障申請升等教師之權益。</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AC77DF">
        <w:t>教師若認其升等權益遭受違法或不當之侵害，得提起行政救濟。在現行法制下，有申訴、再申訴、訴願、行政訴訟等救濟管道。大專校院教師升等多元自主機制之運作及申訴處理之情形，攸關教師素質、大學教學與研究水準，</w:t>
      </w:r>
      <w:r w:rsidRPr="0082144A">
        <w:rPr>
          <w:spacing w:val="4"/>
        </w:rPr>
        <w:t>以及教師權益之保障，爰經監察院教育及文化委員會決議調查。</w:t>
      </w:r>
    </w:p>
    <w:p w:rsidR="003807A5" w:rsidRPr="00AC77DF" w:rsidRDefault="003C2FF2" w:rsidP="00FA42B3">
      <w:pPr>
        <w:pStyle w:val="afff1"/>
        <w:spacing w:before="360" w:after="360"/>
      </w:pPr>
      <w:bookmarkStart w:id="481" w:name="_Toc529885026"/>
      <w:bookmarkStart w:id="482" w:name="_Toc529885334"/>
      <w:r>
        <w:rPr>
          <w:rFonts w:hint="eastAsia"/>
        </w:rPr>
        <w:t>(二)</w:t>
      </w:r>
      <w:r w:rsidR="003807A5" w:rsidRPr="00AC77DF">
        <w:t>監察院調查發現與建議</w:t>
      </w:r>
      <w:bookmarkEnd w:id="481"/>
      <w:bookmarkEnd w:id="482"/>
    </w:p>
    <w:p w:rsidR="003807A5" w:rsidRPr="00AC77DF" w:rsidRDefault="00597483" w:rsidP="006B7CBE">
      <w:pPr>
        <w:pStyle w:val="1--13"/>
        <w:spacing w:before="180" w:after="180"/>
      </w:pPr>
      <w:r w:rsidRPr="008E1832">
        <w:rPr>
          <w:rFonts w:hint="eastAsia"/>
        </w:rPr>
        <w:t>˙</w:t>
      </w:r>
      <w:r w:rsidR="003807A5" w:rsidRPr="00AC77DF">
        <w:t>學校認知與多元升等政策目標有差距</w:t>
      </w:r>
    </w:p>
    <w:p w:rsidR="003807A5" w:rsidRPr="00AC77DF" w:rsidRDefault="003807A5" w:rsidP="00B7222B">
      <w:pPr>
        <w:pStyle w:val="1---"/>
        <w:ind w:firstLine="480"/>
        <w:rPr>
          <w:lang w:eastAsia="zh-TW"/>
        </w:rPr>
      </w:pPr>
      <w:r w:rsidRPr="00AC77DF">
        <w:t>教育部為達到「協助學校提升競爭力</w:t>
      </w:r>
      <w:r w:rsidRPr="0082144A">
        <w:rPr>
          <w:spacing w:val="-30"/>
        </w:rPr>
        <w:t>」、</w:t>
      </w:r>
      <w:r w:rsidRPr="00AC77DF">
        <w:t>「定位自我發展特色</w:t>
      </w:r>
      <w:r w:rsidRPr="0082144A">
        <w:rPr>
          <w:spacing w:val="-30"/>
        </w:rPr>
        <w:t>」、</w:t>
      </w:r>
      <w:r w:rsidRPr="00AC77DF">
        <w:t>「技職教育務實致用」及「教師專業多元分工」等多元升等本旨，自</w:t>
      </w:r>
      <w:r w:rsidRPr="00AC77DF">
        <w:t>102</w:t>
      </w:r>
      <w:r w:rsidRPr="00AC77DF">
        <w:t>年起試辦教師多元升等制度，至</w:t>
      </w:r>
      <w:r w:rsidRPr="00AC77DF">
        <w:t>105</w:t>
      </w:r>
      <w:r w:rsidRPr="00AC77DF">
        <w:t>年為宣導期。然因教育部對於多元升等各管道名稱之宣導及統計，與</w:t>
      </w:r>
      <w:r w:rsidRPr="0025002C">
        <w:rPr>
          <w:rFonts w:hint="eastAsia"/>
        </w:rPr>
        <w:t>教育人員任用條例及專科以上學校教師資格審定辦法（簡稱審定辦法）</w:t>
      </w:r>
      <w:r w:rsidRPr="00AC77DF">
        <w:t>所定名稱不同，易滋疑義。另「成就證明」僅限於藝術或體育類科，排除其他成就證明升等。又部分學校對於多元升</w:t>
      </w:r>
      <w:r w:rsidRPr="00AC77DF">
        <w:lastRenderedPageBreak/>
        <w:t>等之認知，與教育部政策有差距，宜深切瞭解宣導期出現之問題所在，評估並提出改善對策。</w:t>
      </w:r>
    </w:p>
    <w:p w:rsidR="003807A5" w:rsidRPr="00AC77DF" w:rsidRDefault="00597483" w:rsidP="006B7CBE">
      <w:pPr>
        <w:pStyle w:val="1--13"/>
        <w:spacing w:before="180" w:after="180"/>
      </w:pPr>
      <w:r w:rsidRPr="008E1832">
        <w:rPr>
          <w:rFonts w:hint="eastAsia"/>
        </w:rPr>
        <w:t>˙</w:t>
      </w:r>
      <w:r w:rsidR="003807A5" w:rsidRPr="00AC77DF">
        <w:t>完備多元升等審查標準</w:t>
      </w:r>
    </w:p>
    <w:p w:rsidR="003807A5" w:rsidRPr="00AC77DF" w:rsidRDefault="003807A5" w:rsidP="00B7222B">
      <w:pPr>
        <w:pStyle w:val="1---"/>
        <w:ind w:firstLine="480"/>
      </w:pPr>
      <w:r w:rsidRPr="00AC77DF">
        <w:t>當前教師升等送審之類型多為專門著作，以技術報告、作品、成就證明或教學實務升等者仍占少數。專門著作及作品之審查已行之有年，對於是否達通過之標準，較具共識；技術報告及教學實務升等可參照案例則不多。教育部宜儘速評估試辦成果並建立審查共識，促使多元升等軌道之明確化；另應留意專門著作以外升等所應具備之研究性，使多元升等軌道能落實教師專業化之需求。</w:t>
      </w:r>
    </w:p>
    <w:p w:rsidR="003807A5" w:rsidRPr="00AC77DF" w:rsidRDefault="003807A5" w:rsidP="00B7222B">
      <w:pPr>
        <w:pStyle w:val="1---"/>
        <w:ind w:firstLine="480"/>
      </w:pPr>
      <w:r w:rsidRPr="00AC77DF">
        <w:t>教學實務除得以提出技術報告方式升等外，亦得以專門著作申請升等，送審內容皆須包括研究元素與內涵，方能達審查基本條件，通過升等之規準必須一致，以維持升等之公平性，並符合教學實務升等之本旨。</w:t>
      </w:r>
    </w:p>
    <w:p w:rsidR="003807A5" w:rsidRPr="00AC77DF" w:rsidRDefault="00597483" w:rsidP="006B7CBE">
      <w:pPr>
        <w:pStyle w:val="1--13"/>
        <w:spacing w:before="180" w:after="180"/>
      </w:pPr>
      <w:r w:rsidRPr="008E1832">
        <w:rPr>
          <w:rFonts w:hint="eastAsia"/>
        </w:rPr>
        <w:t>˙</w:t>
      </w:r>
      <w:r w:rsidR="003807A5" w:rsidRPr="00AC77DF">
        <w:t>瞭解各校自審情形</w:t>
      </w:r>
    </w:p>
    <w:p w:rsidR="003807A5" w:rsidRPr="00AC77DF" w:rsidRDefault="003807A5" w:rsidP="00B7222B">
      <w:pPr>
        <w:pStyle w:val="1---"/>
        <w:ind w:firstLine="480"/>
      </w:pPr>
      <w:r w:rsidRPr="00AC77DF">
        <w:t>大學自主為國際高等教育之潮流，教育部亦逐步授權各校自主審查，應予以肯認，惟現階段仍由各校進行審查，再經教育部發給教師證書。在大學自主之政策趨勢下，為確保高等教育品質，教育部宜審視各校自審情形，並輔導學校建立自我課責及自主管理機制，以健全高等教育永續發展。</w:t>
      </w:r>
    </w:p>
    <w:p w:rsidR="003807A5" w:rsidRPr="00AC77DF" w:rsidRDefault="003807A5" w:rsidP="00B7222B">
      <w:pPr>
        <w:pStyle w:val="1---"/>
        <w:ind w:firstLine="480"/>
      </w:pPr>
      <w:r w:rsidRPr="00AC77DF">
        <w:t>大學法規定教師任務為教學、研究、輔導及服務，惟升等審查項目比重由學校自定，導致各校研究比重存有甚大落差，更有學校研究比重已降為零，顯無法實現大學法規定教師負有</w:t>
      </w:r>
      <w:r w:rsidRPr="00AC77DF">
        <w:lastRenderedPageBreak/>
        <w:t>研究義務之意旨。教育部宜依各校屬性，研議研究項目比重之合理性，落實大學法揭示大學以研究學術為宗旨之立法意旨。此外，有關大學法第</w:t>
      </w:r>
      <w:r w:rsidRPr="00AC77DF">
        <w:t>19</w:t>
      </w:r>
      <w:r w:rsidRPr="00AC77DF">
        <w:t>條及教師法第</w:t>
      </w:r>
      <w:r w:rsidRPr="00AC77DF">
        <w:t>14</w:t>
      </w:r>
      <w:r w:rsidRPr="00AC77DF">
        <w:t>條第</w:t>
      </w:r>
      <w:r w:rsidRPr="00AC77DF">
        <w:t>1</w:t>
      </w:r>
      <w:r w:rsidRPr="00AC77DF">
        <w:t>項間競合，係大學自治與保障教師權益之間所可能產生的矛盾之處，教育部應正視學校實務運作情形，以利各大學有所依循。</w:t>
      </w:r>
    </w:p>
    <w:p w:rsidR="003807A5" w:rsidRPr="00AC77DF" w:rsidRDefault="003807A5" w:rsidP="00B7222B">
      <w:pPr>
        <w:pStyle w:val="1---"/>
        <w:ind w:firstLine="480"/>
      </w:pPr>
      <w:r w:rsidRPr="00AC77DF">
        <w:t>「多元升等校外審查委員資料庫」由願意參加試辦學校或重點學校辦理，為確保各專業領域對應於該資料庫有其歸屬，使非屬專業系所教師之升等程序更為周延，以符合專業審查原則。教育部宜促使各校基於公平、公正及專業考量，就審查委員之擇定過程、保密機制及資料庫內容進行檢討及更新，且專業分類要有明確化機制，使多元升等專業自主機制臻於完備。</w:t>
      </w:r>
    </w:p>
    <w:p w:rsidR="003807A5" w:rsidRPr="00AC77DF" w:rsidRDefault="003807A5" w:rsidP="00B7222B">
      <w:pPr>
        <w:pStyle w:val="1---"/>
        <w:ind w:firstLine="480"/>
        <w:rPr>
          <w:lang w:eastAsia="zh-TW"/>
        </w:rPr>
      </w:pPr>
      <w:r w:rsidRPr="00AC77DF">
        <w:t>大學專業技術人員之聘任、升等、特殊造詣或成就之認定及國際級大獎之界定，依學校特色發展各有不同，並無具體明確之審查標準，教育部宜通盤研議</w:t>
      </w:r>
      <w:r w:rsidR="000023D8">
        <w:t>；</w:t>
      </w:r>
      <w:r w:rsidR="000023D8">
        <w:rPr>
          <w:rFonts w:hint="eastAsia"/>
        </w:rPr>
        <w:t>又</w:t>
      </w:r>
      <w:r w:rsidRPr="00AC77DF">
        <w:t>專業技術人員係比照一般教師聘任，其角色定位、權利及義務宜釐清，以利發展學校特色。</w:t>
      </w:r>
    </w:p>
    <w:p w:rsidR="003807A5" w:rsidRPr="00AC77DF" w:rsidRDefault="00597483" w:rsidP="006B7CBE">
      <w:pPr>
        <w:pStyle w:val="1--13"/>
        <w:spacing w:before="180" w:after="180"/>
      </w:pPr>
      <w:r w:rsidRPr="008E1832">
        <w:rPr>
          <w:rFonts w:hint="eastAsia"/>
        </w:rPr>
        <w:t>˙</w:t>
      </w:r>
      <w:r w:rsidR="003807A5" w:rsidRPr="00AC77DF">
        <w:t>健全申訴機制</w:t>
      </w:r>
    </w:p>
    <w:p w:rsidR="003807A5" w:rsidRPr="00AC77DF" w:rsidRDefault="003807A5" w:rsidP="00B7222B">
      <w:pPr>
        <w:pStyle w:val="1---"/>
        <w:ind w:firstLine="480"/>
      </w:pPr>
      <w:r w:rsidRPr="00AC77DF">
        <w:t>各大專校院教師申訴機制是否健全，攸關教師權益，教育部中央教師申訴評議委員會（簡稱中央申評會）</w:t>
      </w:r>
      <w:r w:rsidRPr="00AC77DF">
        <w:t>100</w:t>
      </w:r>
      <w:r w:rsidRPr="00AC77DF">
        <w:t>至</w:t>
      </w:r>
      <w:r w:rsidRPr="00AC77DF">
        <w:t>105</w:t>
      </w:r>
      <w:r w:rsidRPr="00AC77DF">
        <w:t>學年度評議決定教師升等（再）申訴案中，有部分係「學校申評會程序瑕疵</w:t>
      </w:r>
      <w:r w:rsidRPr="004430FE">
        <w:rPr>
          <w:spacing w:val="-30"/>
        </w:rPr>
        <w:t>」</w:t>
      </w:r>
      <w:r w:rsidRPr="00AC77DF">
        <w:t>，教育部</w:t>
      </w:r>
      <w:r w:rsidR="005D1E8F">
        <w:t>應</w:t>
      </w:r>
      <w:r w:rsidRPr="00AC77DF">
        <w:t>促使學校加強程序正義之保障，以確保評議合法公正。</w:t>
      </w:r>
    </w:p>
    <w:p w:rsidR="003807A5" w:rsidRPr="00AC77DF" w:rsidRDefault="003807A5" w:rsidP="00B7222B">
      <w:pPr>
        <w:pStyle w:val="1---"/>
        <w:ind w:firstLine="480"/>
      </w:pPr>
      <w:r w:rsidRPr="00AC77DF">
        <w:t>司法院釋字第</w:t>
      </w:r>
      <w:r w:rsidRPr="00AC77DF">
        <w:t>462</w:t>
      </w:r>
      <w:r w:rsidRPr="00AC77DF">
        <w:t>號解釋業闡明「不應對申請人專業學術能力以多數決作成決定</w:t>
      </w:r>
      <w:r w:rsidRPr="004430FE">
        <w:rPr>
          <w:spacing w:val="-30"/>
        </w:rPr>
        <w:t>」</w:t>
      </w:r>
      <w:r w:rsidRPr="00AC77DF">
        <w:t>，惟中央申評會</w:t>
      </w:r>
      <w:r w:rsidRPr="00AC77DF">
        <w:t>100</w:t>
      </w:r>
      <w:r w:rsidRPr="00AC77DF">
        <w:t>至</w:t>
      </w:r>
      <w:r w:rsidRPr="00AC77DF">
        <w:t>105</w:t>
      </w:r>
      <w:r w:rsidRPr="00AC77DF">
        <w:t>學年度評</w:t>
      </w:r>
      <w:r w:rsidRPr="00AC77DF">
        <w:lastRenderedPageBreak/>
        <w:t>議決定教師升等（再）申訴有理由之案件中，學校教評會以多數決方式逕予否准教師之研究外審結果者，仍占最多數，教育部宜對各校加強宣導，以避免類此情形發生。</w:t>
      </w:r>
    </w:p>
    <w:p w:rsidR="003807A5" w:rsidRPr="00AC77DF" w:rsidRDefault="003807A5" w:rsidP="004430FE">
      <w:pPr>
        <w:pStyle w:val="1---"/>
        <w:ind w:firstLine="472"/>
      </w:pPr>
      <w:r w:rsidRPr="004430FE">
        <w:rPr>
          <w:spacing w:val="-2"/>
        </w:rPr>
        <w:t>中央申評</w:t>
      </w:r>
      <w:r w:rsidRPr="004430FE">
        <w:rPr>
          <w:spacing w:val="-8"/>
        </w:rPr>
        <w:t>會</w:t>
      </w:r>
      <w:r w:rsidRPr="004430FE">
        <w:rPr>
          <w:spacing w:val="-2"/>
        </w:rPr>
        <w:t>10</w:t>
      </w:r>
      <w:r w:rsidRPr="004430FE">
        <w:rPr>
          <w:spacing w:val="-8"/>
        </w:rPr>
        <w:t>0</w:t>
      </w:r>
      <w:r w:rsidRPr="004430FE">
        <w:rPr>
          <w:spacing w:val="-8"/>
        </w:rPr>
        <w:t>至</w:t>
      </w:r>
      <w:r w:rsidRPr="004430FE">
        <w:rPr>
          <w:spacing w:val="-2"/>
        </w:rPr>
        <w:t>10</w:t>
      </w:r>
      <w:r w:rsidRPr="004430FE">
        <w:rPr>
          <w:spacing w:val="-8"/>
        </w:rPr>
        <w:t>5</w:t>
      </w:r>
      <w:r w:rsidRPr="004430FE">
        <w:rPr>
          <w:spacing w:val="-2"/>
        </w:rPr>
        <w:t>學年度評議決定學校原升等不通過之</w:t>
      </w:r>
      <w:r w:rsidRPr="00AC77DF">
        <w:t>措施不予維持者，有部分係「學校章則規定未明」或「學校未依校內章則辦理升等」所致，教育部應督促學校檢討修正校內章則並依法行政，以維法規明確性原則及升等審查之合法性。</w:t>
      </w:r>
    </w:p>
    <w:p w:rsidR="003807A5" w:rsidRPr="00AC77DF" w:rsidRDefault="003807A5" w:rsidP="00B7222B">
      <w:pPr>
        <w:pStyle w:val="1---"/>
        <w:ind w:firstLine="480"/>
      </w:pPr>
      <w:r w:rsidRPr="00AC77DF">
        <w:t>中央申評會作成「再申訴有理由」之評議決定後，仍有部分學校未依評議意旨辦理。教育部應主動追蹤學校後續辦理情形並予適當處理，以有效保障教師權益。</w:t>
      </w:r>
    </w:p>
    <w:p w:rsidR="003807A5" w:rsidRPr="00AC77DF" w:rsidRDefault="003807A5" w:rsidP="00B7222B">
      <w:pPr>
        <w:pStyle w:val="1---"/>
        <w:ind w:firstLine="480"/>
      </w:pPr>
      <w:r w:rsidRPr="00AC77DF">
        <w:t>依據本案研究意見</w:t>
      </w:r>
      <w:r w:rsidRPr="005F1DE2">
        <w:rPr>
          <w:rStyle w:val="aff2"/>
        </w:rPr>
        <w:footnoteReference w:id="108"/>
      </w:r>
      <w:r w:rsidRPr="00AC77DF">
        <w:t>，監察院函請行政院函轉教育部參考研究辦理。</w:t>
      </w:r>
    </w:p>
    <w:p w:rsidR="003807A5" w:rsidRPr="00AC77DF" w:rsidRDefault="00532441" w:rsidP="00FA42B3">
      <w:pPr>
        <w:pStyle w:val="afff1"/>
        <w:spacing w:before="360" w:after="360"/>
      </w:pPr>
      <w:bookmarkStart w:id="483" w:name="_Toc529885027"/>
      <w:bookmarkStart w:id="484" w:name="_Toc529885335"/>
      <w:r>
        <w:rPr>
          <w:rFonts w:hint="eastAsia"/>
        </w:rPr>
        <w:t>(三)</w:t>
      </w:r>
      <w:r w:rsidR="003807A5" w:rsidRPr="00AC77DF">
        <w:t>政府機關改善情形</w:t>
      </w:r>
      <w:bookmarkEnd w:id="483"/>
      <w:bookmarkEnd w:id="484"/>
    </w:p>
    <w:p w:rsidR="003807A5" w:rsidRPr="00AC77DF" w:rsidRDefault="003807A5" w:rsidP="00425EE5">
      <w:pPr>
        <w:pStyle w:val="1----"/>
        <w:ind w:left="600" w:hanging="360"/>
      </w:pPr>
      <w:r w:rsidRPr="00AC77DF">
        <w:t>1</w:t>
      </w:r>
      <w:r w:rsidRPr="00AC77DF">
        <w:t>、配合教學實踐研究計晝，規劃將透過修法整合相關定義，未來升等管道認定將更為清楚。</w:t>
      </w:r>
    </w:p>
    <w:p w:rsidR="003807A5" w:rsidRPr="00AC77DF" w:rsidRDefault="003807A5" w:rsidP="00425EE5">
      <w:pPr>
        <w:pStyle w:val="1----"/>
        <w:ind w:left="600" w:hanging="360"/>
      </w:pPr>
      <w:r w:rsidRPr="00AC77DF">
        <w:t>2</w:t>
      </w:r>
      <w:r w:rsidRPr="00AC77DF">
        <w:t>、</w:t>
      </w:r>
      <w:r w:rsidR="000023D8">
        <w:rPr>
          <w:rFonts w:hint="eastAsia"/>
        </w:rPr>
        <w:t>針對藝術類科教師升等</w:t>
      </w:r>
      <w:r w:rsidRPr="00AC77DF">
        <w:t>將</w:t>
      </w:r>
      <w:r w:rsidR="000023D8">
        <w:rPr>
          <w:rFonts w:hint="eastAsia"/>
        </w:rPr>
        <w:t>包含</w:t>
      </w:r>
      <w:r w:rsidRPr="00AC77DF">
        <w:t>「藝術作品或成就證明」，避免造成實務推動疑義。另屬於教師個人發明獎者，教師可將發明所涉應用研究以採技術報告送審；屬指導學生獲獎者，可針對研究如何提升學生學習成效之教學歷程以教學實踐研究送審。</w:t>
      </w:r>
    </w:p>
    <w:p w:rsidR="003807A5" w:rsidRPr="00AC77DF" w:rsidRDefault="003807A5" w:rsidP="00425EE5">
      <w:pPr>
        <w:pStyle w:val="1----"/>
        <w:ind w:left="600" w:hanging="360"/>
      </w:pPr>
      <w:r w:rsidRPr="00AC77DF">
        <w:t>3</w:t>
      </w:r>
      <w:r w:rsidRPr="00AC77DF">
        <w:t>、多元升等試辦計畫結束後將通盤檢討學校</w:t>
      </w:r>
      <w:r w:rsidR="00F47095">
        <w:t>辦</w:t>
      </w:r>
      <w:r w:rsidRPr="00AC77DF">
        <w:t>理成效，倘有</w:t>
      </w:r>
      <w:r w:rsidRPr="00AC77DF">
        <w:lastRenderedPageBreak/>
        <w:t>不合宜者，將視情形收回學校部分自審層級；另持續透過宣導說明會分享各校推動標準，瞭解各校所定升等審核基準，有助建立審查共識基礎。</w:t>
      </w:r>
    </w:p>
    <w:p w:rsidR="003807A5" w:rsidRPr="00AC77DF" w:rsidRDefault="003807A5" w:rsidP="00425EE5">
      <w:pPr>
        <w:pStyle w:val="1----"/>
        <w:ind w:left="600" w:hanging="360"/>
      </w:pPr>
      <w:r w:rsidRPr="00AC77DF">
        <w:t>4</w:t>
      </w:r>
      <w:r w:rsidRPr="00AC77DF">
        <w:t>、有關審查基準一致性，已於</w:t>
      </w:r>
      <w:r w:rsidRPr="00AC77DF">
        <w:t>105</w:t>
      </w:r>
      <w:r w:rsidRPr="00AC77DF">
        <w:t>年</w:t>
      </w:r>
      <w:r w:rsidRPr="00AC77DF">
        <w:t>5</w:t>
      </w:r>
      <w:r w:rsidRPr="00AC77DF">
        <w:t>月完成修訂審定辦法</w:t>
      </w:r>
      <w:r w:rsidRPr="004430FE">
        <w:rPr>
          <w:spacing w:val="2"/>
        </w:rPr>
        <w:t>及審查表件，可為各校辦理之參考，未來將強化宣導說明。</w:t>
      </w:r>
    </w:p>
    <w:p w:rsidR="003807A5" w:rsidRPr="00AC77DF" w:rsidRDefault="003807A5" w:rsidP="00425EE5">
      <w:pPr>
        <w:pStyle w:val="1----"/>
        <w:ind w:left="600" w:hanging="360"/>
      </w:pPr>
      <w:r w:rsidRPr="00AC77DF">
        <w:t>5</w:t>
      </w:r>
      <w:r w:rsidRPr="00AC77DF">
        <w:t>、自</w:t>
      </w:r>
      <w:r w:rsidRPr="00AC77DF">
        <w:t>107</w:t>
      </w:r>
      <w:r w:rsidRPr="00AC77DF">
        <w:t>年</w:t>
      </w:r>
      <w:r w:rsidRPr="00AC77DF">
        <w:t>2</w:t>
      </w:r>
      <w:r w:rsidRPr="00AC77DF">
        <w:t>月起督請學校上傳校内所有升等案件，定期檢視學校升等通過情形，倘有不合宜者，將督導追蹤，必要時辦理訪視瞭解學校辦理情形。另將視學校自主課責及管理機制具相當程度完善後，再行推動全面授權自審。</w:t>
      </w:r>
    </w:p>
    <w:p w:rsidR="003807A5" w:rsidRPr="00AC77DF" w:rsidRDefault="003807A5" w:rsidP="00425EE5">
      <w:pPr>
        <w:pStyle w:val="1----"/>
        <w:ind w:left="600" w:hanging="360"/>
      </w:pPr>
      <w:r w:rsidRPr="00AC77DF">
        <w:t>6</w:t>
      </w:r>
      <w:r w:rsidRPr="00AC77DF">
        <w:t>、部分學校推動多元升等誤解研究範圍僅限學術研究表現，將教學或產學研究的成果列入教學或產學項目，未列入研究項目採計，造成沒有研究占比誤會之情形，將持續配合研討會加強宣導說明，請學校應明</w:t>
      </w:r>
      <w:r w:rsidR="000023D8">
        <w:rPr>
          <w:rFonts w:hint="eastAsia"/>
        </w:rPr>
        <w:t>定</w:t>
      </w:r>
      <w:r w:rsidRPr="00AC77DF">
        <w:t>教師研究、教學、服務及輔導等考核内容，且研究權重不宜過低，以落實教師研究職責。另將啟動教師法修法，規劃教師有違反限期升</w:t>
      </w:r>
      <w:r w:rsidRPr="004430FE">
        <w:rPr>
          <w:spacing w:val="2"/>
        </w:rPr>
        <w:t>等之聘約倏款，由服務學校報主管機關核定後，予以資遣。</w:t>
      </w:r>
    </w:p>
    <w:p w:rsidR="003807A5" w:rsidRPr="00AC77DF" w:rsidRDefault="003807A5" w:rsidP="00425EE5">
      <w:pPr>
        <w:pStyle w:val="1----"/>
        <w:ind w:left="600" w:hanging="360"/>
      </w:pPr>
      <w:r w:rsidRPr="00AC77DF">
        <w:t>7</w:t>
      </w:r>
      <w:r w:rsidRPr="00AC77DF">
        <w:t>、持續推動重點學校補助計畫建立審查共識，配合教學實踐研究計書推動，未來學界對教學研究將會因計畫審査及升等著作審查累精相當共識，審查委員所屬學門來源將可擴大，作為審查人才庫名單來源，資料庫可日益完善；另將</w:t>
      </w:r>
      <w:r w:rsidRPr="004430FE">
        <w:rPr>
          <w:spacing w:val="2"/>
        </w:rPr>
        <w:t>結合研討會請學校應落實審查保密機制，以維審查公平性。</w:t>
      </w:r>
    </w:p>
    <w:p w:rsidR="003807A5" w:rsidRPr="00AC77DF" w:rsidRDefault="003807A5" w:rsidP="00425EE5">
      <w:pPr>
        <w:pStyle w:val="1----"/>
        <w:ind w:left="600" w:hanging="360"/>
      </w:pPr>
      <w:r w:rsidRPr="00AC77DF">
        <w:t>8</w:t>
      </w:r>
      <w:r w:rsidRPr="00AC77DF">
        <w:t>、有關「大學聘任專業技術人員擔任教學辦法」規定合宜性</w:t>
      </w:r>
      <w:r w:rsidRPr="00AC77DF">
        <w:lastRenderedPageBreak/>
        <w:t>，將進</w:t>
      </w:r>
      <w:r w:rsidR="00B45ED4">
        <w:rPr>
          <w:rFonts w:hint="eastAsia"/>
          <w:lang w:eastAsia="zh-TW"/>
        </w:rPr>
        <w:t>一</w:t>
      </w:r>
      <w:r w:rsidRPr="00AC77DF">
        <w:t>步了解學校實務辦理現況及需求，再行研議。</w:t>
      </w:r>
    </w:p>
    <w:p w:rsidR="003807A5" w:rsidRPr="00AC77DF" w:rsidRDefault="003807A5" w:rsidP="00425EE5">
      <w:pPr>
        <w:pStyle w:val="1----"/>
        <w:ind w:left="600" w:hanging="360"/>
      </w:pPr>
      <w:r w:rsidRPr="00AC77DF">
        <w:t>9</w:t>
      </w:r>
      <w:r w:rsidRPr="00AC77DF">
        <w:t>、</w:t>
      </w:r>
      <w:r w:rsidR="00F47095">
        <w:rPr>
          <w:rFonts w:hint="eastAsia"/>
        </w:rPr>
        <w:t>於</w:t>
      </w:r>
      <w:r w:rsidRPr="00AC77DF">
        <w:t>每年</w:t>
      </w:r>
      <w:r w:rsidR="00F47095">
        <w:t>辦</w:t>
      </w:r>
      <w:r w:rsidRPr="00AC77DF">
        <w:t>理之教師資格審查實務研討會或行政救濟業務研討會，以案例及錯誤樣態分析方式向學校宣導，並請學校務必檢視學校申評會人員組成及辦理程序。</w:t>
      </w:r>
    </w:p>
    <w:p w:rsidR="003807A5" w:rsidRPr="00AC77DF" w:rsidRDefault="003807A5" w:rsidP="00425EE5">
      <w:pPr>
        <w:pStyle w:val="1----"/>
        <w:ind w:left="600" w:hanging="360"/>
      </w:pPr>
      <w:r w:rsidRPr="00AC77DF">
        <w:t>10</w:t>
      </w:r>
      <w:r w:rsidRPr="00AC77DF">
        <w:t>、加強宣導學校應依大法官解釋及審定辦法規定辦理。</w:t>
      </w:r>
    </w:p>
    <w:p w:rsidR="003807A5" w:rsidRPr="00AC77DF" w:rsidRDefault="003807A5" w:rsidP="00425EE5">
      <w:pPr>
        <w:pStyle w:val="1----"/>
        <w:ind w:left="720" w:hangingChars="200" w:hanging="480"/>
      </w:pPr>
      <w:r w:rsidRPr="00AC77DF">
        <w:t>11</w:t>
      </w:r>
      <w:r w:rsidRPr="00AC77DF">
        <w:t>、依審定辦法第</w:t>
      </w:r>
      <w:r w:rsidRPr="00AC77DF">
        <w:t>45</w:t>
      </w:r>
      <w:r w:rsidRPr="00AC77DF">
        <w:t>條規定督請學校改善，仍不改善者將納入學校評鑑、扣減獎（補）助或行政考核之依</w:t>
      </w:r>
      <w:r w:rsidR="00A97E4D">
        <w:rPr>
          <w:rFonts w:hint="eastAsia"/>
          <w:lang w:eastAsia="zh-TW"/>
        </w:rPr>
        <w:t>據</w:t>
      </w:r>
      <w:r w:rsidRPr="00AC77DF">
        <w:t>，並追究相關人員責任。</w:t>
      </w:r>
    </w:p>
    <w:p w:rsidR="003807A5" w:rsidRPr="00AC77DF" w:rsidRDefault="003807A5" w:rsidP="00425EE5">
      <w:pPr>
        <w:pStyle w:val="1----"/>
        <w:ind w:left="720" w:hangingChars="200" w:hanging="480"/>
      </w:pPr>
      <w:r w:rsidRPr="00AC77DF">
        <w:t>12</w:t>
      </w:r>
      <w:r w:rsidRPr="00AC77DF">
        <w:t>、</w:t>
      </w:r>
      <w:r w:rsidR="00F47095">
        <w:rPr>
          <w:rFonts w:hint="eastAsia"/>
        </w:rPr>
        <w:t>若</w:t>
      </w:r>
      <w:r w:rsidRPr="00AC77DF">
        <w:t>學校未依救濟機關要求另為適法之處分，將依審定</w:t>
      </w:r>
      <w:r w:rsidR="00F47095">
        <w:t>辦</w:t>
      </w:r>
      <w:r w:rsidRPr="00AC77DF">
        <w:t>法第</w:t>
      </w:r>
      <w:r w:rsidRPr="00AC77DF">
        <w:t>45</w:t>
      </w:r>
      <w:r w:rsidRPr="00AC77DF">
        <w:t>條規定，請學校將該案件由高一級之教評會重為審查程序；若屬校教評會未辦理者，由該部令其限期改善，惟仍不改善者將納入學校評鑑、扣減獎（補）助或行政考核之依據，並追究相關人員責任。另必要時，教師得向該部申請代審，替代學校外審程序。</w:t>
      </w:r>
    </w:p>
    <w:p w:rsidR="003807A5" w:rsidRPr="00AC77DF" w:rsidRDefault="00532441" w:rsidP="00FA42B3">
      <w:pPr>
        <w:pStyle w:val="afff1"/>
        <w:spacing w:before="360" w:after="360"/>
      </w:pPr>
      <w:bookmarkStart w:id="485" w:name="_Toc529885028"/>
      <w:bookmarkStart w:id="486" w:name="_Toc529885336"/>
      <w:r>
        <w:rPr>
          <w:rFonts w:hint="eastAsia"/>
        </w:rPr>
        <w:t>(四)</w:t>
      </w:r>
      <w:r w:rsidR="003807A5" w:rsidRPr="00AC77DF">
        <w:t>案件進展</w:t>
      </w:r>
      <w:bookmarkEnd w:id="485"/>
      <w:bookmarkEnd w:id="486"/>
    </w:p>
    <w:p w:rsidR="003807A5" w:rsidRPr="00AC77DF" w:rsidRDefault="003807A5" w:rsidP="00B7222B">
      <w:pPr>
        <w:pStyle w:val="1---"/>
        <w:ind w:firstLine="480"/>
      </w:pPr>
      <w:r w:rsidRPr="00AC77DF">
        <w:t>教育部已有具體改善措施，本案已結案。</w:t>
      </w:r>
    </w:p>
    <w:p w:rsidR="00532441" w:rsidRDefault="00532441" w:rsidP="00532441">
      <w:pPr>
        <w:pStyle w:val="1---"/>
        <w:ind w:firstLine="480"/>
        <w:rPr>
          <w:lang w:eastAsia="zh-TW"/>
        </w:rPr>
      </w:pPr>
      <w:bookmarkStart w:id="487" w:name="_Toc529885337"/>
      <w:bookmarkStart w:id="488" w:name="_Toc535228391"/>
      <w:bookmarkStart w:id="489" w:name="_Toc4058802"/>
    </w:p>
    <w:tbl>
      <w:tblPr>
        <w:tblStyle w:val="aff5"/>
        <w:tblW w:w="0" w:type="auto"/>
        <w:tblInd w:w="113" w:type="dxa"/>
        <w:shd w:val="clear" w:color="auto" w:fill="D9D9D9" w:themeFill="background1" w:themeFillShade="D9"/>
        <w:tblLook w:val="04A0" w:firstRow="1" w:lastRow="0" w:firstColumn="1" w:lastColumn="0" w:noHBand="0" w:noVBand="1"/>
      </w:tblPr>
      <w:tblGrid>
        <w:gridCol w:w="4248"/>
      </w:tblGrid>
      <w:tr w:rsidR="00532441" w:rsidTr="004430FE">
        <w:tc>
          <w:tcPr>
            <w:tcW w:w="4248" w:type="dxa"/>
            <w:shd w:val="clear" w:color="auto" w:fill="D9D9D9" w:themeFill="background1" w:themeFillShade="D9"/>
          </w:tcPr>
          <w:p w:rsidR="00532441" w:rsidRDefault="00532441" w:rsidP="00532441">
            <w:pPr>
              <w:pStyle w:val="11-"/>
              <w:spacing w:before="72" w:after="108"/>
              <w:rPr>
                <w:lang w:eastAsia="zh-TW"/>
              </w:rPr>
            </w:pPr>
            <w:r w:rsidRPr="00AC77DF">
              <w:t>不良司法官轉任律師相關規範</w:t>
            </w:r>
          </w:p>
        </w:tc>
      </w:tr>
    </w:tbl>
    <w:p w:rsidR="003807A5" w:rsidRPr="00AC77DF" w:rsidRDefault="00532441" w:rsidP="000B692A">
      <w:pPr>
        <w:pStyle w:val="afff1"/>
        <w:spacing w:before="360" w:after="360"/>
      </w:pPr>
      <w:bookmarkStart w:id="490" w:name="_Toc529885035"/>
      <w:bookmarkStart w:id="491" w:name="_Toc529885338"/>
      <w:bookmarkEnd w:id="487"/>
      <w:bookmarkEnd w:id="488"/>
      <w:bookmarkEnd w:id="489"/>
      <w:r>
        <w:rPr>
          <w:rFonts w:hint="eastAsia"/>
        </w:rPr>
        <w:t>(一)</w:t>
      </w:r>
      <w:r w:rsidR="003807A5" w:rsidRPr="00AC77DF">
        <w:t>案情簡述</w:t>
      </w:r>
      <w:bookmarkEnd w:id="490"/>
      <w:bookmarkEnd w:id="491"/>
    </w:p>
    <w:p w:rsidR="003807A5" w:rsidRPr="00AC77DF" w:rsidRDefault="003807A5" w:rsidP="00B7222B">
      <w:pPr>
        <w:pStyle w:val="1---"/>
        <w:ind w:firstLine="480"/>
        <w:rPr>
          <w:b/>
        </w:rPr>
      </w:pPr>
      <w:r w:rsidRPr="00AC77DF">
        <w:t>據訴，針對在檢察官任內因案入獄的臺灣南投地方檢察署</w:t>
      </w:r>
      <w:r w:rsidRPr="00AC77DF">
        <w:lastRenderedPageBreak/>
        <w:t>前檢察官，出獄後以律師身分向台南律師公會申請入會執業，公會以犯貪污罪不適任律師為由否決入會。究法務部對於不良檢察官、法官轉任律師應如何管制處理？該部處理相關制度規範，是否符合律師作為在野法曹之法律倫理要求，均有深入調查之必要，爰經監察委員立案調查。</w:t>
      </w:r>
    </w:p>
    <w:p w:rsidR="003807A5" w:rsidRPr="00AC77DF" w:rsidRDefault="00532441" w:rsidP="000B692A">
      <w:pPr>
        <w:pStyle w:val="afff1"/>
        <w:spacing w:before="360" w:after="360"/>
      </w:pPr>
      <w:bookmarkStart w:id="492" w:name="_Toc529885036"/>
      <w:bookmarkStart w:id="493" w:name="_Toc529885339"/>
      <w:r>
        <w:rPr>
          <w:rFonts w:hint="eastAsia"/>
        </w:rPr>
        <w:t>(二)</w:t>
      </w:r>
      <w:r w:rsidR="003807A5" w:rsidRPr="00AC77DF">
        <w:t>監察院調查發現與建議</w:t>
      </w:r>
      <w:bookmarkEnd w:id="492"/>
      <w:bookmarkEnd w:id="493"/>
    </w:p>
    <w:p w:rsidR="003807A5" w:rsidRPr="00AC77DF" w:rsidRDefault="00597483" w:rsidP="006B7CBE">
      <w:pPr>
        <w:pStyle w:val="1--13"/>
        <w:spacing w:before="180" w:after="180"/>
      </w:pPr>
      <w:r w:rsidRPr="008E1832">
        <w:rPr>
          <w:rFonts w:hint="eastAsia"/>
        </w:rPr>
        <w:t>˙</w:t>
      </w:r>
      <w:r w:rsidR="003807A5" w:rsidRPr="00AC77DF">
        <w:t>違反法律價值與工作權保障之權衡</w:t>
      </w:r>
    </w:p>
    <w:p w:rsidR="003807A5" w:rsidRPr="00AC77DF" w:rsidRDefault="003807A5" w:rsidP="00B7222B">
      <w:pPr>
        <w:pStyle w:val="1---"/>
        <w:ind w:firstLine="480"/>
      </w:pPr>
      <w:r w:rsidRPr="00AC77DF">
        <w:t>人民符合法定資格從事律師職業之工作權利，固應予保障，惟目前司法實務就違反法律核心倫理之行止之法律工作者，依法仍得轉任律師，不符合現今社會人民法感情，自應檢討研究以填補相關法律漏洞。</w:t>
      </w:r>
    </w:p>
    <w:p w:rsidR="003807A5" w:rsidRPr="00AC77DF" w:rsidRDefault="00597483" w:rsidP="006B7CBE">
      <w:pPr>
        <w:pStyle w:val="1--13"/>
        <w:spacing w:before="180" w:after="180"/>
      </w:pPr>
      <w:r w:rsidRPr="008E1832">
        <w:rPr>
          <w:rFonts w:hint="eastAsia"/>
        </w:rPr>
        <w:t>˙</w:t>
      </w:r>
      <w:r w:rsidR="003807A5" w:rsidRPr="00AC77DF">
        <w:t>資格限制宜合理規範</w:t>
      </w:r>
    </w:p>
    <w:p w:rsidR="003807A5" w:rsidRPr="00AC77DF" w:rsidRDefault="003807A5" w:rsidP="00B7222B">
      <w:pPr>
        <w:pStyle w:val="1---"/>
        <w:ind w:firstLine="480"/>
      </w:pPr>
      <w:r w:rsidRPr="00AC77DF">
        <w:t>律師消極資格之限制，應採最小侵害原則。監察院經初步檢討律師資格規範之事物本質，發現現行實定法對律師有較高倫理道德之要求，而以「誠實義務」與「真實義務」作為法律各職業別核心範疇，與德國制度相近。為兼顧工作權保障與律師職業倫理之維護，法務部所擬之律師法修正草案「依其罪名及情節足認有害於律師之信譽</w:t>
      </w:r>
      <w:r w:rsidRPr="004430FE">
        <w:rPr>
          <w:spacing w:val="-30"/>
        </w:rPr>
        <w:t>」、</w:t>
      </w:r>
      <w:r w:rsidRPr="00AC77DF">
        <w:t>「違法執行律師職務或有與律師職務不相容之行為，且情節重大」等，屬不確定法律概念之概括條款，得考量訂定符合公共利益，具有可預見性之客觀要件之命令，俾符正當法律程序原則，以保障法律人合法轉職之</w:t>
      </w:r>
      <w:r w:rsidRPr="00AC77DF">
        <w:lastRenderedPageBreak/>
        <w:t>權利。</w:t>
      </w:r>
    </w:p>
    <w:p w:rsidR="003807A5" w:rsidRPr="00AC77DF" w:rsidRDefault="003807A5" w:rsidP="00B7222B">
      <w:pPr>
        <w:pStyle w:val="1---"/>
        <w:ind w:firstLine="480"/>
        <w:rPr>
          <w:b/>
        </w:rPr>
      </w:pPr>
      <w:r w:rsidRPr="00AC77DF">
        <w:t>依據本案調查意見</w:t>
      </w:r>
      <w:r w:rsidRPr="00AC77DF">
        <w:rPr>
          <w:rStyle w:val="aff2"/>
        </w:rPr>
        <w:footnoteReference w:id="109"/>
      </w:r>
      <w:r w:rsidRPr="00AC77DF">
        <w:t>，監察院函請司法院及法務部參考研究。</w:t>
      </w:r>
    </w:p>
    <w:p w:rsidR="003807A5" w:rsidRPr="00AC77DF" w:rsidRDefault="00532441" w:rsidP="000B692A">
      <w:pPr>
        <w:pStyle w:val="afff1"/>
        <w:spacing w:before="360" w:after="360"/>
      </w:pPr>
      <w:bookmarkStart w:id="494" w:name="_Toc529885037"/>
      <w:bookmarkStart w:id="495" w:name="_Toc529885340"/>
      <w:r>
        <w:rPr>
          <w:rFonts w:hint="eastAsia"/>
        </w:rPr>
        <w:t>(三)</w:t>
      </w:r>
      <w:r w:rsidR="003807A5" w:rsidRPr="00AC77DF">
        <w:t>政府機關改善情形</w:t>
      </w:r>
      <w:bookmarkEnd w:id="494"/>
      <w:bookmarkEnd w:id="495"/>
    </w:p>
    <w:p w:rsidR="003807A5" w:rsidRPr="00AC77DF" w:rsidRDefault="003807A5" w:rsidP="00B7222B">
      <w:pPr>
        <w:pStyle w:val="1---"/>
        <w:ind w:firstLine="480"/>
        <w:rPr>
          <w:b/>
        </w:rPr>
      </w:pPr>
      <w:r w:rsidRPr="00AC77DF">
        <w:t>本案已請司法院及法務部參考研究。</w:t>
      </w:r>
    </w:p>
    <w:p w:rsidR="003807A5" w:rsidRPr="00AC77DF" w:rsidRDefault="00532441" w:rsidP="000B692A">
      <w:pPr>
        <w:pStyle w:val="afff1"/>
        <w:spacing w:before="360" w:after="360"/>
      </w:pPr>
      <w:bookmarkStart w:id="496" w:name="_Toc529885038"/>
      <w:bookmarkStart w:id="497" w:name="_Toc529885341"/>
      <w:r>
        <w:rPr>
          <w:rFonts w:hint="eastAsia"/>
        </w:rPr>
        <w:t>(四)</w:t>
      </w:r>
      <w:r w:rsidR="003807A5" w:rsidRPr="00AC77DF">
        <w:t>案件進展</w:t>
      </w:r>
      <w:bookmarkEnd w:id="496"/>
      <w:bookmarkEnd w:id="497"/>
    </w:p>
    <w:p w:rsidR="003807A5" w:rsidRPr="00AC77DF" w:rsidRDefault="003807A5" w:rsidP="00B7222B">
      <w:pPr>
        <w:pStyle w:val="1---"/>
        <w:ind w:firstLine="480"/>
      </w:pPr>
      <w:r w:rsidRPr="00AC77DF">
        <w:t>本案已結案。</w:t>
      </w:r>
    </w:p>
    <w:p w:rsidR="003807A5" w:rsidRPr="00AC77DF" w:rsidRDefault="00532441" w:rsidP="00532441">
      <w:pPr>
        <w:pStyle w:val="1--16"/>
        <w:spacing w:before="180" w:after="180"/>
      </w:pPr>
      <w:bookmarkStart w:id="498" w:name="_Toc529885054"/>
      <w:bookmarkStart w:id="499" w:name="_Toc529885347"/>
      <w:bookmarkStart w:id="500" w:name="_Toc535228392"/>
      <w:bookmarkStart w:id="501" w:name="_Toc4058803"/>
      <w:r>
        <w:rPr>
          <w:rFonts w:hint="eastAsia"/>
        </w:rPr>
        <w:t>◆</w:t>
      </w:r>
      <w:r w:rsidR="003807A5" w:rsidRPr="00AC77DF">
        <w:t>評析</w:t>
      </w:r>
      <w:bookmarkEnd w:id="498"/>
      <w:bookmarkEnd w:id="499"/>
      <w:bookmarkEnd w:id="500"/>
      <w:bookmarkEnd w:id="501"/>
    </w:p>
    <w:p w:rsidR="003807A5" w:rsidRPr="00AC77DF" w:rsidRDefault="003807A5" w:rsidP="00B7222B">
      <w:pPr>
        <w:pStyle w:val="1---"/>
        <w:ind w:firstLine="480"/>
        <w:rPr>
          <w:lang w:eastAsia="zh-TW"/>
        </w:rPr>
      </w:pPr>
      <w:r w:rsidRPr="00AC77DF">
        <w:t>聯合國於</w:t>
      </w:r>
      <w:r w:rsidRPr="00AC77DF">
        <w:t>1979</w:t>
      </w:r>
      <w:r w:rsidRPr="00AC77DF">
        <w:t>年通過「消除對婦女一切形式歧視公約」揭示婦女與男子在平等的基礎上，行使和享有人權和基本自由。我國於</w:t>
      </w:r>
      <w:r w:rsidRPr="00AC77DF">
        <w:t>100</w:t>
      </w:r>
      <w:r w:rsidRPr="00AC77DF">
        <w:t>年</w:t>
      </w:r>
      <w:r w:rsidRPr="00AC77DF">
        <w:t>6</w:t>
      </w:r>
      <w:r w:rsidRPr="00AC77DF">
        <w:t>月</w:t>
      </w:r>
      <w:r w:rsidRPr="00AC77DF">
        <w:t>8</w:t>
      </w:r>
      <w:r w:rsidRPr="00AC77DF">
        <w:t>日發布，</w:t>
      </w:r>
      <w:r w:rsidRPr="00AC77DF">
        <w:t>101</w:t>
      </w:r>
      <w:r w:rsidRPr="00AC77DF">
        <w:t>年</w:t>
      </w:r>
      <w:r w:rsidRPr="00AC77DF">
        <w:t>1</w:t>
      </w:r>
      <w:r w:rsidRPr="00AC77DF">
        <w:t>月</w:t>
      </w:r>
      <w:r w:rsidRPr="00AC77DF">
        <w:t>1</w:t>
      </w:r>
      <w:r w:rsidRPr="00AC77DF">
        <w:t>日起施行「消除對婦女一切形式歧視公約施行法</w:t>
      </w:r>
      <w:r w:rsidRPr="004430FE">
        <w:rPr>
          <w:spacing w:val="-30"/>
        </w:rPr>
        <w:t>」</w:t>
      </w:r>
      <w:r w:rsidRPr="00AC77DF">
        <w:t>，明定</w:t>
      </w:r>
      <w:r w:rsidRPr="00AC77DF">
        <w:t>CEDAW</w:t>
      </w:r>
      <w:r w:rsidRPr="00AC77DF">
        <w:t>具國內法效力。</w:t>
      </w:r>
      <w:r w:rsidRPr="00AC77DF">
        <w:t>CEDAW</w:t>
      </w:r>
      <w:r w:rsidRPr="00AC77DF">
        <w:t>第</w:t>
      </w:r>
      <w:r w:rsidRPr="00AC77DF">
        <w:t>3</w:t>
      </w:r>
      <w:r w:rsidRPr="00AC77DF">
        <w:t>條規定</w:t>
      </w:r>
      <w:r w:rsidRPr="004430FE">
        <w:rPr>
          <w:spacing w:val="-30"/>
        </w:rPr>
        <w:t>：</w:t>
      </w:r>
      <w:r w:rsidRPr="00AC77DF">
        <w:t>「締約各國應承擔在所有領域，特別是在政治、社會、經濟、文化領域，採取一切適當措施，包括制定法律，保證婦女得到充分發展和進步，以確保婦女在與男子平等的基礎上，行使和享有人權和基本自由</w:t>
      </w:r>
      <w:r w:rsidRPr="004430FE">
        <w:rPr>
          <w:spacing w:val="-30"/>
        </w:rPr>
        <w:t>。</w:t>
      </w:r>
      <w:r w:rsidRPr="00AC77DF">
        <w:t>」有鑑於此，政府機關應致力促進婦女就業平等、避免職場性別歧視及防治職場性騷擾，以促進性別地位實質平等及就業平等。雖相關主管</w:t>
      </w:r>
      <w:r w:rsidRPr="00AC77DF">
        <w:lastRenderedPageBreak/>
        <w:t>機關已推動各項法治及宣導措施</w:t>
      </w:r>
      <w:r w:rsidRPr="00AC77DF">
        <w:rPr>
          <w:lang w:eastAsia="zh-TW"/>
        </w:rPr>
        <w:t>，</w:t>
      </w:r>
      <w:r w:rsidRPr="00AC77DF">
        <w:t>惟政府部門仍有職場性騷擾事件</w:t>
      </w:r>
      <w:r w:rsidRPr="00AC77DF">
        <w:rPr>
          <w:lang w:eastAsia="zh-TW"/>
        </w:rPr>
        <w:t>。</w:t>
      </w:r>
      <w:r w:rsidRPr="00AC77DF">
        <w:t>本書摘錄</w:t>
      </w:r>
      <w:r w:rsidRPr="00AC77DF">
        <w:t>2017</w:t>
      </w:r>
      <w:r w:rsidRPr="00AC77DF">
        <w:t>年監察委員調查處理性騷擾事件涉違失案及健全性騷擾防治申訴調查機制兩案，案經調查後，相關機關已對違失人員進行處置，並改善諸多措施。</w:t>
      </w:r>
    </w:p>
    <w:p w:rsidR="003807A5" w:rsidRPr="00AC77DF" w:rsidRDefault="003807A5" w:rsidP="00B7222B">
      <w:pPr>
        <w:pStyle w:val="1---"/>
        <w:ind w:firstLine="480"/>
      </w:pPr>
      <w:r w:rsidRPr="00AC77DF">
        <w:t>按經濟社會文化權利國際公約第</w:t>
      </w:r>
      <w:r w:rsidRPr="00AC77DF">
        <w:t>7</w:t>
      </w:r>
      <w:r w:rsidRPr="00AC77DF">
        <w:t>條規定意旨，國家應保障人民享受公平與良好之工作條件，尤須確保所有工作者之報酬公允，且有安全衛生之工作環境。然我國職業災害造成勞工死傷情況嚴重，且重大職災中近</w:t>
      </w:r>
      <w:r w:rsidRPr="00AC77DF">
        <w:t>6</w:t>
      </w:r>
      <w:r w:rsidRPr="00AC77DF">
        <w:t>成事業單位未曾受檢，經監察委員就職業災害防治檢討案調查後，主管機關已進行多項改進措施。期許我國勞動者之工作安全得以提升，避免重大職災之發生。</w:t>
      </w:r>
    </w:p>
    <w:p w:rsidR="003807A5" w:rsidRPr="00AC77DF" w:rsidRDefault="003807A5" w:rsidP="00B7222B">
      <w:pPr>
        <w:pStyle w:val="1---"/>
        <w:ind w:firstLine="480"/>
        <w:rPr>
          <w:lang w:eastAsia="zh-TW"/>
        </w:rPr>
      </w:pPr>
      <w:r w:rsidRPr="0025002C">
        <w:rPr>
          <w:rFonts w:hint="eastAsia"/>
        </w:rPr>
        <w:t>勞基法</w:t>
      </w:r>
      <w:r w:rsidRPr="00AC77DF">
        <w:t>明文規定，</w:t>
      </w:r>
      <w:r w:rsidRPr="00AC77DF">
        <w:rPr>
          <w:lang w:eastAsia="zh-TW"/>
        </w:rPr>
        <w:t>雇主要解僱勞工，</w:t>
      </w:r>
      <w:r w:rsidRPr="00AC77DF">
        <w:t>應</w:t>
      </w:r>
      <w:r w:rsidRPr="00AC77DF">
        <w:rPr>
          <w:lang w:eastAsia="zh-TW"/>
        </w:rPr>
        <w:t>有</w:t>
      </w:r>
      <w:r w:rsidRPr="00AC77DF">
        <w:t>該法</w:t>
      </w:r>
      <w:r w:rsidRPr="00AC77DF">
        <w:rPr>
          <w:lang w:eastAsia="zh-TW"/>
        </w:rPr>
        <w:t>第</w:t>
      </w:r>
      <w:r w:rsidRPr="00AC77DF">
        <w:rPr>
          <w:lang w:eastAsia="zh-TW"/>
        </w:rPr>
        <w:t>11</w:t>
      </w:r>
      <w:r w:rsidRPr="00AC77DF">
        <w:rPr>
          <w:lang w:eastAsia="zh-TW"/>
        </w:rPr>
        <w:t>條或第</w:t>
      </w:r>
      <w:r w:rsidRPr="00AC77DF">
        <w:rPr>
          <w:lang w:eastAsia="zh-TW"/>
        </w:rPr>
        <w:t>12</w:t>
      </w:r>
      <w:r w:rsidRPr="00AC77DF">
        <w:rPr>
          <w:lang w:eastAsia="zh-TW"/>
        </w:rPr>
        <w:t>條所定</w:t>
      </w:r>
      <w:r w:rsidRPr="00AC77DF">
        <w:t>事由</w:t>
      </w:r>
      <w:r w:rsidRPr="00AC77DF">
        <w:rPr>
          <w:lang w:eastAsia="zh-TW"/>
        </w:rPr>
        <w:t>，雇主才能終止勞動契約。</w:t>
      </w:r>
      <w:r w:rsidRPr="00AC77DF">
        <w:t>然本章摘錄不當解僱護理人員</w:t>
      </w:r>
      <w:r w:rsidRPr="00AC77DF">
        <w:rPr>
          <w:lang w:eastAsia="zh-TW"/>
        </w:rPr>
        <w:t>、</w:t>
      </w:r>
      <w:r w:rsidRPr="00AC77DF">
        <w:t>無預警停飛及教師不續聘等</w:t>
      </w:r>
      <w:r w:rsidRPr="00AC77DF">
        <w:rPr>
          <w:lang w:eastAsia="zh-TW"/>
        </w:rPr>
        <w:t>3</w:t>
      </w:r>
      <w:r w:rsidRPr="00AC77DF">
        <w:t>案。經監察院調查後，相關機關已從制度面進行調整與改善。期許透過法制面調整與研析，讓勞動者獲得適切保障。</w:t>
      </w:r>
    </w:p>
    <w:p w:rsidR="003807A5" w:rsidRDefault="003807A5" w:rsidP="00B7222B">
      <w:pPr>
        <w:pStyle w:val="1---"/>
        <w:ind w:firstLine="480"/>
        <w:rPr>
          <w:lang w:eastAsia="zh-TW"/>
        </w:rPr>
      </w:pPr>
      <w:r w:rsidRPr="00AC77DF">
        <w:t>本章另摘錄大專教師升等多元自主機制及不良司法官轉任律師相關規範等通案性調查</w:t>
      </w:r>
      <w:r w:rsidRPr="00AC77DF">
        <w:t>2</w:t>
      </w:r>
      <w:r w:rsidRPr="00AC77DF">
        <w:t>案，均屬制度面研析與探討。由於上開二議題涉及價值之權衡</w:t>
      </w:r>
      <w:r w:rsidRPr="00AC77DF">
        <w:rPr>
          <w:lang w:eastAsia="zh-TW"/>
        </w:rPr>
        <w:t>，</w:t>
      </w:r>
      <w:r w:rsidRPr="00AC77DF">
        <w:t>在民主多元社會下，難以論及何者為對</w:t>
      </w:r>
      <w:r w:rsidRPr="00AC77DF">
        <w:rPr>
          <w:lang w:eastAsia="zh-TW"/>
        </w:rPr>
        <w:t>、</w:t>
      </w:r>
      <w:r w:rsidRPr="00AC77DF">
        <w:t>何者為錯，惟有透過健全制度與適時檢討，才能找出最適方案。</w:t>
      </w:r>
    </w:p>
    <w:p w:rsidR="004430FE" w:rsidRPr="00AC77DF" w:rsidRDefault="004430FE" w:rsidP="00B7222B">
      <w:pPr>
        <w:pStyle w:val="1---"/>
        <w:ind w:firstLine="480"/>
        <w:rPr>
          <w:lang w:eastAsia="zh-TW"/>
        </w:rPr>
      </w:pPr>
    </w:p>
    <w:p w:rsidR="004430FE" w:rsidRDefault="004430FE">
      <w:pPr>
        <w:widowControl/>
        <w:snapToGrid/>
        <w:rPr>
          <w:b/>
          <w:noProof/>
          <w:color w:val="000000" w:themeColor="text1"/>
          <w:sz w:val="36"/>
          <w:szCs w:val="36"/>
        </w:rPr>
        <w:sectPr w:rsidR="004430FE" w:rsidSect="00037CD1">
          <w:headerReference w:type="even" r:id="rId25"/>
          <w:headerReference w:type="default" r:id="rId26"/>
          <w:pgSz w:w="8392" w:h="11907" w:code="11"/>
          <w:pgMar w:top="1701" w:right="794" w:bottom="1134" w:left="964" w:header="624" w:footer="397" w:gutter="0"/>
          <w:cols w:space="425"/>
          <w:docGrid w:type="lines" w:linePitch="360"/>
        </w:sectPr>
      </w:pPr>
    </w:p>
    <w:p w:rsidR="003807A5" w:rsidRPr="00AC77DF" w:rsidRDefault="003807A5" w:rsidP="00FC6F5B">
      <w:pPr>
        <w:pStyle w:val="1--"/>
        <w:spacing w:after="180"/>
      </w:pPr>
      <w:bookmarkStart w:id="502" w:name="_Toc535228393"/>
      <w:bookmarkStart w:id="503" w:name="_Toc4058804"/>
      <w:r w:rsidRPr="00AC77DF">
        <w:lastRenderedPageBreak/>
        <w:t>第七章</w:t>
      </w:r>
      <w:r w:rsidRPr="00AC77DF">
        <w:rPr>
          <w:rFonts w:ascii="細明體" w:eastAsia="細明體" w:hAnsi="細明體" w:cs="細明體" w:hint="eastAsia"/>
        </w:rPr>
        <w:t xml:space="preserve">　</w:t>
      </w:r>
      <w:r w:rsidRPr="00AC77DF">
        <w:rPr>
          <w:noProof/>
        </w:rPr>
        <mc:AlternateContent>
          <mc:Choice Requires="wps">
            <w:drawing>
              <wp:anchor distT="0" distB="0" distL="114300" distR="114300" simplePos="0" relativeHeight="251901952" behindDoc="0" locked="1" layoutInCell="1" allowOverlap="1" wp14:anchorId="52BE27E4" wp14:editId="640D435F">
                <wp:simplePos x="0" y="0"/>
                <wp:positionH relativeFrom="column">
                  <wp:posOffset>7989570</wp:posOffset>
                </wp:positionH>
                <wp:positionV relativeFrom="paragraph">
                  <wp:posOffset>-773430</wp:posOffset>
                </wp:positionV>
                <wp:extent cx="635000" cy="317500"/>
                <wp:effectExtent l="0" t="0" r="0" b="0"/>
                <wp:wrapNone/>
                <wp:docPr id="62" name="記錄"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832" w:rsidRDefault="00970832" w:rsidP="002952DE">
                            <w:pPr>
                              <w:jc w:val="center"/>
                              <w:rPr>
                                <w:sz w:val="18"/>
                              </w:rPr>
                            </w:pPr>
                            <w:r>
                              <w:rPr>
                                <w:sz w:val="18"/>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7" type="#_x0000_t202" style="position:absolute;left:0;text-align:left;margin-left:629.1pt;margin-top:-60.9pt;width:50pt;height:25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" stroked="f">
                <v:textbox>
                  <w:txbxContent>
                    <w:p w:rsidR="00895792" w:rsidRDefault="00895792" w:rsidP="002952DE">
                      <w:pPr>
                        <w:jc w:val="center"/>
                        <w:rPr>
                          <w:sz w:val="18"/>
                        </w:rPr>
                      </w:pPr>
                      <w:r>
                        <w:rPr>
                          <w:sz w:val="18"/>
                        </w:rPr>
                        <w:t>00</w:t>
                      </w:r>
                    </w:p>
                  </w:txbxContent>
                </v:textbox>
                <w10:anchorlock/>
              </v:shape>
            </w:pict>
          </mc:Fallback>
        </mc:AlternateContent>
      </w:r>
      <w:r w:rsidRPr="00AC77DF">
        <w:rPr>
          <w:noProof/>
        </w:rPr>
        <mc:AlternateContent>
          <mc:Choice Requires="wpg">
            <w:drawing>
              <wp:anchor distT="0" distB="0" distL="114300" distR="114300" simplePos="0" relativeHeight="251900928" behindDoc="0" locked="1" layoutInCell="0" allowOverlap="1" wp14:anchorId="6BDE82C7" wp14:editId="524C0261">
                <wp:simplePos x="0" y="0"/>
                <wp:positionH relativeFrom="column">
                  <wp:posOffset>-1651635</wp:posOffset>
                </wp:positionH>
                <wp:positionV relativeFrom="paragraph">
                  <wp:posOffset>22225</wp:posOffset>
                </wp:positionV>
                <wp:extent cx="149225" cy="8839200"/>
                <wp:effectExtent l="0" t="0" r="3175" b="19050"/>
                <wp:wrapNone/>
                <wp:docPr id="63" name="裝訂線"/>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39200"/>
                          <a:chOff x="745" y="1414"/>
                          <a:chExt cx="235" cy="13920"/>
                        </a:xfrm>
                      </wpg:grpSpPr>
                      <wps:wsp>
                        <wps:cNvPr id="64" name="Line 13"/>
                        <wps:cNvCnPr/>
                        <wps:spPr bwMode="auto">
                          <a:xfrm>
                            <a:off x="851" y="1414"/>
                            <a:ext cx="0" cy="139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5" name="Text Box 14"/>
                        <wps:cNvSpPr txBox="1">
                          <a:spLocks noChangeArrowheads="1"/>
                        </wps:cNvSpPr>
                        <wps:spPr bwMode="auto">
                          <a:xfrm>
                            <a:off x="745" y="5523"/>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2952DE">
                              <w:pPr>
                                <w:kinsoku w:val="0"/>
                                <w:wordWrap w:val="0"/>
                                <w:overflowPunct w:val="0"/>
                                <w:rPr>
                                  <w:sz w:val="20"/>
                                </w:rPr>
                              </w:pPr>
                              <w:r>
                                <w:rPr>
                                  <w:rFonts w:hint="eastAsia"/>
                                  <w:sz w:val="20"/>
                                </w:rPr>
                                <w:t>裝</w:t>
                              </w:r>
                            </w:p>
                          </w:txbxContent>
                        </wps:txbx>
                        <wps:bodyPr rot="0" vert="horz" wrap="square" lIns="0" tIns="0" rIns="0" bIns="0" anchor="t" anchorCtr="0" upright="1">
                          <a:noAutofit/>
                        </wps:bodyPr>
                      </wps:wsp>
                      <wps:wsp>
                        <wps:cNvPr id="66" name="Text Box 15"/>
                        <wps:cNvSpPr txBox="1">
                          <a:spLocks noChangeArrowheads="1"/>
                        </wps:cNvSpPr>
                        <wps:spPr bwMode="auto">
                          <a:xfrm>
                            <a:off x="745" y="8312"/>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2952DE">
                              <w:pPr>
                                <w:kinsoku w:val="0"/>
                                <w:wordWrap w:val="0"/>
                                <w:overflowPunct w:val="0"/>
                                <w:rPr>
                                  <w:sz w:val="20"/>
                                </w:rPr>
                              </w:pPr>
                              <w:r>
                                <w:rPr>
                                  <w:rFonts w:hint="eastAsia"/>
                                  <w:sz w:val="20"/>
                                </w:rPr>
                                <w:t>訂</w:t>
                              </w:r>
                            </w:p>
                          </w:txbxContent>
                        </wps:txbx>
                        <wps:bodyPr rot="0" vert="horz" wrap="square" lIns="0" tIns="0" rIns="0" bIns="0" anchor="t" anchorCtr="0" upright="1">
                          <a:noAutofit/>
                        </wps:bodyPr>
                      </wps:wsp>
                      <wps:wsp>
                        <wps:cNvPr id="67" name="Text Box 16"/>
                        <wps:cNvSpPr txBox="1">
                          <a:spLocks noChangeArrowheads="1"/>
                        </wps:cNvSpPr>
                        <wps:spPr bwMode="auto">
                          <a:xfrm>
                            <a:off x="745" y="11127"/>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2952DE">
                              <w:pPr>
                                <w:kinsoku w:val="0"/>
                                <w:wordWrap w:val="0"/>
                                <w:overflowPunct w:val="0"/>
                                <w:rPr>
                                  <w:sz w:val="20"/>
                                </w:rPr>
                              </w:pPr>
                              <w:r>
                                <w:rPr>
                                  <w:rFonts w:hint="eastAsia"/>
                                  <w:sz w:val="20"/>
                                </w:rPr>
                                <w:t>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08" style="position:absolute;left:0;text-align:left;margin-left:-130.05pt;margin-top:1.75pt;width:11.75pt;height:696pt;z-index:251900928" coordorigin="745,1414" coordsize="235,1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" o:allowincell="f">
                <v:line id="Line 13" o:spid="_x0000_s1109" style="position:absolute;visibility:visible;mso-wrap-style:square" from="851,1414" to="851,1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Y0qsQAAADbAAAADwAAAGRycy9kb3ducmV2LnhtbESPT2sCMRTE7wW/Q3hCbzVrKVZXo9hC&#10;wb8Hty30+Ng8k8XNy7KJun57Uyj0OMzMb5jZonO1uFAbKs8KhoMMBHHpdcVGwdfnx9MYRIjIGmvP&#10;pOBGARbz3sMMc+2vfKBLEY1IEA45KrAxNrmUobTkMAx8Q5y8o28dxiRbI3WL1wR3tXzOspF0WHFa&#10;sNjQu6XyVJydgu3rqv42/FPs1sfw5iebg9wbq9Rjv1tOQUTq4n/4r73SCkYv8Psl/Q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JjSqxAAAANsAAAAPAAAAAAAAAAAA&#10;AAAAAKECAABkcnMvZG93bnJldi54bWxQSwUGAAAAAAQABAD5AAAAkgMAAAAA&#10;">
                  <v:stroke dashstyle="1 1"/>
                </v:line>
                <v:shape id="Text Box 14" o:spid="_x0000_s1110" type="#_x0000_t202" style="position:absolute;left:745;top:5523;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AXUMMA&#10;AADbAAAADwAAAGRycy9kb3ducmV2LnhtbESPT4vCMBTE7wt+h/AEb2uqUJFqlFUU/+BFLYvHR/O2&#10;Ldu8lCZq/fZGEDwOM/MbZjpvTSVu1LjSsoJBPwJBnFldcq4gPa+/xyCcR9ZYWSYFD3Iwn3W+ppho&#10;e+cj3U4+FwHCLkEFhfd1IqXLCjLo+rYmDt6fbQz6IJtc6gbvAW4qOYyikTRYclgosKZlQdn/6WoU&#10;7PSvXMRpdMwuF71ZrQ9xOtzHSvW67c8EhKfWf8Lv9lYrGMX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AXUMMAAADbAAAADwAAAAAAAAAAAAAAAACYAgAAZHJzL2Rv&#10;d25yZXYueG1sUEsFBgAAAAAEAAQA9QAAAIgDAAAAAA==&#10;" filled="f" stroked="f">
                  <v:stroke dashstyle="1 1"/>
                  <v:textbox inset="0,0,0,0">
                    <w:txbxContent>
                      <w:p w:rsidR="00895792" w:rsidRDefault="00895792" w:rsidP="002952DE">
                        <w:pPr>
                          <w:kinsoku w:val="0"/>
                          <w:wordWrap w:val="0"/>
                          <w:overflowPunct w:val="0"/>
                          <w:rPr>
                            <w:sz w:val="20"/>
                          </w:rPr>
                        </w:pPr>
                        <w:r>
                          <w:rPr>
                            <w:rFonts w:hint="eastAsia"/>
                            <w:sz w:val="20"/>
                          </w:rPr>
                          <w:t>裝</w:t>
                        </w:r>
                      </w:p>
                    </w:txbxContent>
                  </v:textbox>
                </v:shape>
                <v:shape id="Text Box 15" o:spid="_x0000_s1111" type="#_x0000_t202" style="position:absolute;left:745;top:8312;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KJJ8UA&#10;AADbAAAADwAAAGRycy9kb3ducmV2LnhtbESPQWvCQBSE70L/w/IKvemmgQRJXYMtFWvxkjQUj4/s&#10;axLMvg3ZVeO/7xYKHoeZ+YZZ5ZPpxYVG11lW8LyIQBDXVnfcKKi+tvMlCOeRNfaWScGNHOTrh9kK&#10;M22vXNCl9I0IEHYZKmi9HzIpXd2SQbewA3Hwfuxo0Ac5NlKPeA1w08s4ilJpsOOw0OJAby3Vp/Js&#10;FOz1t3xNqqioj0e9e98ekir+TJR6epw2LyA8Tf4e/m9/aAVpCn9fw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oknxQAAANsAAAAPAAAAAAAAAAAAAAAAAJgCAABkcnMv&#10;ZG93bnJldi54bWxQSwUGAAAAAAQABAD1AAAAigMAAAAA&#10;" filled="f" stroked="f">
                  <v:stroke dashstyle="1 1"/>
                  <v:textbox inset="0,0,0,0">
                    <w:txbxContent>
                      <w:p w:rsidR="00895792" w:rsidRDefault="00895792" w:rsidP="002952DE">
                        <w:pPr>
                          <w:kinsoku w:val="0"/>
                          <w:wordWrap w:val="0"/>
                          <w:overflowPunct w:val="0"/>
                          <w:rPr>
                            <w:sz w:val="20"/>
                          </w:rPr>
                        </w:pPr>
                        <w:r>
                          <w:rPr>
                            <w:rFonts w:hint="eastAsia"/>
                            <w:sz w:val="20"/>
                          </w:rPr>
                          <w:t>訂</w:t>
                        </w:r>
                      </w:p>
                    </w:txbxContent>
                  </v:textbox>
                </v:shape>
                <v:shape id="Text Box 16" o:spid="_x0000_s1112" type="#_x0000_t202" style="position:absolute;left:745;top:11127;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4svMUA&#10;AADbAAAADwAAAGRycy9kb3ducmV2LnhtbESPQWvCQBSE74X+h+UVejObCklLdBUrilp60YaS4yP7&#10;TILZtyG7Nem/7wpCj8PMfMPMl6NpxZV611hW8BLFIIhLqxuuFORf28kbCOeRNbaWScEvOVguHh/m&#10;mGk78JGuJ1+JAGGXoYLa+y6T0pU1GXSR7YiDd7a9QR9kX0nd4xDgppXTOE6lwYbDQo0drWsqL6cf&#10;o+Cgv+V7ksfHsij0brP9TPLpR6LU89O4moHwNPr/8L291wrSV7h9C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3iy8xQAAANsAAAAPAAAAAAAAAAAAAAAAAJgCAABkcnMv&#10;ZG93bnJldi54bWxQSwUGAAAAAAQABAD1AAAAigMAAAAA&#10;" filled="f" stroked="f">
                  <v:stroke dashstyle="1 1"/>
                  <v:textbox inset="0,0,0,0">
                    <w:txbxContent>
                      <w:p w:rsidR="00895792" w:rsidRDefault="00895792" w:rsidP="002952DE">
                        <w:pPr>
                          <w:kinsoku w:val="0"/>
                          <w:wordWrap w:val="0"/>
                          <w:overflowPunct w:val="0"/>
                          <w:rPr>
                            <w:sz w:val="20"/>
                          </w:rPr>
                        </w:pPr>
                        <w:r>
                          <w:rPr>
                            <w:rFonts w:hint="eastAsia"/>
                            <w:sz w:val="20"/>
                          </w:rPr>
                          <w:t>線</w:t>
                        </w:r>
                      </w:p>
                    </w:txbxContent>
                  </v:textbox>
                </v:shape>
                <w10:anchorlock/>
              </v:group>
            </w:pict>
          </mc:Fallback>
        </mc:AlternateContent>
      </w:r>
      <w:r w:rsidRPr="00AC77DF">
        <w:rPr>
          <w:noProof/>
        </w:rPr>
        <mc:AlternateContent>
          <mc:Choice Requires="wps">
            <w:drawing>
              <wp:anchor distT="0" distB="0" distL="114300" distR="114300" simplePos="0" relativeHeight="251899904" behindDoc="0" locked="1" layoutInCell="0" allowOverlap="1" wp14:anchorId="49042744" wp14:editId="3F634859">
                <wp:simplePos x="0" y="0"/>
                <wp:positionH relativeFrom="column">
                  <wp:posOffset>-609600</wp:posOffset>
                </wp:positionH>
                <wp:positionV relativeFrom="page">
                  <wp:posOffset>443230</wp:posOffset>
                </wp:positionV>
                <wp:extent cx="636905" cy="396240"/>
                <wp:effectExtent l="9525" t="5080" r="10795" b="8255"/>
                <wp:wrapNone/>
                <wp:docPr id="68" name="函正本"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832" w:rsidRDefault="00970832" w:rsidP="002952DE">
                            <w:pPr>
                              <w:jc w:val="center"/>
                              <w:rPr>
                                <w:color w:val="000000"/>
                                <w:sz w:val="36"/>
                              </w:rPr>
                            </w:pPr>
                            <w:r>
                              <w:rPr>
                                <w:rFonts w:hint="eastAsia"/>
                                <w:color w:val="000000"/>
                                <w:sz w:val="36"/>
                              </w:rPr>
                              <w:t>正本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3" type="#_x0000_t202" style="position:absolute;left:0;text-align:left;margin-left:-48pt;margin-top:34.9pt;width:50.15pt;height:31.2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" o:allowincell="f" filled="f">
                <v:textbox inset=".5mm,,.5mm">
                  <w:txbxContent>
                    <w:p w:rsidR="00895792" w:rsidRDefault="00895792" w:rsidP="002952DE">
                      <w:pPr>
                        <w:jc w:val="center"/>
                        <w:rPr>
                          <w:color w:val="000000"/>
                          <w:sz w:val="36"/>
                        </w:rPr>
                      </w:pPr>
                      <w:r>
                        <w:rPr>
                          <w:rFonts w:hint="eastAsia"/>
                          <w:color w:val="000000"/>
                          <w:sz w:val="36"/>
                        </w:rPr>
                        <w:t>正本</w:t>
                      </w:r>
                    </w:p>
                  </w:txbxContent>
                </v:textbox>
                <w10:wrap anchory="page"/>
                <w10:anchorlock/>
              </v:shape>
            </w:pict>
          </mc:Fallback>
        </mc:AlternateContent>
      </w:r>
      <w:r w:rsidRPr="00AC77DF">
        <w:rPr>
          <w:noProof/>
        </w:rPr>
        <mc:AlternateContent>
          <mc:Choice Requires="wps">
            <w:drawing>
              <wp:anchor distT="0" distB="0" distL="114300" distR="114300" simplePos="0" relativeHeight="251898880" behindDoc="0" locked="1" layoutInCell="0" allowOverlap="1" wp14:anchorId="5EDB66B5" wp14:editId="22000892">
                <wp:simplePos x="0" y="0"/>
                <wp:positionH relativeFrom="column">
                  <wp:posOffset>-609600</wp:posOffset>
                </wp:positionH>
                <wp:positionV relativeFrom="page">
                  <wp:posOffset>442595</wp:posOffset>
                </wp:positionV>
                <wp:extent cx="636905" cy="396240"/>
                <wp:effectExtent l="9525" t="13970" r="10795" b="8890"/>
                <wp:wrapNone/>
                <wp:docPr id="69" name="函副本"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832" w:rsidRDefault="00970832" w:rsidP="002952DE">
                            <w:pPr>
                              <w:jc w:val="center"/>
                              <w:rPr>
                                <w:color w:val="000000"/>
                                <w:sz w:val="36"/>
                              </w:rPr>
                            </w:pPr>
                            <w:r>
                              <w:rPr>
                                <w:rFonts w:hint="eastAsia"/>
                                <w:color w:val="000000"/>
                                <w:sz w:val="36"/>
                              </w:rPr>
                              <w:t>副本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4" type="#_x0000_t202" style="position:absolute;left:0;text-align:left;margin-left:-48pt;margin-top:34.85pt;width:50.15pt;height:31.2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" o:allowincell="f" filled="f">
                <v:textbox inset=".5mm,,.5mm">
                  <w:txbxContent>
                    <w:p w:rsidR="00895792" w:rsidRDefault="00895792" w:rsidP="002952DE">
                      <w:pPr>
                        <w:jc w:val="center"/>
                        <w:rPr>
                          <w:color w:val="000000"/>
                          <w:sz w:val="36"/>
                        </w:rPr>
                      </w:pPr>
                      <w:r>
                        <w:rPr>
                          <w:rFonts w:hint="eastAsia"/>
                          <w:color w:val="000000"/>
                          <w:sz w:val="36"/>
                        </w:rPr>
                        <w:t>副本</w:t>
                      </w:r>
                    </w:p>
                  </w:txbxContent>
                </v:textbox>
                <w10:wrap anchory="page"/>
                <w10:anchorlock/>
              </v:shape>
            </w:pict>
          </mc:Fallback>
        </mc:AlternateContent>
      </w:r>
      <w:r w:rsidRPr="00AC77DF">
        <w:rPr>
          <w:noProof/>
        </w:rPr>
        <mc:AlternateContent>
          <mc:Choice Requires="wps">
            <w:drawing>
              <wp:anchor distT="0" distB="0" distL="114300" distR="114300" simplePos="0" relativeHeight="251897856" behindDoc="0" locked="1" layoutInCell="0" allowOverlap="1" wp14:anchorId="76558235" wp14:editId="49711BCC">
                <wp:simplePos x="0" y="0"/>
                <wp:positionH relativeFrom="column">
                  <wp:posOffset>2819400</wp:posOffset>
                </wp:positionH>
                <wp:positionV relativeFrom="page">
                  <wp:posOffset>443230</wp:posOffset>
                </wp:positionV>
                <wp:extent cx="1440180" cy="360045"/>
                <wp:effectExtent l="9525" t="5080" r="7620" b="6350"/>
                <wp:wrapNone/>
                <wp:docPr id="70" name="首長大名"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970832" w:rsidRDefault="00970832" w:rsidP="002952DE">
                            <w:r>
                              <w:rPr>
                                <w:rFonts w:hint="eastAsia"/>
                              </w:rPr>
                              <w:t>院長王○○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5" type="#_x0000_t202" style="position:absolute;left:0;text-align:left;margin-left:222pt;margin-top:34.9pt;width:113.4pt;height:28.35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" o:allowincell="f">
                <v:textbox>
                  <w:txbxContent>
                    <w:p w:rsidR="00895792" w:rsidRDefault="00895792" w:rsidP="002952DE">
                      <w:r>
                        <w:rPr>
                          <w:rFonts w:hint="eastAsia"/>
                        </w:rPr>
                        <w:t>院長王○○</w:t>
                      </w:r>
                    </w:p>
                  </w:txbxContent>
                </v:textbox>
                <w10:wrap anchory="page"/>
                <w10:anchorlock/>
              </v:shape>
            </w:pict>
          </mc:Fallback>
        </mc:AlternateContent>
      </w:r>
      <w:r w:rsidRPr="00AC77DF">
        <w:rPr>
          <w:noProof/>
        </w:rPr>
        <mc:AlternateContent>
          <mc:Choice Requires="wps">
            <w:drawing>
              <wp:anchor distT="0" distB="0" distL="114300" distR="114300" simplePos="0" relativeHeight="251896832" behindDoc="0" locked="1" layoutInCell="0" allowOverlap="1" wp14:anchorId="1344345C" wp14:editId="3A995955">
                <wp:simplePos x="0" y="0"/>
                <wp:positionH relativeFrom="column">
                  <wp:posOffset>1381125</wp:posOffset>
                </wp:positionH>
                <wp:positionV relativeFrom="page">
                  <wp:posOffset>443230</wp:posOffset>
                </wp:positionV>
                <wp:extent cx="1440180" cy="360045"/>
                <wp:effectExtent l="9525" t="5080" r="7620" b="6350"/>
                <wp:wrapNone/>
                <wp:docPr id="71" name="文別"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970832" w:rsidRDefault="00970832" w:rsidP="002952DE">
                            <w:pPr>
                              <w:rPr>
                                <w:rFonts w:ascii="標楷體"/>
                              </w:rPr>
                            </w:pPr>
                            <w:r>
                              <w:rPr>
                                <w:rFonts w:ascii="標楷體" w:hint="eastAsia"/>
                              </w:rPr>
                              <w:t>函;函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6" type="#_x0000_t202" style="position:absolute;left:0;text-align:left;margin-left:108.75pt;margin-top:34.9pt;width:113.4pt;height:28.35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" o:allowincell="f">
                <v:textbox>
                  <w:txbxContent>
                    <w:p w:rsidR="00895792" w:rsidRDefault="00895792" w:rsidP="002952DE">
                      <w:pPr>
                        <w:rPr>
                          <w:rFonts w:ascii="標楷體"/>
                        </w:rPr>
                      </w:pPr>
                      <w:r>
                        <w:rPr>
                          <w:rFonts w:ascii="標楷體" w:hint="eastAsia"/>
                        </w:rPr>
                        <w:t>函;函</w:t>
                      </w:r>
                    </w:p>
                  </w:txbxContent>
                </v:textbox>
                <w10:wrap anchory="page"/>
                <w10:anchorlock/>
              </v:shape>
            </w:pict>
          </mc:Fallback>
        </mc:AlternateContent>
      </w:r>
      <w:r w:rsidRPr="00AC77DF">
        <w:t>財產權</w:t>
      </w:r>
      <w:bookmarkEnd w:id="502"/>
      <w:bookmarkEnd w:id="503"/>
    </w:p>
    <w:p w:rsidR="003807A5" w:rsidRDefault="001D2A5C" w:rsidP="00B7222B">
      <w:pPr>
        <w:pStyle w:val="1---"/>
        <w:ind w:firstLine="480"/>
        <w:rPr>
          <w:lang w:eastAsia="zh-TW"/>
        </w:rPr>
      </w:pPr>
      <w:r>
        <w:rPr>
          <w:rFonts w:hint="eastAsia"/>
        </w:rPr>
        <w:t>英國學者約翰洛克將財產與生命、自由權並列為人類的自然權利，主張自然狀態有一種自然法在管理，每個人都應遵守，人人都是平等且獨立，無人能傷害他人的生命</w:t>
      </w:r>
      <w:r w:rsidR="00B019A2">
        <w:rPr>
          <w:rFonts w:hint="eastAsia"/>
          <w:lang w:eastAsia="zh-TW"/>
        </w:rPr>
        <w:t>、</w:t>
      </w:r>
      <w:r>
        <w:rPr>
          <w:rFonts w:hint="eastAsia"/>
        </w:rPr>
        <w:t>健康、自由</w:t>
      </w:r>
      <w:r w:rsidR="00B019A2">
        <w:rPr>
          <w:rFonts w:hint="eastAsia"/>
          <w:lang w:eastAsia="zh-TW"/>
        </w:rPr>
        <w:t>與</w:t>
      </w:r>
      <w:r>
        <w:rPr>
          <w:rFonts w:hint="eastAsia"/>
        </w:rPr>
        <w:t>財產</w:t>
      </w:r>
      <w:r w:rsidR="004C3AE4">
        <w:rPr>
          <w:rStyle w:val="aff2"/>
        </w:rPr>
        <w:footnoteReference w:id="110"/>
      </w:r>
      <w:r>
        <w:rPr>
          <w:rFonts w:hint="eastAsia"/>
        </w:rPr>
        <w:t>。是以，</w:t>
      </w:r>
      <w:r w:rsidR="003807A5" w:rsidRPr="00AC77DF">
        <w:t>財產權性質上</w:t>
      </w:r>
      <w:r>
        <w:rPr>
          <w:rFonts w:hint="eastAsia"/>
        </w:rPr>
        <w:t>亦可視為</w:t>
      </w:r>
      <w:r w:rsidR="003807A5" w:rsidRPr="00AC77DF">
        <w:t>自由權</w:t>
      </w:r>
      <w:r>
        <w:rPr>
          <w:rFonts w:hint="eastAsia"/>
        </w:rPr>
        <w:t>的一環</w:t>
      </w:r>
      <w:r w:rsidR="003807A5" w:rsidRPr="00AC77DF">
        <w:t>，與個人人格、人性尊嚴有密不可分之關係，且係維持個人相當生活水準之基礎。按世界人權宣言第</w:t>
      </w:r>
      <w:r w:rsidR="003807A5" w:rsidRPr="00AC77DF">
        <w:t>17</w:t>
      </w:r>
      <w:r w:rsidR="003807A5" w:rsidRPr="00AC77DF">
        <w:t>條，人人得有單獨的財產所有權以及同他人合有的所有權。任何人的財產不得任意剝奪。兩公約雖無直接對保障人民之財產權予以規範，然經濟社會文化權利國際公約第</w:t>
      </w:r>
      <w:r w:rsidR="003807A5" w:rsidRPr="00AC77DF">
        <w:t>6</w:t>
      </w:r>
      <w:r w:rsidR="003807A5" w:rsidRPr="00AC77DF">
        <w:t>條規定</w:t>
      </w:r>
      <w:r w:rsidR="003807A5" w:rsidRPr="00FF5760">
        <w:rPr>
          <w:spacing w:val="-28"/>
        </w:rPr>
        <w:t>：</w:t>
      </w:r>
      <w:r w:rsidR="003807A5" w:rsidRPr="00AC77DF">
        <w:t>「本公約締約國確認人人有工作之權利，包括人人應有機會憑本人自由選擇或接受之工作謀生之權利，並將採取適當步驟保障之</w:t>
      </w:r>
      <w:r w:rsidR="003807A5" w:rsidRPr="00FF5760">
        <w:rPr>
          <w:spacing w:val="-28"/>
        </w:rPr>
        <w:t>」</w:t>
      </w:r>
      <w:r w:rsidR="003807A5" w:rsidRPr="00AC77DF">
        <w:t>。所稱「工作權」之保障，應與我國憲法第</w:t>
      </w:r>
      <w:r w:rsidR="003807A5" w:rsidRPr="00AC77DF">
        <w:t>15</w:t>
      </w:r>
      <w:r w:rsidR="003807A5" w:rsidRPr="00AC77DF">
        <w:t>條規定</w:t>
      </w:r>
      <w:r w:rsidR="003807A5" w:rsidRPr="00FF5760">
        <w:rPr>
          <w:spacing w:val="-28"/>
        </w:rPr>
        <w:t>：</w:t>
      </w:r>
      <w:r w:rsidR="003807A5" w:rsidRPr="00AC77DF">
        <w:t>「人民之生存權、工作權及財產權，應予保障」所涵蓋的財產權精神一致。</w:t>
      </w:r>
    </w:p>
    <w:p w:rsidR="003807A5" w:rsidRPr="00AC77DF" w:rsidRDefault="003807A5" w:rsidP="00B7222B">
      <w:pPr>
        <w:pStyle w:val="1---"/>
        <w:ind w:firstLine="480"/>
      </w:pPr>
      <w:r w:rsidRPr="00AC77DF">
        <w:t>一般而言，國家對於財產權保障，可產生兩種效果</w:t>
      </w:r>
      <w:r w:rsidRPr="00FF5760">
        <w:rPr>
          <w:spacing w:val="-28"/>
        </w:rPr>
        <w:t>：</w:t>
      </w:r>
      <w:r w:rsidRPr="00AC77DF">
        <w:t>（一）制度性保障：此包含個人權利之保障，以及人民行使基本權利制度之保障。財產權保障係建構在私有財產制度上，立法者必須保護人民財產權使用的自由，並儘可能使人民擁有經濟上自由使用及收益之權限。換言之，財產權保障的核心內涵在提供民眾「財產權私有使用性原則</w:t>
      </w:r>
      <w:r w:rsidRPr="00FF5760">
        <w:rPr>
          <w:spacing w:val="-28"/>
        </w:rPr>
        <w:t>」</w:t>
      </w:r>
      <w:r w:rsidRPr="00AC77DF">
        <w:t>，藉由立法形成國家法律制度，達到財產權之制度性保障。是以，立法者在制定財產權內</w:t>
      </w:r>
      <w:r w:rsidRPr="00AC77DF">
        <w:lastRenderedPageBreak/>
        <w:t>容與限制之法律，須合於憲法對財產權所保障的私有財產制度架構之目的</w:t>
      </w:r>
      <w:r w:rsidRPr="00FF5760">
        <w:rPr>
          <w:spacing w:val="-28"/>
        </w:rPr>
        <w:t>。</w:t>
      </w:r>
      <w:r w:rsidRPr="00AC77DF">
        <w:t>（二）個別性保障：提供人民積極、可主張與請求的權利。國家應確保人民信賴合於憲法之法律所形成的財產權。任何對於私人具體財產權利的剝奪或限制，都必須合於憲法規定之下，方得為之</w:t>
      </w:r>
      <w:r w:rsidRPr="00AC77DF">
        <w:rPr>
          <w:vertAlign w:val="superscript"/>
        </w:rPr>
        <w:footnoteReference w:id="111"/>
      </w:r>
      <w:r w:rsidRPr="00AC77DF">
        <w:t>。</w:t>
      </w:r>
    </w:p>
    <w:p w:rsidR="003807A5" w:rsidRPr="00AC77DF" w:rsidRDefault="003807A5" w:rsidP="00B7222B">
      <w:pPr>
        <w:pStyle w:val="1---"/>
        <w:ind w:firstLine="480"/>
      </w:pPr>
      <w:r w:rsidRPr="00AC77DF">
        <w:t>在制度性保障方面，我國憲法第</w:t>
      </w:r>
      <w:r w:rsidRPr="00AC77DF">
        <w:t>143</w:t>
      </w:r>
      <w:r w:rsidRPr="00AC77DF">
        <w:t>條規定「中華民國領域內之土地屬於國民全體。人民依法取得之土地所有權，應受法律之保障與限制。私有土地應照價納稅，政府並得照價收買。」因此國家須以法律保障人民基於生存所需或可交換維持生存之財產，使人民產生有抗拒公權力對其財產權侵害的積極權利。任何對私人財產權利的剝奪或限制，都必須在憲法的規範下，並提供「法律地位之保障</w:t>
      </w:r>
      <w:r w:rsidRPr="00FF5760">
        <w:rPr>
          <w:spacing w:val="-28"/>
        </w:rPr>
        <w:t>」</w:t>
      </w:r>
      <w:r w:rsidRPr="00AC77DF">
        <w:t>。國家如運用公權力改變人民財產權利，亦應依法律規定為之。</w:t>
      </w:r>
    </w:p>
    <w:p w:rsidR="003807A5" w:rsidRDefault="003807A5" w:rsidP="00B7222B">
      <w:pPr>
        <w:pStyle w:val="1---"/>
        <w:ind w:firstLine="480"/>
        <w:rPr>
          <w:lang w:eastAsia="zh-TW"/>
        </w:rPr>
      </w:pPr>
      <w:r w:rsidRPr="00AC77DF">
        <w:t>個別性保障又包括了「存續保障」與「價值保障</w:t>
      </w:r>
      <w:r w:rsidRPr="00FF5760">
        <w:rPr>
          <w:spacing w:val="-28"/>
        </w:rPr>
        <w:t>」</w:t>
      </w:r>
      <w:r w:rsidRPr="00AC77DF">
        <w:t>，其中存續保障係指國家應保障人民財產權維持存續行使現狀，避免財產權受到侵害；而價值保障係指對於財產權的剝奪或過度限制，應給予合理的補償，以填補財產價值所受的損失</w:t>
      </w:r>
      <w:r w:rsidRPr="00AC77DF">
        <w:rPr>
          <w:vertAlign w:val="superscript"/>
        </w:rPr>
        <w:footnoteReference w:id="112"/>
      </w:r>
      <w:r w:rsidRPr="00AC77DF">
        <w:t>。</w:t>
      </w:r>
    </w:p>
    <w:p w:rsidR="00B019A2" w:rsidRDefault="00B019A2">
      <w:pPr>
        <w:widowControl/>
        <w:snapToGrid/>
        <w:rPr>
          <w:rFonts w:eastAsia="新細明體"/>
          <w:szCs w:val="28"/>
          <w:lang w:val="x-none"/>
        </w:rPr>
      </w:pPr>
      <w:r>
        <w:br w:type="page"/>
      </w:r>
    </w:p>
    <w:tbl>
      <w:tblPr>
        <w:tblStyle w:val="aff5"/>
        <w:tblW w:w="0" w:type="auto"/>
        <w:tblInd w:w="113" w:type="dxa"/>
        <w:shd w:val="clear" w:color="auto" w:fill="D9D9D9" w:themeFill="background1" w:themeFillShade="D9"/>
        <w:tblLook w:val="04A0" w:firstRow="1" w:lastRow="0" w:firstColumn="1" w:lastColumn="0" w:noHBand="0" w:noVBand="1"/>
      </w:tblPr>
      <w:tblGrid>
        <w:gridCol w:w="3397"/>
      </w:tblGrid>
      <w:tr w:rsidR="00FC6F5B" w:rsidTr="00FF5760">
        <w:tc>
          <w:tcPr>
            <w:tcW w:w="3397" w:type="dxa"/>
            <w:shd w:val="clear" w:color="auto" w:fill="D9D9D9" w:themeFill="background1" w:themeFillShade="D9"/>
          </w:tcPr>
          <w:p w:rsidR="00FC6F5B" w:rsidRDefault="00FC6F5B" w:rsidP="00FC6F5B">
            <w:pPr>
              <w:pStyle w:val="11-"/>
              <w:spacing w:before="72" w:after="108"/>
              <w:rPr>
                <w:lang w:eastAsia="zh-TW"/>
              </w:rPr>
            </w:pPr>
            <w:bookmarkStart w:id="504" w:name="_Toc531362483"/>
            <w:bookmarkStart w:id="505" w:name="_Toc535228394"/>
            <w:bookmarkStart w:id="506" w:name="_Toc4058805"/>
            <w:r w:rsidRPr="00AC77DF">
              <w:lastRenderedPageBreak/>
              <w:t>電信詐欺與跨國洗錢案</w:t>
            </w:r>
            <w:bookmarkEnd w:id="504"/>
            <w:bookmarkEnd w:id="505"/>
            <w:bookmarkEnd w:id="506"/>
          </w:p>
        </w:tc>
      </w:tr>
    </w:tbl>
    <w:p w:rsidR="003807A5" w:rsidRPr="00AC77DF" w:rsidRDefault="00FC6F5B" w:rsidP="000B692A">
      <w:pPr>
        <w:pStyle w:val="afff1"/>
        <w:spacing w:before="360" w:after="360"/>
      </w:pPr>
      <w:bookmarkStart w:id="507" w:name="_Toc531362484"/>
      <w:r>
        <w:rPr>
          <w:rFonts w:hint="eastAsia"/>
        </w:rPr>
        <w:t>(一)</w:t>
      </w:r>
      <w:r w:rsidR="003807A5" w:rsidRPr="00AC77DF">
        <w:t>案情簡述</w:t>
      </w:r>
      <w:bookmarkEnd w:id="507"/>
    </w:p>
    <w:p w:rsidR="003807A5" w:rsidRPr="00AC77DF" w:rsidRDefault="003807A5" w:rsidP="00B7222B">
      <w:pPr>
        <w:pStyle w:val="1---"/>
        <w:ind w:firstLine="480"/>
      </w:pPr>
      <w:r w:rsidRPr="00AC77DF">
        <w:t>據審計部</w:t>
      </w:r>
      <w:r w:rsidRPr="00AC77DF">
        <w:t>104</w:t>
      </w:r>
      <w:r w:rsidRPr="00AC77DF">
        <w:t>年度中央政府總決算審核報告，國內電信詐欺案件數及金額已有減少趨勢，惟部分國人於境外從事電信詐欺，影響國際形象甚鉅，且逾</w:t>
      </w:r>
      <w:r w:rsidRPr="00AC77DF">
        <w:t>8</w:t>
      </w:r>
      <w:r w:rsidRPr="00AC77DF">
        <w:t>成犯詐欺罪者刑度低於</w:t>
      </w:r>
      <w:r w:rsidRPr="00AC77DF">
        <w:t>1</w:t>
      </w:r>
      <w:r w:rsidRPr="00AC77DF">
        <w:t>年，亟待就偵查實務面研謀因應措施；又開放銀聯卡於國內</w:t>
      </w:r>
      <w:r w:rsidRPr="00AC77DF">
        <w:t>ATM</w:t>
      </w:r>
      <w:r w:rsidRPr="00AC77DF">
        <w:t>提款，便利大陸民眾於國內消費，惟銀聯卡洗錢事件頻仍，宜強化兩岸金融監理合作等情。案經監察院司法及獄政委員會決議調查。</w:t>
      </w:r>
    </w:p>
    <w:p w:rsidR="003807A5" w:rsidRPr="00AC77DF" w:rsidRDefault="00FC6F5B" w:rsidP="000B692A">
      <w:pPr>
        <w:pStyle w:val="afff1"/>
        <w:spacing w:before="360" w:after="360"/>
      </w:pPr>
      <w:bookmarkStart w:id="508" w:name="_Toc531362485"/>
      <w:r>
        <w:rPr>
          <w:rFonts w:hint="eastAsia"/>
        </w:rPr>
        <w:t>(二)</w:t>
      </w:r>
      <w:r w:rsidR="003807A5" w:rsidRPr="00AC77DF">
        <w:t>監察院調查發現與建議</w:t>
      </w:r>
      <w:bookmarkEnd w:id="508"/>
    </w:p>
    <w:p w:rsidR="003807A5" w:rsidRPr="00AC77DF" w:rsidRDefault="00597483" w:rsidP="00564517">
      <w:pPr>
        <w:pStyle w:val="1--13"/>
        <w:spacing w:before="180" w:after="180"/>
      </w:pPr>
      <w:r w:rsidRPr="008E1832">
        <w:rPr>
          <w:rFonts w:hint="eastAsia"/>
        </w:rPr>
        <w:t>˙</w:t>
      </w:r>
      <w:r w:rsidR="003807A5" w:rsidRPr="00AC77DF">
        <w:t>加強個資維護</w:t>
      </w:r>
    </w:p>
    <w:p w:rsidR="003807A5" w:rsidRPr="00AC77DF" w:rsidRDefault="003807A5" w:rsidP="00B7222B">
      <w:pPr>
        <w:pStyle w:val="1---"/>
        <w:ind w:firstLine="480"/>
        <w:rPr>
          <w:b/>
        </w:rPr>
      </w:pPr>
      <w:r w:rsidRPr="00AC77DF">
        <w:t>部分詐騙手法基於民眾個資，使民眾不易辨別真偽而被騙；經濟部對網路零售業</w:t>
      </w:r>
      <w:r w:rsidRPr="00B7222B">
        <w:t>者</w:t>
      </w:r>
      <w:r w:rsidRPr="00AC77DF">
        <w:t>之維護個資輔導與檢查成效不彰，行政院作為個資法所定各目的事業主管機關之上級機關，應與該法之解釋機關法務部提高非公</w:t>
      </w:r>
      <w:r w:rsidRPr="00B7222B">
        <w:t>務機關對於資訊安全及個資維護之重視，並導正部分機關在執行</w:t>
      </w:r>
      <w:r w:rsidRPr="00AC77DF">
        <w:t>該法之認知偏差。</w:t>
      </w:r>
    </w:p>
    <w:p w:rsidR="003807A5" w:rsidRPr="00AC77DF" w:rsidRDefault="00597483" w:rsidP="00564517">
      <w:pPr>
        <w:pStyle w:val="1--13"/>
        <w:spacing w:before="180" w:after="180"/>
      </w:pPr>
      <w:r w:rsidRPr="008E1832">
        <w:rPr>
          <w:rFonts w:hint="eastAsia"/>
        </w:rPr>
        <w:t>˙</w:t>
      </w:r>
      <w:r w:rsidR="003807A5" w:rsidRPr="00AC77DF">
        <w:t>源頭管制人頭電話</w:t>
      </w:r>
    </w:p>
    <w:p w:rsidR="003807A5" w:rsidRPr="00AC77DF" w:rsidRDefault="003807A5" w:rsidP="00B7222B">
      <w:pPr>
        <w:pStyle w:val="1---"/>
        <w:ind w:firstLine="480"/>
        <w:rPr>
          <w:b/>
        </w:rPr>
      </w:pPr>
      <w:r w:rsidRPr="00AC77DF">
        <w:t>源頭管理在防制電信詐欺策略中值得應用，短效期電信門號管理有助於消弭人頭電話以利追緝詐騙集團行蹤。只要民眾</w:t>
      </w:r>
      <w:r w:rsidRPr="00AC77DF">
        <w:lastRenderedPageBreak/>
        <w:t>不受騙，即不會產生後續轉帳或交易。通傳會及警政署宜檢討現行措施，源頭管制人頭電話及採取有效宣導（傳）措施，抑制詐騙集團，避免民眾遭騙。</w:t>
      </w:r>
    </w:p>
    <w:p w:rsidR="003807A5" w:rsidRPr="00AC77DF" w:rsidRDefault="00597483" w:rsidP="00564517">
      <w:pPr>
        <w:pStyle w:val="1--13"/>
        <w:spacing w:before="180" w:after="180"/>
      </w:pPr>
      <w:r w:rsidRPr="008E1832">
        <w:rPr>
          <w:rFonts w:hint="eastAsia"/>
        </w:rPr>
        <w:t>˙</w:t>
      </w:r>
      <w:r w:rsidR="003807A5" w:rsidRPr="00AC77DF">
        <w:t>運用電腦科技進行偵辦</w:t>
      </w:r>
    </w:p>
    <w:p w:rsidR="003807A5" w:rsidRPr="00AC77DF" w:rsidRDefault="003807A5" w:rsidP="00B7222B">
      <w:pPr>
        <w:pStyle w:val="1---"/>
        <w:ind w:firstLine="480"/>
      </w:pPr>
      <w:r w:rsidRPr="00AC77DF">
        <w:t>因應目前詐騙集團型態與常見犯罪模式，相關法令已檢討修正，政府整合打擊電信詐欺跨部會平臺，運用電腦科技並採取新式偵辦方式，宜充實打擊電信詐欺偵辦能量，維護民眾財產安全及國際形象。</w:t>
      </w:r>
      <w:r w:rsidRPr="00AC77DF">
        <w:t xml:space="preserve"> </w:t>
      </w:r>
    </w:p>
    <w:p w:rsidR="003807A5" w:rsidRPr="00AC77DF" w:rsidRDefault="00597483" w:rsidP="00564517">
      <w:pPr>
        <w:pStyle w:val="1--13"/>
        <w:spacing w:before="180" w:after="180"/>
      </w:pPr>
      <w:r w:rsidRPr="008E1832">
        <w:rPr>
          <w:rFonts w:hint="eastAsia"/>
        </w:rPr>
        <w:t>˙</w:t>
      </w:r>
      <w:r w:rsidR="003807A5" w:rsidRPr="00AC77DF">
        <w:t>建立合作窗口</w:t>
      </w:r>
    </w:p>
    <w:p w:rsidR="003807A5" w:rsidRPr="00AC77DF" w:rsidRDefault="003807A5" w:rsidP="00B7222B">
      <w:pPr>
        <w:pStyle w:val="1---"/>
        <w:ind w:firstLine="480"/>
      </w:pPr>
      <w:r w:rsidRPr="00AC77DF">
        <w:t>近年電信詐騙集團已組織化並跨境為之，且集團成員再犯率甚高，政府除建立集團成員赴海外可疑名單，即時知會可能入境國之移民機關相關情資外，宜加強運用「任務型聯絡官」等機制，建立合作窗口與溝通管道，發揮國際間共同打擊不法之綜效。</w:t>
      </w:r>
    </w:p>
    <w:p w:rsidR="003807A5" w:rsidRPr="00AC77DF" w:rsidRDefault="00597483" w:rsidP="00564517">
      <w:pPr>
        <w:pStyle w:val="1--13"/>
        <w:spacing w:before="180" w:after="180"/>
      </w:pPr>
      <w:r w:rsidRPr="008E1832">
        <w:rPr>
          <w:rFonts w:hint="eastAsia"/>
        </w:rPr>
        <w:t>˙</w:t>
      </w:r>
      <w:r w:rsidR="003807A5" w:rsidRPr="00AC77DF">
        <w:t>建立兩岸共同打擊犯罪機制</w:t>
      </w:r>
    </w:p>
    <w:p w:rsidR="003807A5" w:rsidRPr="00AC77DF" w:rsidRDefault="003807A5" w:rsidP="00B7222B">
      <w:pPr>
        <w:pStyle w:val="1---"/>
        <w:ind w:firstLine="480"/>
        <w:rPr>
          <w:b/>
        </w:rPr>
      </w:pPr>
      <w:r w:rsidRPr="00AC77DF">
        <w:t>銀聯卡近年來已然成為兩岸人民普遍使用之支付工具，卻也淪為不法集團洗錢之工具，惟其所隱藏之犯罪黑數益趨增加，相關統計資料付諸闕如。有關單位應儘速建置完整之資料庫，以利兩岸共同打擊犯罪、防制洗錢及穩定金融秩序。</w:t>
      </w:r>
    </w:p>
    <w:p w:rsidR="003807A5" w:rsidRPr="00AC77DF" w:rsidRDefault="003807A5" w:rsidP="00B7222B">
      <w:pPr>
        <w:pStyle w:val="1---"/>
        <w:ind w:firstLine="480"/>
        <w:rPr>
          <w:b/>
        </w:rPr>
      </w:pPr>
      <w:r w:rsidRPr="00AC77DF">
        <w:t>銀聯卡洗錢事件頻仍，警政署與大陸共同執行「</w:t>
      </w:r>
      <w:r w:rsidRPr="00AC77DF">
        <w:t>0429</w:t>
      </w:r>
      <w:r w:rsidRPr="00527D6A">
        <w:rPr>
          <w:spacing w:val="-28"/>
        </w:rPr>
        <w:t>」</w:t>
      </w:r>
      <w:r w:rsidRPr="00AC77DF">
        <w:t>、「</w:t>
      </w:r>
      <w:r w:rsidRPr="00AC77DF">
        <w:t>0612</w:t>
      </w:r>
      <w:r w:rsidRPr="00AC77DF">
        <w:t>」專案及「貴州專案」等頗具成效，惟於</w:t>
      </w:r>
      <w:r w:rsidRPr="00AC77DF">
        <w:t>105</w:t>
      </w:r>
      <w:r w:rsidRPr="00AC77DF">
        <w:t>年</w:t>
      </w:r>
      <w:r w:rsidRPr="00AC77DF">
        <w:t>5</w:t>
      </w:r>
      <w:r w:rsidRPr="00AC77DF">
        <w:t>月</w:t>
      </w:r>
      <w:r w:rsidRPr="00AC77DF">
        <w:t>20</w:t>
      </w:r>
      <w:r w:rsidRPr="00AC77DF">
        <w:t>日</w:t>
      </w:r>
      <w:r w:rsidR="003B7ECE">
        <w:rPr>
          <w:rFonts w:hint="eastAsia"/>
        </w:rPr>
        <w:t>起，</w:t>
      </w:r>
      <w:r w:rsidRPr="00AC77DF">
        <w:t>兩岸共同打擊犯罪通案性合作近乎停滯。我國應加強重</w:t>
      </w:r>
      <w:r w:rsidRPr="00AC77DF">
        <w:lastRenderedPageBreak/>
        <w:t>視銀聯卡洗錢之嚴重性，持續追蹤以銀聯卡犯罪之相關數據資料，俾利雙方在類此案件情資交流與司法互助上續行合作，以維護金融秩序與社會安定。</w:t>
      </w:r>
    </w:p>
    <w:p w:rsidR="003807A5" w:rsidRPr="00AC77DF" w:rsidRDefault="003807A5" w:rsidP="00B7222B">
      <w:pPr>
        <w:pStyle w:val="1---"/>
        <w:ind w:firstLine="480"/>
        <w:rPr>
          <w:b/>
        </w:rPr>
      </w:pPr>
      <w:r w:rsidRPr="00AC77DF">
        <w:t>依據本案調查意見</w:t>
      </w:r>
      <w:r w:rsidRPr="00AC77DF">
        <w:rPr>
          <w:rStyle w:val="aff2"/>
        </w:rPr>
        <w:footnoteReference w:id="113"/>
      </w:r>
      <w:r w:rsidRPr="00AC77DF">
        <w:t>，監察院函請行政院轉飭所屬確實檢討改進</w:t>
      </w:r>
    </w:p>
    <w:p w:rsidR="003807A5" w:rsidRPr="00AC77DF" w:rsidRDefault="00FC6F5B" w:rsidP="000B692A">
      <w:pPr>
        <w:pStyle w:val="afff1"/>
        <w:spacing w:before="360" w:after="360"/>
      </w:pPr>
      <w:bookmarkStart w:id="509" w:name="_Toc531362486"/>
      <w:r>
        <w:rPr>
          <w:rFonts w:hint="eastAsia"/>
        </w:rPr>
        <w:t>(三)</w:t>
      </w:r>
      <w:r w:rsidR="003807A5" w:rsidRPr="00AC77DF">
        <w:t>政府機關改善情形</w:t>
      </w:r>
      <w:bookmarkEnd w:id="509"/>
    </w:p>
    <w:p w:rsidR="0094559A" w:rsidRDefault="003807A5" w:rsidP="00425EE5">
      <w:pPr>
        <w:pStyle w:val="1----"/>
        <w:ind w:left="600" w:hanging="360"/>
      </w:pPr>
      <w:r w:rsidRPr="00AC77DF">
        <w:t>1</w:t>
      </w:r>
      <w:r w:rsidRPr="00AC77DF">
        <w:t>、</w:t>
      </w:r>
      <w:r w:rsidR="0094559A">
        <w:rPr>
          <w:rFonts w:hint="eastAsia"/>
        </w:rPr>
        <w:t>法務部於個資法施行後至</w:t>
      </w:r>
      <w:r w:rsidR="0094559A">
        <w:rPr>
          <w:rFonts w:hint="eastAsia"/>
        </w:rPr>
        <w:t>107</w:t>
      </w:r>
      <w:r w:rsidR="0094559A">
        <w:rPr>
          <w:rFonts w:hint="eastAsia"/>
        </w:rPr>
        <w:t>年</w:t>
      </w:r>
      <w:r w:rsidR="0094559A">
        <w:rPr>
          <w:rFonts w:hint="eastAsia"/>
        </w:rPr>
        <w:t>6</w:t>
      </w:r>
      <w:r w:rsidR="0094559A">
        <w:rPr>
          <w:rFonts w:hint="eastAsia"/>
        </w:rPr>
        <w:t>月底止，已舉辦</w:t>
      </w:r>
      <w:r w:rsidR="0094559A">
        <w:rPr>
          <w:rFonts w:hint="eastAsia"/>
        </w:rPr>
        <w:t>31</w:t>
      </w:r>
      <w:r w:rsidR="0094559A">
        <w:rPr>
          <w:rFonts w:hint="eastAsia"/>
        </w:rPr>
        <w:t>場個人資料保護認知及教育訓練，參加人數共計</w:t>
      </w:r>
      <w:r w:rsidR="0094559A">
        <w:rPr>
          <w:rFonts w:hint="eastAsia"/>
        </w:rPr>
        <w:t>3,421</w:t>
      </w:r>
      <w:r w:rsidR="0094559A">
        <w:rPr>
          <w:rFonts w:hint="eastAsia"/>
        </w:rPr>
        <w:t>人。宣導內容除個資法基本概念及條文釋義外，尚篩選</w:t>
      </w:r>
      <w:r w:rsidR="0094559A">
        <w:rPr>
          <w:rFonts w:hint="eastAsia"/>
        </w:rPr>
        <w:t>106</w:t>
      </w:r>
      <w:r w:rsidR="0094559A">
        <w:rPr>
          <w:rFonts w:hint="eastAsia"/>
        </w:rPr>
        <w:t>年度之重要函釋及重要案例進行解說。</w:t>
      </w:r>
    </w:p>
    <w:p w:rsidR="0094559A" w:rsidRDefault="0094559A" w:rsidP="00425EE5">
      <w:pPr>
        <w:pStyle w:val="1----"/>
        <w:ind w:left="600" w:hanging="360"/>
      </w:pPr>
      <w:r>
        <w:rPr>
          <w:rFonts w:hint="eastAsia"/>
        </w:rPr>
        <w:t>2</w:t>
      </w:r>
      <w:r>
        <w:rPr>
          <w:rFonts w:hint="eastAsia"/>
        </w:rPr>
        <w:t>、經濟部已辦理網際網路零售業個資資安法遵等說明會，並派員前往疑似發生個資外洩事件之業者，進行實地資安訪查。</w:t>
      </w:r>
    </w:p>
    <w:p w:rsidR="0094559A" w:rsidRDefault="0094559A" w:rsidP="00425EE5">
      <w:pPr>
        <w:pStyle w:val="1----"/>
        <w:ind w:left="600" w:hanging="360"/>
      </w:pPr>
      <w:r>
        <w:rPr>
          <w:rFonts w:hint="eastAsia"/>
        </w:rPr>
        <w:t>3</w:t>
      </w:r>
      <w:r>
        <w:rPr>
          <w:rFonts w:hint="eastAsia"/>
        </w:rPr>
        <w:t>、內政部警政署自</w:t>
      </w:r>
      <w:r>
        <w:rPr>
          <w:rFonts w:hint="eastAsia"/>
        </w:rPr>
        <w:t>106</w:t>
      </w:r>
      <w:r>
        <w:rPr>
          <w:rFonts w:hint="eastAsia"/>
        </w:rPr>
        <w:t>年</w:t>
      </w:r>
      <w:r>
        <w:rPr>
          <w:rFonts w:hint="eastAsia"/>
        </w:rPr>
        <w:t>8</w:t>
      </w:r>
      <w:r>
        <w:rPr>
          <w:rFonts w:hint="eastAsia"/>
        </w:rPr>
        <w:t>月至</w:t>
      </w:r>
      <w:r>
        <w:rPr>
          <w:rFonts w:hint="eastAsia"/>
        </w:rPr>
        <w:t>107</w:t>
      </w:r>
      <w:r>
        <w:rPr>
          <w:rFonts w:hint="eastAsia"/>
        </w:rPr>
        <w:t>年</w:t>
      </w:r>
      <w:r>
        <w:rPr>
          <w:rFonts w:hint="eastAsia"/>
        </w:rPr>
        <w:t>6</w:t>
      </w:r>
      <w:r>
        <w:rPr>
          <w:rFonts w:hint="eastAsia"/>
        </w:rPr>
        <w:t>月間共計提供</w:t>
      </w:r>
      <w:r>
        <w:rPr>
          <w:rFonts w:hint="eastAsia"/>
        </w:rPr>
        <w:t>6</w:t>
      </w:r>
      <w:r>
        <w:rPr>
          <w:rFonts w:hint="eastAsia"/>
        </w:rPr>
        <w:t>件惡意</w:t>
      </w:r>
      <w:r>
        <w:rPr>
          <w:rFonts w:hint="eastAsia"/>
        </w:rPr>
        <w:t>IP</w:t>
      </w:r>
      <w:r>
        <w:rPr>
          <w:rFonts w:hint="eastAsia"/>
        </w:rPr>
        <w:t>情資予</w:t>
      </w:r>
      <w:r>
        <w:rPr>
          <w:rFonts w:hint="eastAsia"/>
        </w:rPr>
        <w:t>EC-CERT</w:t>
      </w:r>
      <w:r>
        <w:rPr>
          <w:rFonts w:hint="eastAsia"/>
        </w:rPr>
        <w:t>參辦，</w:t>
      </w:r>
      <w:r>
        <w:rPr>
          <w:rFonts w:hint="eastAsia"/>
        </w:rPr>
        <w:t>EC-CERT</w:t>
      </w:r>
      <w:r>
        <w:rPr>
          <w:rFonts w:hint="eastAsia"/>
        </w:rPr>
        <w:t>也將相關</w:t>
      </w:r>
      <w:r>
        <w:rPr>
          <w:rFonts w:hint="eastAsia"/>
        </w:rPr>
        <w:t>IP</w:t>
      </w:r>
      <w:r>
        <w:rPr>
          <w:rFonts w:hint="eastAsia"/>
        </w:rPr>
        <w:t>提供</w:t>
      </w:r>
      <w:r>
        <w:rPr>
          <w:rFonts w:hint="eastAsia"/>
        </w:rPr>
        <w:t>N-ISAC</w:t>
      </w:r>
      <w:r>
        <w:rPr>
          <w:rFonts w:hint="eastAsia"/>
        </w:rPr>
        <w:t>（國家資安資訊分享與分析中心）建立黑名單。另因犯案手法多係存於外籍移工入境，故亦對雇主或代辦機構進行相關宣導。</w:t>
      </w:r>
    </w:p>
    <w:p w:rsidR="0094559A" w:rsidRDefault="0094559A" w:rsidP="00425EE5">
      <w:pPr>
        <w:pStyle w:val="1----"/>
        <w:ind w:left="600" w:hanging="360"/>
      </w:pPr>
      <w:r>
        <w:rPr>
          <w:rFonts w:hint="eastAsia"/>
        </w:rPr>
        <w:t>4</w:t>
      </w:r>
      <w:r>
        <w:rPr>
          <w:rFonts w:hint="eastAsia"/>
        </w:rPr>
        <w:t>、勞動部</w:t>
      </w:r>
      <w:r w:rsidR="00D54530">
        <w:rPr>
          <w:rFonts w:hint="eastAsia"/>
        </w:rPr>
        <w:t>已</w:t>
      </w:r>
      <w:r>
        <w:rPr>
          <w:rFonts w:hint="eastAsia"/>
        </w:rPr>
        <w:t>製作外籍勞工職前講習宣導影片、編印雇主聘僱外籍勞工法令宣導手冊及外籍勞工在臺工作須知手冊、建置跨國勞動力權益維護資訊網站等。</w:t>
      </w:r>
    </w:p>
    <w:p w:rsidR="0094559A" w:rsidRDefault="0094559A" w:rsidP="00425EE5">
      <w:pPr>
        <w:pStyle w:val="1----"/>
        <w:ind w:left="600" w:hanging="360"/>
      </w:pPr>
      <w:r>
        <w:rPr>
          <w:rFonts w:hint="eastAsia"/>
        </w:rPr>
        <w:lastRenderedPageBreak/>
        <w:t>5</w:t>
      </w:r>
      <w:r w:rsidR="00D54530">
        <w:rPr>
          <w:rFonts w:hint="eastAsia"/>
        </w:rPr>
        <w:t>、</w:t>
      </w:r>
      <w:r>
        <w:rPr>
          <w:rFonts w:hint="eastAsia"/>
        </w:rPr>
        <w:t>通傳會核准電信業者提供</w:t>
      </w:r>
      <w:r>
        <w:rPr>
          <w:rFonts w:hint="eastAsia"/>
        </w:rPr>
        <w:t>1</w:t>
      </w:r>
      <w:r>
        <w:rPr>
          <w:rFonts w:hint="eastAsia"/>
        </w:rPr>
        <w:t>個月內有效期預付卡及屆滿收回之措施，並將措施納入營業規章及完成</w:t>
      </w:r>
      <w:r w:rsidR="00D54530">
        <w:rPr>
          <w:rFonts w:hint="eastAsia"/>
        </w:rPr>
        <w:t>修訂</w:t>
      </w:r>
      <w:r>
        <w:rPr>
          <w:rFonts w:hint="eastAsia"/>
        </w:rPr>
        <w:t>服務契約。</w:t>
      </w:r>
    </w:p>
    <w:p w:rsidR="003807A5" w:rsidRPr="00AC77DF" w:rsidRDefault="00D54530" w:rsidP="00425EE5">
      <w:pPr>
        <w:pStyle w:val="1----"/>
        <w:ind w:left="600" w:hanging="360"/>
        <w:rPr>
          <w:b/>
        </w:rPr>
      </w:pPr>
      <w:r>
        <w:rPr>
          <w:rFonts w:hint="eastAsia"/>
        </w:rPr>
        <w:t>6</w:t>
      </w:r>
      <w:r w:rsidR="0094559A">
        <w:rPr>
          <w:rFonts w:hint="eastAsia"/>
        </w:rPr>
        <w:t>、金管會</w:t>
      </w:r>
      <w:r>
        <w:rPr>
          <w:rFonts w:hint="eastAsia"/>
        </w:rPr>
        <w:t>已對</w:t>
      </w:r>
      <w:r w:rsidR="0094559A">
        <w:rPr>
          <w:rFonts w:hint="eastAsia"/>
        </w:rPr>
        <w:t>銀聯卡之提領</w:t>
      </w:r>
      <w:r>
        <w:rPr>
          <w:rFonts w:hint="eastAsia"/>
        </w:rPr>
        <w:t>訂</w:t>
      </w:r>
      <w:r w:rsidR="0094559A">
        <w:rPr>
          <w:rFonts w:hint="eastAsia"/>
        </w:rPr>
        <w:t>有限額控管機制，包括於我國</w:t>
      </w:r>
      <w:r w:rsidR="0094559A">
        <w:rPr>
          <w:rFonts w:hint="eastAsia"/>
        </w:rPr>
        <w:t>ATM</w:t>
      </w:r>
      <w:r w:rsidR="0094559A">
        <w:rPr>
          <w:rFonts w:hint="eastAsia"/>
        </w:rPr>
        <w:t>提領時，須比照我國跨行提款限額規定。</w:t>
      </w:r>
    </w:p>
    <w:p w:rsidR="003807A5" w:rsidRPr="00AC77DF" w:rsidRDefault="00FC6F5B" w:rsidP="000B692A">
      <w:pPr>
        <w:pStyle w:val="afff1"/>
        <w:spacing w:before="360" w:after="360"/>
      </w:pPr>
      <w:bookmarkStart w:id="510" w:name="_Toc531362487"/>
      <w:r>
        <w:rPr>
          <w:rFonts w:hint="eastAsia"/>
        </w:rPr>
        <w:t>(四)</w:t>
      </w:r>
      <w:r w:rsidR="003807A5" w:rsidRPr="00AC77DF">
        <w:t>案件進展</w:t>
      </w:r>
      <w:bookmarkEnd w:id="510"/>
    </w:p>
    <w:p w:rsidR="0057081E" w:rsidRDefault="003807A5" w:rsidP="00B7222B">
      <w:pPr>
        <w:pStyle w:val="1---"/>
        <w:ind w:firstLine="480"/>
        <w:rPr>
          <w:lang w:eastAsia="zh-TW"/>
        </w:rPr>
      </w:pPr>
      <w:r w:rsidRPr="00AC77DF">
        <w:t>監察院已請行政院繼續彙整相關作業與成效統計情形，本案監察院</w:t>
      </w:r>
      <w:r w:rsidR="00B43FDD">
        <w:rPr>
          <w:rFonts w:hint="eastAsia"/>
        </w:rPr>
        <w:t>持</w:t>
      </w:r>
      <w:r w:rsidRPr="00AC77DF">
        <w:t>續追蹤中。</w:t>
      </w:r>
      <w:bookmarkStart w:id="511" w:name="_Toc535228395"/>
    </w:p>
    <w:p w:rsidR="00FC6F5B" w:rsidRDefault="00FC6F5B" w:rsidP="00FC6F5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2717"/>
      </w:tblGrid>
      <w:tr w:rsidR="00FC6F5B" w:rsidTr="00527D6A">
        <w:tc>
          <w:tcPr>
            <w:tcW w:w="2717" w:type="dxa"/>
            <w:shd w:val="clear" w:color="auto" w:fill="D9D9D9" w:themeFill="background1" w:themeFillShade="D9"/>
          </w:tcPr>
          <w:p w:rsidR="00FC6F5B" w:rsidRDefault="00FC6F5B" w:rsidP="00FC6F5B">
            <w:pPr>
              <w:pStyle w:val="11-"/>
              <w:spacing w:before="72" w:after="108"/>
              <w:rPr>
                <w:b/>
                <w:color w:val="000000" w:themeColor="text1"/>
                <w:sz w:val="36"/>
                <w:lang w:eastAsia="zh-TW"/>
              </w:rPr>
            </w:pPr>
            <w:bookmarkStart w:id="512" w:name="_Toc4058806"/>
            <w:r w:rsidRPr="00AC77DF">
              <w:t>董事會薪酬爭議案</w:t>
            </w:r>
            <w:bookmarkEnd w:id="512"/>
          </w:p>
        </w:tc>
      </w:tr>
    </w:tbl>
    <w:p w:rsidR="003807A5" w:rsidRPr="00AC77DF" w:rsidRDefault="00FC6F5B" w:rsidP="000B692A">
      <w:pPr>
        <w:pStyle w:val="afff1"/>
        <w:spacing w:before="360" w:after="360"/>
      </w:pPr>
      <w:bookmarkStart w:id="513" w:name="_Toc531362489"/>
      <w:bookmarkEnd w:id="511"/>
      <w:r>
        <w:rPr>
          <w:rFonts w:hint="eastAsia"/>
        </w:rPr>
        <w:t>(一)</w:t>
      </w:r>
      <w:r w:rsidR="003807A5" w:rsidRPr="00AC77DF">
        <w:t>案情簡述</w:t>
      </w:r>
      <w:bookmarkEnd w:id="513"/>
    </w:p>
    <w:p w:rsidR="003807A5" w:rsidRPr="00AC77DF" w:rsidRDefault="003807A5" w:rsidP="00527D6A">
      <w:pPr>
        <w:pStyle w:val="1---"/>
        <w:ind w:firstLine="480"/>
        <w:rPr>
          <w:b/>
        </w:rPr>
      </w:pPr>
      <w:r w:rsidRPr="00AC77DF">
        <w:t>陳訴人指稱，經濟部</w:t>
      </w:r>
      <w:r w:rsidRPr="00AC77DF">
        <w:t>93</w:t>
      </w:r>
      <w:r w:rsidRPr="00AC77DF">
        <w:t>年</w:t>
      </w:r>
      <w:r w:rsidRPr="00AC77DF">
        <w:t>3</w:t>
      </w:r>
      <w:r w:rsidRPr="00AC77DF">
        <w:t>月</w:t>
      </w:r>
      <w:r w:rsidRPr="00AC77DF">
        <w:t>8</w:t>
      </w:r>
      <w:r w:rsidRPr="00AC77DF">
        <w:t>日經商字第</w:t>
      </w:r>
      <w:r w:rsidRPr="00AC77DF">
        <w:t>09302030870</w:t>
      </w:r>
      <w:r w:rsidRPr="00AC77DF">
        <w:t>號函允許公司章程授權董事會自行議定董事報酬，牴觸公司法</w:t>
      </w:r>
      <w:r w:rsidRPr="00527D6A">
        <w:rPr>
          <w:spacing w:val="-16"/>
        </w:rPr>
        <w:t>第</w:t>
      </w:r>
      <w:r w:rsidRPr="00AC77DF">
        <w:t>19</w:t>
      </w:r>
      <w:r w:rsidRPr="00527D6A">
        <w:rPr>
          <w:spacing w:val="-16"/>
        </w:rPr>
        <w:t>6</w:t>
      </w:r>
      <w:r w:rsidRPr="00AC77DF">
        <w:t>條所定「董事之報酬未經章程訂明，應由股東會議定」之強行規定，且違反最高法院裁判意旨，應屬無效。因涉及公司治理及股東、債權人之保護等重要議題，爰經監察院財政及經濟委員會決議調查。</w:t>
      </w:r>
    </w:p>
    <w:p w:rsidR="006A4F3C" w:rsidRDefault="006A4F3C">
      <w:pPr>
        <w:widowControl/>
        <w:snapToGrid/>
        <w:rPr>
          <w:rFonts w:ascii="華康魏碑體" w:eastAsia="華康魏碑體" w:hAnsi="細明體" w:cs="細明體"/>
          <w:kern w:val="0"/>
          <w:sz w:val="34"/>
          <w:szCs w:val="32"/>
        </w:rPr>
      </w:pPr>
      <w:bookmarkStart w:id="514" w:name="_Toc531362490"/>
      <w:r>
        <w:br w:type="page"/>
      </w:r>
    </w:p>
    <w:p w:rsidR="003807A5" w:rsidRPr="00AC77DF" w:rsidRDefault="00FC6F5B" w:rsidP="000B692A">
      <w:pPr>
        <w:pStyle w:val="afff1"/>
        <w:spacing w:before="360" w:after="360"/>
      </w:pPr>
      <w:r>
        <w:rPr>
          <w:rFonts w:hint="eastAsia"/>
        </w:rPr>
        <w:lastRenderedPageBreak/>
        <w:t>(二)</w:t>
      </w:r>
      <w:r w:rsidR="003807A5" w:rsidRPr="00AC77DF">
        <w:t>監察院調查發現與建議</w:t>
      </w:r>
      <w:bookmarkStart w:id="515" w:name="_Toc70241815"/>
      <w:bookmarkStart w:id="516" w:name="_Toc70242204"/>
      <w:bookmarkEnd w:id="514"/>
    </w:p>
    <w:p w:rsidR="003807A5" w:rsidRPr="00AC77DF" w:rsidRDefault="00597483" w:rsidP="00564517">
      <w:pPr>
        <w:pStyle w:val="1--13"/>
        <w:spacing w:before="180" w:after="180"/>
      </w:pPr>
      <w:r w:rsidRPr="008E1832">
        <w:rPr>
          <w:rFonts w:hint="eastAsia"/>
        </w:rPr>
        <w:t>˙</w:t>
      </w:r>
      <w:r w:rsidR="003807A5" w:rsidRPr="00AC77DF">
        <w:t>統一見解應踐行法定程序</w:t>
      </w:r>
    </w:p>
    <w:p w:rsidR="003807A5" w:rsidRPr="00AC77DF" w:rsidRDefault="003807A5" w:rsidP="00B7222B">
      <w:pPr>
        <w:pStyle w:val="1---"/>
        <w:ind w:firstLine="480"/>
        <w:rPr>
          <w:b/>
        </w:rPr>
      </w:pPr>
      <w:r w:rsidRPr="00AC77DF">
        <w:t>經濟部為公司法主管機關，對適用該法所生之疑義，雖得自行研議釋明，惟若涉及人民權益，具有重要意義，而有統一見解必要之解釋函令或解釋函，仍應循法制作業妥慎研議，並依行政程序法發布該解釋令（函</w:t>
      </w:r>
      <w:r w:rsidRPr="00527D6A">
        <w:rPr>
          <w:spacing w:val="-28"/>
        </w:rPr>
        <w:t>）</w:t>
      </w:r>
      <w:r w:rsidRPr="00AC77DF">
        <w:t>。經濟部就董事報酬所生疑義而為之函釋，對公司股東權益具有重要之意義，如屬通案性質，需統一見解作為行政機關遵行之行為指示規則時，自應踐行應有之法定程序，以符合公正公開之行政程序並增進人民對行政之信賴。該部逕將</w:t>
      </w:r>
      <w:r w:rsidRPr="00AC77DF">
        <w:t>93</w:t>
      </w:r>
      <w:r w:rsidRPr="00AC77DF">
        <w:t>年</w:t>
      </w:r>
      <w:r w:rsidRPr="00AC77DF">
        <w:t>3</w:t>
      </w:r>
      <w:r w:rsidRPr="00AC77DF">
        <w:t>月</w:t>
      </w:r>
      <w:r w:rsidRPr="00AC77DF">
        <w:t>8</w:t>
      </w:r>
      <w:r w:rsidRPr="00AC77DF">
        <w:t>日個案答復民眾董事報酬疑義之函文，對內下達為通案適用之依據，對外於商工法規查詢系統中公告為公司法第</w:t>
      </w:r>
      <w:r w:rsidRPr="00AC77DF">
        <w:t>196</w:t>
      </w:r>
      <w:r w:rsidRPr="00AC77DF">
        <w:t>條董事報酬疑義之函釋，未踐行由其首長簽署並發布之程序</w:t>
      </w:r>
      <w:bookmarkEnd w:id="515"/>
      <w:bookmarkEnd w:id="516"/>
      <w:r w:rsidRPr="00AC77DF">
        <w:t>。</w:t>
      </w:r>
    </w:p>
    <w:p w:rsidR="003807A5" w:rsidRPr="00AC77DF" w:rsidRDefault="00597483" w:rsidP="00564517">
      <w:pPr>
        <w:pStyle w:val="1--13"/>
        <w:spacing w:before="180" w:after="180"/>
      </w:pPr>
      <w:r w:rsidRPr="008E1832">
        <w:rPr>
          <w:rFonts w:hint="eastAsia"/>
        </w:rPr>
        <w:t>˙</w:t>
      </w:r>
      <w:r w:rsidR="003807A5" w:rsidRPr="00AC77DF">
        <w:t>研議周延薪酬規範</w:t>
      </w:r>
    </w:p>
    <w:p w:rsidR="003807A5" w:rsidRPr="00AC77DF" w:rsidRDefault="003807A5" w:rsidP="00B7222B">
      <w:pPr>
        <w:pStyle w:val="1---"/>
        <w:ind w:firstLine="480"/>
        <w:rPr>
          <w:b/>
        </w:rPr>
      </w:pPr>
      <w:r w:rsidRPr="00AC77DF">
        <w:t>公司法第</w:t>
      </w:r>
      <w:r w:rsidRPr="00AC77DF">
        <w:t>196</w:t>
      </w:r>
      <w:r w:rsidRPr="00AC77DF">
        <w:t>條第</w:t>
      </w:r>
      <w:r w:rsidRPr="00AC77DF">
        <w:t>1</w:t>
      </w:r>
      <w:r w:rsidRPr="00AC77DF">
        <w:t>項採股東會中心主義，如要求所有公司董事報酬之具體金額均須經股東會議定，固然不符合現代企業經營型態及實務運作，然該法條未否定得由章程訂明一定之限制，授權董事會議定之。經濟部上開函釋稱公司章程得以「同業通常水準</w:t>
      </w:r>
      <w:r w:rsidRPr="00527D6A">
        <w:rPr>
          <w:spacing w:val="-28"/>
        </w:rPr>
        <w:t>」</w:t>
      </w:r>
      <w:r w:rsidRPr="00AC77DF">
        <w:t>，作為授權董事會決定董事報酬之限制，諒係考量公司彈性決策，及簡化董事報酬之決定程序之需要。然而所謂「同業通常水準」過於空泛、抽象，不但未考量同業公司間資本額、經營模式、盈虧狀況之差異；又未要求公司應考量</w:t>
      </w:r>
      <w:r w:rsidRPr="00AC77DF">
        <w:lastRenderedPageBreak/>
        <w:t>董事個人績效、貢獻程度、承擔之風險等因素；亦未引導公司建立議定董事報酬之合理標準與機制，與公司治理原則未合。經濟部應邀集相關機關研議更為周延之限制，以落實公司法第</w:t>
      </w:r>
      <w:r w:rsidRPr="00AC77DF">
        <w:t>196</w:t>
      </w:r>
      <w:r w:rsidRPr="00AC77DF">
        <w:t>條之規範目的。</w:t>
      </w:r>
    </w:p>
    <w:p w:rsidR="003807A5" w:rsidRPr="00AC77DF" w:rsidRDefault="003807A5" w:rsidP="00B7222B">
      <w:pPr>
        <w:pStyle w:val="1---"/>
        <w:ind w:firstLine="480"/>
        <w:rPr>
          <w:b/>
        </w:rPr>
      </w:pPr>
      <w:r w:rsidRPr="00AC77DF">
        <w:t>證券交易法於</w:t>
      </w:r>
      <w:r w:rsidRPr="00AC77DF">
        <w:t>99</w:t>
      </w:r>
      <w:r w:rsidRPr="00AC77DF">
        <w:t>年</w:t>
      </w:r>
      <w:r w:rsidRPr="00AC77DF">
        <w:t>11</w:t>
      </w:r>
      <w:r w:rsidRPr="00AC77DF">
        <w:t>月</w:t>
      </w:r>
      <w:r w:rsidRPr="00AC77DF">
        <w:t>24</w:t>
      </w:r>
      <w:r w:rsidRPr="00AC77DF">
        <w:t>日增訂第</w:t>
      </w:r>
      <w:r w:rsidRPr="00AC77DF">
        <w:t>14</w:t>
      </w:r>
      <w:r w:rsidRPr="00AC77DF">
        <w:t>條之</w:t>
      </w:r>
      <w:r w:rsidRPr="00AC77DF">
        <w:t>6</w:t>
      </w:r>
      <w:r w:rsidRPr="00AC77DF">
        <w:t>，明定股票在證券交易所上市或於證券商營業處所買賣之公司應設置薪酬委員會。金管會依該條授權，訂頒薪酬委員會設置及行使職權辦法，另透過資訊揭露及市場監督，引導上市（櫃）公司訂定合理之董事酬金。惟近年來上市（櫃）公司稅後虧損，董事酬金不減反增者，不在少數，且有增加之趨勢。為杜絕實務上董事恣意向公司索取高額報酬，致危害股東投資權益，金管會宜於經濟部重行檢討</w:t>
      </w:r>
      <w:r w:rsidRPr="00AC77DF">
        <w:t>93</w:t>
      </w:r>
      <w:r w:rsidRPr="00AC77DF">
        <w:t>年</w:t>
      </w:r>
      <w:r w:rsidRPr="00AC77DF">
        <w:t>3</w:t>
      </w:r>
      <w:r w:rsidRPr="00AC77DF">
        <w:t>月</w:t>
      </w:r>
      <w:r w:rsidRPr="00AC77DF">
        <w:t>8</w:t>
      </w:r>
      <w:r w:rsidRPr="00AC77DF">
        <w:t>日函釋之際，檢討現行法令及相關機制之周延性，以強化薪酬委員會之功能。</w:t>
      </w:r>
    </w:p>
    <w:p w:rsidR="003807A5" w:rsidRPr="00AC77DF" w:rsidRDefault="003807A5" w:rsidP="00B7222B">
      <w:pPr>
        <w:pStyle w:val="1---"/>
        <w:ind w:firstLine="480"/>
      </w:pPr>
      <w:r w:rsidRPr="00AC77DF">
        <w:t>依據本案調查意見</w:t>
      </w:r>
      <w:r w:rsidRPr="00AC77DF">
        <w:rPr>
          <w:rStyle w:val="aff2"/>
        </w:rPr>
        <w:footnoteReference w:id="114"/>
      </w:r>
      <w:r w:rsidRPr="00AC77DF">
        <w:t>，監察院函請經濟部檢討改進。</w:t>
      </w:r>
    </w:p>
    <w:p w:rsidR="003807A5" w:rsidRPr="00AC77DF" w:rsidRDefault="00FC6F5B" w:rsidP="00444D95">
      <w:pPr>
        <w:pStyle w:val="afff1"/>
        <w:spacing w:beforeLines="80" w:before="288" w:afterLines="80" w:after="288"/>
      </w:pPr>
      <w:bookmarkStart w:id="517" w:name="_Toc531362491"/>
      <w:r>
        <w:rPr>
          <w:rFonts w:hint="eastAsia"/>
        </w:rPr>
        <w:t>(三)</w:t>
      </w:r>
      <w:r w:rsidR="003807A5" w:rsidRPr="00AC77DF">
        <w:t>政府機關改善情形</w:t>
      </w:r>
      <w:bookmarkEnd w:id="517"/>
    </w:p>
    <w:p w:rsidR="003807A5" w:rsidRPr="00AC77DF" w:rsidRDefault="003807A5" w:rsidP="00425EE5">
      <w:pPr>
        <w:pStyle w:val="1----"/>
        <w:ind w:left="600" w:hanging="360"/>
      </w:pPr>
      <w:r w:rsidRPr="00AC77DF">
        <w:t>1</w:t>
      </w:r>
      <w:r w:rsidRPr="00AC77DF">
        <w:t>、經濟部</w:t>
      </w:r>
      <w:r w:rsidR="0057081E">
        <w:rPr>
          <w:rFonts w:hint="eastAsia"/>
        </w:rPr>
        <w:t>已</w:t>
      </w:r>
      <w:r w:rsidRPr="00AC77DF">
        <w:t>邀集專家學者研商，並行文各登記主管機關補充該部</w:t>
      </w:r>
      <w:r w:rsidRPr="00AC77DF">
        <w:t>93</w:t>
      </w:r>
      <w:r w:rsidRPr="00AC77DF">
        <w:t>年</w:t>
      </w:r>
      <w:r w:rsidRPr="00AC77DF">
        <w:t>3</w:t>
      </w:r>
      <w:r w:rsidRPr="00AC77DF">
        <w:t>月</w:t>
      </w:r>
      <w:r w:rsidRPr="00AC77DF">
        <w:t>8</w:t>
      </w:r>
      <w:r w:rsidRPr="00AC77DF">
        <w:t>日函有關「同業通常水準」之意涵。</w:t>
      </w:r>
    </w:p>
    <w:p w:rsidR="003807A5" w:rsidRPr="00AC77DF" w:rsidRDefault="003807A5" w:rsidP="00425EE5">
      <w:pPr>
        <w:pStyle w:val="1----"/>
        <w:ind w:left="600" w:hanging="360"/>
        <w:rPr>
          <w:b/>
        </w:rPr>
      </w:pPr>
      <w:r w:rsidRPr="00AC77DF">
        <w:t>2</w:t>
      </w:r>
      <w:r w:rsidRPr="00AC77DF">
        <w:t>、金管會就加強上市櫃公司薪資報酬委員獨立性、行使職權規範及檢討公開資訊觀測站董監事酬金揭露標準等進行檢討，並督導證券交易所與證券櫃檯買賣中心落實各項具體措施。</w:t>
      </w:r>
    </w:p>
    <w:p w:rsidR="003807A5" w:rsidRPr="00AC77DF" w:rsidRDefault="00FC6F5B" w:rsidP="00444D95">
      <w:pPr>
        <w:pStyle w:val="afff1"/>
        <w:spacing w:beforeLines="80" w:before="288" w:afterLines="80" w:after="288"/>
      </w:pPr>
      <w:bookmarkStart w:id="518" w:name="_Toc531362492"/>
      <w:r>
        <w:rPr>
          <w:rFonts w:hint="eastAsia"/>
        </w:rPr>
        <w:lastRenderedPageBreak/>
        <w:t>(四)</w:t>
      </w:r>
      <w:r w:rsidR="003807A5" w:rsidRPr="00AC77DF">
        <w:t>案件進展</w:t>
      </w:r>
      <w:bookmarkEnd w:id="518"/>
    </w:p>
    <w:p w:rsidR="003807A5" w:rsidRDefault="003807A5" w:rsidP="00B7222B">
      <w:pPr>
        <w:pStyle w:val="1---"/>
        <w:ind w:firstLine="480"/>
        <w:rPr>
          <w:lang w:eastAsia="zh-TW"/>
        </w:rPr>
      </w:pPr>
      <w:r w:rsidRPr="00AC77DF">
        <w:t>本案在監察院持續監督追蹤下，已產生具體成果，爰已結案。</w:t>
      </w:r>
    </w:p>
    <w:p w:rsidR="006A4F3C" w:rsidRDefault="006A4F3C" w:rsidP="00B7222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4815"/>
      </w:tblGrid>
      <w:tr w:rsidR="00FC6F5B" w:rsidTr="00527D6A">
        <w:tc>
          <w:tcPr>
            <w:tcW w:w="4815" w:type="dxa"/>
            <w:shd w:val="clear" w:color="auto" w:fill="D9D9D9" w:themeFill="background1" w:themeFillShade="D9"/>
          </w:tcPr>
          <w:p w:rsidR="00FC6F5B" w:rsidRDefault="00FC6F5B" w:rsidP="00FC6F5B">
            <w:pPr>
              <w:pStyle w:val="11-"/>
              <w:spacing w:before="72" w:after="108"/>
              <w:rPr>
                <w:b/>
                <w:lang w:eastAsia="zh-TW"/>
              </w:rPr>
            </w:pPr>
            <w:bookmarkStart w:id="519" w:name="_Toc531362524"/>
            <w:bookmarkStart w:id="520" w:name="_Toc535228396"/>
            <w:bookmarkStart w:id="521" w:name="_Toc4058807"/>
            <w:r w:rsidRPr="00AC77DF">
              <w:t>查扣贓物責付被害人保管</w:t>
            </w:r>
            <w:r w:rsidRPr="00AC77DF">
              <w:rPr>
                <w:lang w:eastAsia="zh-HK"/>
              </w:rPr>
              <w:t>遭</w:t>
            </w:r>
            <w:r w:rsidRPr="00AC77DF">
              <w:t>遺失案</w:t>
            </w:r>
            <w:bookmarkEnd w:id="519"/>
            <w:bookmarkEnd w:id="520"/>
            <w:bookmarkEnd w:id="521"/>
          </w:p>
        </w:tc>
      </w:tr>
    </w:tbl>
    <w:p w:rsidR="003807A5" w:rsidRPr="00AC77DF" w:rsidRDefault="00FC6F5B" w:rsidP="000B692A">
      <w:pPr>
        <w:pStyle w:val="afff1"/>
        <w:spacing w:before="360" w:after="360"/>
      </w:pPr>
      <w:bookmarkStart w:id="522" w:name="_Toc531362525"/>
      <w:bookmarkStart w:id="523" w:name="_Toc508112901"/>
      <w:bookmarkStart w:id="524" w:name="_Toc531362493"/>
      <w:r>
        <w:rPr>
          <w:rFonts w:hint="eastAsia"/>
        </w:rPr>
        <w:t>(一)</w:t>
      </w:r>
      <w:r w:rsidR="003807A5" w:rsidRPr="00AC77DF">
        <w:t>案情簡述</w:t>
      </w:r>
      <w:bookmarkEnd w:id="522"/>
    </w:p>
    <w:p w:rsidR="003807A5" w:rsidRPr="00AC77DF" w:rsidRDefault="003807A5" w:rsidP="00B7222B">
      <w:pPr>
        <w:pStyle w:val="1---"/>
        <w:ind w:firstLine="480"/>
      </w:pPr>
      <w:r w:rsidRPr="00AC77DF">
        <w:t>臺灣嘉義地方檢察署（簡稱嘉義地檢署）檢察官偵辦贓物案件，將查扣贓物責付被害人保管，嗣該保管物遺失，經臺灣高等法院臺南分院判決該署應為國家賠償。究各司法機關於偵審案件過程，是否依刑事訴訟法相關規定處理？其任令價值高昂易生銹之扣押物由被害人保管，不予聞問，是否涉有違失等情，案經監察委員立案調查。</w:t>
      </w:r>
    </w:p>
    <w:p w:rsidR="003807A5" w:rsidRPr="00AC77DF" w:rsidRDefault="00FC6F5B" w:rsidP="000B692A">
      <w:pPr>
        <w:pStyle w:val="afff1"/>
        <w:spacing w:before="360" w:after="360"/>
      </w:pPr>
      <w:bookmarkStart w:id="525" w:name="_Toc531362526"/>
      <w:r>
        <w:rPr>
          <w:rFonts w:hint="eastAsia"/>
        </w:rPr>
        <w:t>(二)</w:t>
      </w:r>
      <w:r w:rsidR="003807A5" w:rsidRPr="00AC77DF">
        <w:t>監察院調查發現與建議</w:t>
      </w:r>
      <w:bookmarkEnd w:id="525"/>
    </w:p>
    <w:p w:rsidR="00444D95" w:rsidRDefault="00444D95" w:rsidP="00444D95">
      <w:pPr>
        <w:pStyle w:val="1--13"/>
        <w:spacing w:before="180" w:after="180"/>
      </w:pPr>
      <w:r w:rsidRPr="008E1832">
        <w:rPr>
          <w:rFonts w:hint="eastAsia"/>
        </w:rPr>
        <w:t>˙</w:t>
      </w:r>
      <w:r w:rsidR="00BA5AE3">
        <w:rPr>
          <w:rFonts w:hint="eastAsia"/>
        </w:rPr>
        <w:t>宜建立扣押物責付第三人保管一致立場</w:t>
      </w:r>
    </w:p>
    <w:p w:rsidR="003807A5" w:rsidRPr="00AC77DF" w:rsidRDefault="003807A5" w:rsidP="00BA5AE3">
      <w:pPr>
        <w:pStyle w:val="1---"/>
        <w:ind w:firstLine="480"/>
        <w:rPr>
          <w:i/>
        </w:rPr>
      </w:pPr>
      <w:r w:rsidRPr="00AC77DF">
        <w:t>高檢署臺南檢察分署就本案國賠義務機關所表示之法律見解，與司法院及法務部前於</w:t>
      </w:r>
      <w:r w:rsidRPr="00AC77DF">
        <w:t>102</w:t>
      </w:r>
      <w:r w:rsidRPr="00AC77DF">
        <w:t>年</w:t>
      </w:r>
      <w:r w:rsidRPr="00AC77DF">
        <w:t>9</w:t>
      </w:r>
      <w:r w:rsidRPr="00AC77DF">
        <w:t>月</w:t>
      </w:r>
      <w:r w:rsidRPr="00AC77DF">
        <w:t>4</w:t>
      </w:r>
      <w:r w:rsidRPr="00AC77DF">
        <w:t>日之研商決議相扞格，若未來成為處理類案之慣例，恐導致第一線檢察官畏懼將扣押物責付第三人保管，及影響其等為扣押處分之意願。法務部宜會同所屬通盤檢討，以建立機關一致立場並有效周知。此外</w:t>
      </w:r>
      <w:r w:rsidRPr="00AC77DF">
        <w:lastRenderedPageBreak/>
        <w:t>，司法院與法務部前揭決議內容並未涉及檢察機關間移轉管轄時，案關扣押物應如何移轉、點交等事項，宜併同檢討。</w:t>
      </w:r>
    </w:p>
    <w:p w:rsidR="00444D95" w:rsidRDefault="00444D95" w:rsidP="00444D95">
      <w:pPr>
        <w:pStyle w:val="1--13"/>
        <w:spacing w:before="180" w:after="180"/>
      </w:pPr>
      <w:r w:rsidRPr="008E1832">
        <w:rPr>
          <w:rFonts w:hint="eastAsia"/>
        </w:rPr>
        <w:t>˙</w:t>
      </w:r>
      <w:r w:rsidR="00BA5AE3">
        <w:rPr>
          <w:rFonts w:hint="eastAsia"/>
        </w:rPr>
        <w:t>各項疑義有待檢</w:t>
      </w:r>
      <w:r>
        <w:rPr>
          <w:rFonts w:hint="eastAsia"/>
        </w:rPr>
        <w:t>討</w:t>
      </w:r>
    </w:p>
    <w:p w:rsidR="003807A5" w:rsidRPr="00AC77DF" w:rsidRDefault="003807A5" w:rsidP="00BA5AE3">
      <w:pPr>
        <w:pStyle w:val="1---"/>
        <w:ind w:firstLine="480"/>
        <w:rPr>
          <w:i/>
        </w:rPr>
      </w:pPr>
      <w:r w:rsidRPr="00AC77DF">
        <w:t>本案國賠訴訟，雖已判決定讞，惟衍生相關疑義，容供司法院審酌參考。司法院應就扣押物責付第三人保管時，應特別告知事項之內容，儘速會商法務部研處。另宜就如何落實及使所屬周知前揭司法院與法務部</w:t>
      </w:r>
      <w:r w:rsidRPr="00AC77DF">
        <w:t>102</w:t>
      </w:r>
      <w:r w:rsidRPr="00AC77DF">
        <w:t>年</w:t>
      </w:r>
      <w:r w:rsidRPr="00AC77DF">
        <w:t>9</w:t>
      </w:r>
      <w:r w:rsidRPr="00AC77DF">
        <w:t>月</w:t>
      </w:r>
      <w:r w:rsidRPr="00AC77DF">
        <w:t>4</w:t>
      </w:r>
      <w:r w:rsidRPr="00AC77DF">
        <w:t>日決議事項，研提確實可行之方案。此外，前揭</w:t>
      </w:r>
      <w:r w:rsidRPr="00AC77DF">
        <w:t>102</w:t>
      </w:r>
      <w:r w:rsidRPr="00AC77DF">
        <w:t>年決議事項並未觸及法院間移轉管轄或審級間移審時，案關扣押物應如何移轉、點交等事宜，為期明確，宜檢討明定之。</w:t>
      </w:r>
    </w:p>
    <w:p w:rsidR="003807A5" w:rsidRPr="00AC77DF" w:rsidRDefault="003807A5" w:rsidP="00274413">
      <w:pPr>
        <w:pStyle w:val="1---"/>
        <w:spacing w:after="180"/>
        <w:ind w:firstLine="480"/>
      </w:pPr>
      <w:r w:rsidRPr="00AC77DF">
        <w:t>依據本案調查意見</w:t>
      </w:r>
      <w:r w:rsidRPr="00AC77DF">
        <w:rPr>
          <w:rStyle w:val="aff2"/>
        </w:rPr>
        <w:footnoteReference w:id="115"/>
      </w:r>
      <w:r w:rsidRPr="00AC77DF">
        <w:t>，監察院函請司法院及法務部檢討改善見復。</w:t>
      </w:r>
    </w:p>
    <w:p w:rsidR="003807A5" w:rsidRPr="00AC77DF" w:rsidRDefault="00FC6F5B" w:rsidP="000B692A">
      <w:pPr>
        <w:pStyle w:val="afff1"/>
        <w:spacing w:before="360" w:after="360"/>
      </w:pPr>
      <w:bookmarkStart w:id="526" w:name="_Toc531362527"/>
      <w:r>
        <w:rPr>
          <w:rFonts w:hint="eastAsia"/>
        </w:rPr>
        <w:t>(三)</w:t>
      </w:r>
      <w:r w:rsidR="003807A5" w:rsidRPr="00AC77DF">
        <w:t>政府機關改善情形</w:t>
      </w:r>
      <w:bookmarkEnd w:id="526"/>
    </w:p>
    <w:p w:rsidR="003807A5" w:rsidRPr="00AC77DF" w:rsidRDefault="003807A5" w:rsidP="00425EE5">
      <w:pPr>
        <w:pStyle w:val="1----"/>
        <w:ind w:left="600" w:hanging="360"/>
      </w:pPr>
      <w:r w:rsidRPr="00AC77DF">
        <w:t>1</w:t>
      </w:r>
      <w:r w:rsidRPr="00AC77DF">
        <w:t>、司法院</w:t>
      </w:r>
      <w:r w:rsidRPr="00AC77DF">
        <w:t>106</w:t>
      </w:r>
      <w:r w:rsidRPr="00AC77DF">
        <w:t>年</w:t>
      </w:r>
      <w:r w:rsidRPr="00AC77DF">
        <w:t>3</w:t>
      </w:r>
      <w:r w:rsidRPr="00AC77DF">
        <w:t>月</w:t>
      </w:r>
      <w:r w:rsidRPr="00AC77DF">
        <w:t>3</w:t>
      </w:r>
      <w:r w:rsidRPr="00AC77DF">
        <w:t>日函請臺灣高等法院就贓證物品之收受、保管、調取、變價及銷毀等事項，本於卷證併送之精神</w:t>
      </w:r>
      <w:r w:rsidR="00412D22">
        <w:rPr>
          <w:rFonts w:hint="eastAsia"/>
          <w:lang w:eastAsia="zh-TW"/>
        </w:rPr>
        <w:t>，</w:t>
      </w:r>
      <w:r w:rsidRPr="00AC77DF">
        <w:t>研議是否修正「臺灣高等法院暨所屬各級法院贓證物品管理要點</w:t>
      </w:r>
      <w:r w:rsidRPr="00572C1C">
        <w:rPr>
          <w:spacing w:val="-30"/>
        </w:rPr>
        <w:t>」</w:t>
      </w:r>
      <w:r w:rsidRPr="00AC77DF">
        <w:t>，或研處可行方案供法院參考，目前臺灣高等法院尚在研議中。</w:t>
      </w:r>
    </w:p>
    <w:p w:rsidR="003807A5" w:rsidRPr="00AC77DF" w:rsidRDefault="003807A5" w:rsidP="00425EE5">
      <w:pPr>
        <w:pStyle w:val="1----"/>
        <w:ind w:left="600" w:hanging="360"/>
      </w:pPr>
      <w:r w:rsidRPr="00AC77DF">
        <w:t>2</w:t>
      </w:r>
      <w:r w:rsidRPr="00AC77DF">
        <w:t>、司法院針對嘉義地檢署檢察官偵辦贓物案件，將查扣贓物責付被害人保管，嗣該保管物遺失，因國家賠償訴訟所衍</w:t>
      </w:r>
      <w:r w:rsidRPr="00AC77DF">
        <w:lastRenderedPageBreak/>
        <w:t>生之國家賠償法第</w:t>
      </w:r>
      <w:r w:rsidRPr="00AC77DF">
        <w:t>4</w:t>
      </w:r>
      <w:r w:rsidRPr="00AC77DF">
        <w:t>條等相關疑義，</w:t>
      </w:r>
      <w:r w:rsidR="00BB0F17">
        <w:rPr>
          <w:rFonts w:hint="eastAsia"/>
        </w:rPr>
        <w:t>已</w:t>
      </w:r>
      <w:r w:rsidRPr="00AC77DF">
        <w:t>於</w:t>
      </w:r>
      <w:r w:rsidRPr="00AC77DF">
        <w:t>107</w:t>
      </w:r>
      <w:r w:rsidRPr="00AC77DF">
        <w:t>年度法官學院舉辦之民事業務研究會（民事實體法專題</w:t>
      </w:r>
      <w:r w:rsidRPr="00572C1C">
        <w:rPr>
          <w:spacing w:val="-30"/>
        </w:rPr>
        <w:t>）</w:t>
      </w:r>
      <w:r w:rsidRPr="00AC77DF">
        <w:t>（研習對象：庭長、法官）排入</w:t>
      </w:r>
      <w:r w:rsidRPr="00AC77DF">
        <w:t>3</w:t>
      </w:r>
      <w:r w:rsidRPr="00AC77DF">
        <w:t>小時進行研討。</w:t>
      </w:r>
    </w:p>
    <w:p w:rsidR="003807A5" w:rsidRPr="00AC77DF" w:rsidRDefault="00412D22" w:rsidP="00425EE5">
      <w:pPr>
        <w:pStyle w:val="1----"/>
        <w:ind w:left="600" w:hanging="360"/>
      </w:pPr>
      <w:r>
        <w:rPr>
          <w:rFonts w:hint="eastAsia"/>
          <w:lang w:eastAsia="zh-TW"/>
        </w:rPr>
        <w:t>3</w:t>
      </w:r>
      <w:r w:rsidR="003807A5" w:rsidRPr="00AC77DF">
        <w:t>、法務部已於</w:t>
      </w:r>
      <w:r w:rsidR="003807A5" w:rsidRPr="00AC77DF">
        <w:t>106</w:t>
      </w:r>
      <w:r w:rsidR="003807A5" w:rsidRPr="00AC77DF">
        <w:t>年</w:t>
      </w:r>
      <w:r w:rsidR="003807A5" w:rsidRPr="00AC77DF">
        <w:t>3</w:t>
      </w:r>
      <w:r w:rsidR="003807A5" w:rsidRPr="00AC77DF">
        <w:t>月</w:t>
      </w:r>
      <w:r w:rsidR="003807A5" w:rsidRPr="00AC77DF">
        <w:t>30</w:t>
      </w:r>
      <w:r w:rsidR="003807A5" w:rsidRPr="00AC77DF">
        <w:t>日，邀集</w:t>
      </w:r>
      <w:r w:rsidR="003807A5" w:rsidRPr="0025002C">
        <w:rPr>
          <w:rFonts w:hint="eastAsia"/>
        </w:rPr>
        <w:t>高檢署</w:t>
      </w:r>
      <w:r w:rsidR="003807A5" w:rsidRPr="00AC77DF">
        <w:t>等相關檢察機關進行研議，會中決議：</w:t>
      </w:r>
    </w:p>
    <w:p w:rsidR="003807A5" w:rsidRPr="00AC77DF" w:rsidRDefault="003807A5" w:rsidP="00572C1C">
      <w:pPr>
        <w:pStyle w:val="1--1"/>
        <w:ind w:left="1080" w:hanging="600"/>
      </w:pPr>
      <w:r w:rsidRPr="00AC77DF">
        <w:t>（</w:t>
      </w:r>
      <w:r w:rsidRPr="00AC77DF">
        <w:t>1</w:t>
      </w:r>
      <w:r w:rsidRPr="00AC77DF">
        <w:t>）關於命保管扣押物及嗣後為移轉管轄、起訴時，相關應注意事項：在責付之保管條或切結文書上可加註教示文字，責付保管時，可考慮另立委保號清單，或分案立委保案，俾便控管，研考科可考慮是否將委保案比照一般案件管考；命保管後，為移轉管轄者，卷面註記，同時在該聲請移轉管轄函片上也為相同敘明。收受移轉管轄之檢察署檢察官，應儘速進行三方會同點交程序；命保管後，偵結起訴者，目前有部分院方因為贓物庫空間不足仍將贓證物放在檢察署贓物庫，但為釐清保管責任，請在移審函片比照上述決議辦理，提醒院方應儘速與地檢署進行點交，於責付第三人保管的情形亦同。偵查中責付保管，起訴移審法院後，卷證既已併送，相關保管責任也應歸屬院方，為避免爭議，可在函文敘明本件現有贓證物在第三人保管中，提醒院方做適當處理。</w:t>
      </w:r>
    </w:p>
    <w:p w:rsidR="003807A5" w:rsidRPr="00AC77DF" w:rsidRDefault="003807A5" w:rsidP="00572C1C">
      <w:pPr>
        <w:pStyle w:val="1--1"/>
        <w:ind w:left="1080" w:hanging="600"/>
      </w:pPr>
      <w:r w:rsidRPr="00AC77DF">
        <w:t>（</w:t>
      </w:r>
      <w:r w:rsidRPr="00AC77DF">
        <w:t>2</w:t>
      </w:r>
      <w:r w:rsidRPr="00AC77DF">
        <w:t>）檢察官於依上述方式慎選保管對象、明確告知保管義務，並於移轉管轄時妥予點交</w:t>
      </w:r>
      <w:r w:rsidR="00412D22">
        <w:rPr>
          <w:rFonts w:hint="eastAsia"/>
        </w:rPr>
        <w:t>；</w:t>
      </w:r>
      <w:r w:rsidRPr="00AC77DF">
        <w:t>嗣後始發生責付保管之扣押物毀損、滅失等情形者，應由該承繼之機關擔任國家賠償訴訟之賠償義務機關。</w:t>
      </w:r>
    </w:p>
    <w:p w:rsidR="003807A5" w:rsidRPr="00AC77DF" w:rsidRDefault="003807A5" w:rsidP="00572C1C">
      <w:pPr>
        <w:pStyle w:val="1--1"/>
        <w:ind w:left="1080" w:hanging="600"/>
      </w:pPr>
      <w:r w:rsidRPr="00AC77DF">
        <w:t>（</w:t>
      </w:r>
      <w:r w:rsidRPr="00AC77DF">
        <w:t>3</w:t>
      </w:r>
      <w:r w:rsidRPr="00AC77DF">
        <w:t>）法務部已將上開會議紀錄函知所屬檢察機關，以供參</w:t>
      </w:r>
      <w:r w:rsidRPr="00AC77DF">
        <w:lastRenderedPageBreak/>
        <w:t>考依循。</w:t>
      </w:r>
    </w:p>
    <w:p w:rsidR="003807A5" w:rsidRPr="00AC77DF" w:rsidRDefault="00FC6F5B" w:rsidP="00F07808">
      <w:pPr>
        <w:pStyle w:val="afff1"/>
        <w:spacing w:beforeLines="80" w:before="288" w:afterLines="80" w:after="288"/>
      </w:pPr>
      <w:bookmarkStart w:id="527" w:name="_Toc531362528"/>
      <w:r>
        <w:rPr>
          <w:rFonts w:hint="eastAsia"/>
        </w:rPr>
        <w:t>(四)</w:t>
      </w:r>
      <w:r w:rsidR="003807A5" w:rsidRPr="00AC77DF">
        <w:t>案件進展</w:t>
      </w:r>
      <w:bookmarkEnd w:id="527"/>
    </w:p>
    <w:p w:rsidR="003807A5" w:rsidRDefault="003807A5" w:rsidP="00FC6F5B">
      <w:pPr>
        <w:pStyle w:val="1---"/>
        <w:ind w:firstLine="480"/>
        <w:rPr>
          <w:lang w:eastAsia="zh-TW"/>
        </w:rPr>
      </w:pPr>
      <w:r w:rsidRPr="00AC77DF">
        <w:t>本案</w:t>
      </w:r>
      <w:r w:rsidR="00B43FDD">
        <w:rPr>
          <w:rFonts w:hint="eastAsia"/>
        </w:rPr>
        <w:t>已結案</w:t>
      </w:r>
      <w:r w:rsidRPr="00AC77DF">
        <w:t>。</w:t>
      </w:r>
    </w:p>
    <w:p w:rsidR="006A4F3C" w:rsidRDefault="006A4F3C" w:rsidP="00FC6F5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3993"/>
      </w:tblGrid>
      <w:tr w:rsidR="00FC6F5B" w:rsidTr="00572C1C">
        <w:tc>
          <w:tcPr>
            <w:tcW w:w="3993" w:type="dxa"/>
            <w:shd w:val="clear" w:color="auto" w:fill="D9D9D9" w:themeFill="background1" w:themeFillShade="D9"/>
          </w:tcPr>
          <w:p w:rsidR="00FC6F5B" w:rsidRDefault="00FC6F5B" w:rsidP="00FC6F5B">
            <w:pPr>
              <w:pStyle w:val="11-"/>
              <w:spacing w:before="72" w:after="108"/>
              <w:rPr>
                <w:lang w:eastAsia="zh-TW"/>
              </w:rPr>
            </w:pPr>
            <w:bookmarkStart w:id="528" w:name="_Toc535228397"/>
            <w:bookmarkStart w:id="529" w:name="_Toc4058808"/>
            <w:r w:rsidRPr="00AC77DF">
              <w:t>申請變更建造執照遭刁難案</w:t>
            </w:r>
            <w:bookmarkEnd w:id="528"/>
            <w:bookmarkEnd w:id="529"/>
          </w:p>
        </w:tc>
      </w:tr>
    </w:tbl>
    <w:p w:rsidR="003807A5" w:rsidRPr="00AC77DF" w:rsidRDefault="00FC6F5B" w:rsidP="000B692A">
      <w:pPr>
        <w:pStyle w:val="afff1"/>
        <w:spacing w:before="360" w:after="360"/>
      </w:pPr>
      <w:bookmarkStart w:id="530" w:name="_Toc531362494"/>
      <w:bookmarkEnd w:id="523"/>
      <w:bookmarkEnd w:id="524"/>
      <w:r>
        <w:rPr>
          <w:rFonts w:hint="eastAsia"/>
        </w:rPr>
        <w:t>(一)</w:t>
      </w:r>
      <w:r w:rsidR="003807A5" w:rsidRPr="00AC77DF">
        <w:t>案情簡述</w:t>
      </w:r>
      <w:bookmarkEnd w:id="530"/>
    </w:p>
    <w:p w:rsidR="003807A5" w:rsidRPr="00AC77DF" w:rsidRDefault="003807A5" w:rsidP="00450E3B">
      <w:pPr>
        <w:pStyle w:val="1---"/>
        <w:ind w:firstLine="480"/>
      </w:pPr>
      <w:r w:rsidRPr="00AC77DF">
        <w:t>據訴，鴻旭砂石有限公司（簡稱鴻旭公司）前於</w:t>
      </w:r>
      <w:r w:rsidRPr="00AC77DF">
        <w:t>100</w:t>
      </w:r>
      <w:r w:rsidRPr="00AC77DF">
        <w:t>年</w:t>
      </w:r>
      <w:r w:rsidRPr="00AC77DF">
        <w:t>3</w:t>
      </w:r>
      <w:r w:rsidRPr="00AC77DF">
        <w:t>月、</w:t>
      </w:r>
      <w:r w:rsidRPr="00AC77DF">
        <w:t>9</w:t>
      </w:r>
      <w:r w:rsidRPr="00AC77DF">
        <w:t>月間向花蓮縣政府申請建造執照變更設計，惟遲未獲准駁處分。經該公司向內政部提起訴願，該部業以</w:t>
      </w:r>
      <w:r w:rsidRPr="00AC77DF">
        <w:t>101</w:t>
      </w:r>
      <w:r w:rsidRPr="00AC77DF">
        <w:t>年</w:t>
      </w:r>
      <w:r w:rsidRPr="00AC77DF">
        <w:t>4</w:t>
      </w:r>
      <w:r w:rsidRPr="00AC77DF">
        <w:t>月</w:t>
      </w:r>
      <w:r w:rsidRPr="00AC77DF">
        <w:t>25</w:t>
      </w:r>
      <w:r w:rsidRPr="00AC77DF">
        <w:t>日訴願決定花蓮縣政府應於</w:t>
      </w:r>
      <w:r w:rsidRPr="00AC77DF">
        <w:t>1</w:t>
      </w:r>
      <w:r w:rsidRPr="00AC77DF">
        <w:t>個月內作成處分。詎該府迄未依訴願決定意旨辦理，涉有違失，案經監察委員認有深入瞭解之必要，而立案調查。</w:t>
      </w:r>
    </w:p>
    <w:p w:rsidR="003807A5" w:rsidRPr="00AC77DF" w:rsidRDefault="00FC6F5B" w:rsidP="000B692A">
      <w:pPr>
        <w:pStyle w:val="afff1"/>
        <w:spacing w:before="360" w:after="360"/>
      </w:pPr>
      <w:bookmarkStart w:id="531" w:name="_Toc531362495"/>
      <w:r>
        <w:rPr>
          <w:rFonts w:hint="eastAsia"/>
        </w:rPr>
        <w:t>(二)</w:t>
      </w:r>
      <w:r w:rsidR="003807A5" w:rsidRPr="00AC77DF">
        <w:t>監察院調查發現與建議</w:t>
      </w:r>
      <w:bookmarkEnd w:id="531"/>
    </w:p>
    <w:p w:rsidR="003807A5" w:rsidRPr="00AC77DF" w:rsidRDefault="00597483" w:rsidP="00564517">
      <w:pPr>
        <w:pStyle w:val="1--13"/>
        <w:spacing w:before="180" w:after="180"/>
      </w:pPr>
      <w:r w:rsidRPr="008E1832">
        <w:rPr>
          <w:rFonts w:hint="eastAsia"/>
        </w:rPr>
        <w:t>˙</w:t>
      </w:r>
      <w:r w:rsidR="003807A5" w:rsidRPr="00AC77DF">
        <w:t>對於人民申請案件之處理未依法行政</w:t>
      </w:r>
    </w:p>
    <w:p w:rsidR="00FA7278" w:rsidRPr="00AC77DF" w:rsidRDefault="003807A5" w:rsidP="00450E3B">
      <w:pPr>
        <w:pStyle w:val="1---"/>
        <w:ind w:firstLine="480"/>
        <w:rPr>
          <w:lang w:eastAsia="zh-TW"/>
        </w:rPr>
      </w:pPr>
      <w:r w:rsidRPr="00AC77DF">
        <w:t>花蓮縣政府受理鴻旭公司</w:t>
      </w:r>
      <w:r w:rsidRPr="00AC77DF">
        <w:t>100</w:t>
      </w:r>
      <w:r w:rsidRPr="00AC77DF">
        <w:t>年</w:t>
      </w:r>
      <w:r w:rsidRPr="00AC77DF">
        <w:t>3</w:t>
      </w:r>
      <w:r w:rsidRPr="00AC77DF">
        <w:t>月</w:t>
      </w:r>
      <w:r w:rsidRPr="00AC77DF">
        <w:t>21</w:t>
      </w:r>
      <w:r w:rsidRPr="00AC77DF">
        <w:t>日申請興建砂石碎解洗選場建造執照變更設計案，遲未依建築法第</w:t>
      </w:r>
      <w:r w:rsidRPr="00AC77DF">
        <w:t>33</w:t>
      </w:r>
      <w:r w:rsidRPr="00AC77DF">
        <w:t>條規定期限為准駁決定，反以該府訂頒缺乏法規範效力之「八不政策」為據函復「暫緩受理</w:t>
      </w:r>
      <w:r w:rsidRPr="00572C1C">
        <w:rPr>
          <w:spacing w:val="-28"/>
        </w:rPr>
        <w:t>」</w:t>
      </w:r>
      <w:r w:rsidRPr="00AC77DF">
        <w:t>。嗣再援引該府</w:t>
      </w:r>
      <w:r w:rsidRPr="00AC77DF">
        <w:t>102</w:t>
      </w:r>
      <w:r w:rsidRPr="00AC77DF">
        <w:t>年間公布但並無明文</w:t>
      </w:r>
      <w:r w:rsidRPr="00AC77DF">
        <w:lastRenderedPageBreak/>
        <w:t>禁止設置砂石場之「花蓮縣維護自然環境生態永續發展自治條例</w:t>
      </w:r>
      <w:r w:rsidRPr="00572C1C">
        <w:rPr>
          <w:spacing w:val="-28"/>
        </w:rPr>
        <w:t>」</w:t>
      </w:r>
      <w:r w:rsidRPr="00AC77DF">
        <w:t>，持續不為准駁之決定，任令該申請案懸宕超過</w:t>
      </w:r>
      <w:r w:rsidRPr="00AC77DF">
        <w:t>6</w:t>
      </w:r>
      <w:r w:rsidRPr="00AC77DF">
        <w:t>年，致申請人就其投資行為之去從欠缺清晰可辨之遵循方向，且不利其尋求實體上之救濟。</w:t>
      </w:r>
    </w:p>
    <w:p w:rsidR="003807A5" w:rsidRPr="00AC77DF" w:rsidRDefault="00597483" w:rsidP="00564517">
      <w:pPr>
        <w:pStyle w:val="1--13"/>
        <w:spacing w:before="180" w:after="180"/>
      </w:pPr>
      <w:r w:rsidRPr="008E1832">
        <w:rPr>
          <w:rFonts w:hint="eastAsia"/>
        </w:rPr>
        <w:t>˙</w:t>
      </w:r>
      <w:r w:rsidR="003807A5" w:rsidRPr="00AC77DF">
        <w:t>對內政部訴願決定置之不理</w:t>
      </w:r>
    </w:p>
    <w:p w:rsidR="003807A5" w:rsidRPr="00AC77DF" w:rsidRDefault="003807A5" w:rsidP="00450E3B">
      <w:pPr>
        <w:pStyle w:val="1---"/>
        <w:ind w:firstLine="480"/>
      </w:pPr>
      <w:r w:rsidRPr="00AC77DF">
        <w:t>花蓮縣政府於</w:t>
      </w:r>
      <w:r w:rsidRPr="00AC77DF">
        <w:t>99</w:t>
      </w:r>
      <w:r w:rsidRPr="00AC77DF">
        <w:t>年間就案外福壽陵園納骨塔於領得使用執照之續為申請啟用案，因逾</w:t>
      </w:r>
      <w:r w:rsidRPr="00AC77DF">
        <w:t>1</w:t>
      </w:r>
      <w:r w:rsidRPr="00AC77DF">
        <w:t>年不為准駁處分，又怠未依內政部訴願決定另為適法之處分，前經監察院於</w:t>
      </w:r>
      <w:r w:rsidRPr="00AC77DF">
        <w:t>102</w:t>
      </w:r>
      <w:r w:rsidRPr="00AC77DF">
        <w:t>年間糾正在案。對於訴願決定所生拘束力，該府應無法諉為不知。本件鴻旭公司申請建築執照變更設計案經內政部</w:t>
      </w:r>
      <w:r w:rsidRPr="00AC77DF">
        <w:t>101</w:t>
      </w:r>
      <w:r w:rsidRPr="00AC77DF">
        <w:t>年</w:t>
      </w:r>
      <w:r w:rsidRPr="00AC77DF">
        <w:t>4</w:t>
      </w:r>
      <w:r w:rsidRPr="00AC77DF">
        <w:t>月</w:t>
      </w:r>
      <w:r w:rsidRPr="00AC77DF">
        <w:t>25</w:t>
      </w:r>
      <w:r w:rsidRPr="00AC77DF">
        <w:t>日作出「原處分機關（即花蓮縣政府）應於</w:t>
      </w:r>
      <w:r w:rsidRPr="00AC77DF">
        <w:t>1</w:t>
      </w:r>
      <w:r w:rsidRPr="00AC77DF">
        <w:t>個月內作成處分」之訴願決定後，迄監察院調查時歷經</w:t>
      </w:r>
      <w:r w:rsidRPr="00AC77DF">
        <w:t>5</w:t>
      </w:r>
      <w:r w:rsidRPr="00AC77DF">
        <w:t>年有餘仍持續怠為處分。該府漠視人民法定訴願救濟權益，藐視訴願法有關訴願決定有拘束各關係機關之效力規定。</w:t>
      </w:r>
    </w:p>
    <w:p w:rsidR="003807A5" w:rsidRPr="00AC77DF" w:rsidRDefault="00597483" w:rsidP="00564517">
      <w:pPr>
        <w:pStyle w:val="1--13"/>
        <w:spacing w:before="180" w:after="180"/>
      </w:pPr>
      <w:r w:rsidRPr="008E1832">
        <w:rPr>
          <w:rFonts w:hint="eastAsia"/>
        </w:rPr>
        <w:t>˙</w:t>
      </w:r>
      <w:r w:rsidR="003807A5" w:rsidRPr="00AC77DF">
        <w:t>相關人員怠不作為</w:t>
      </w:r>
    </w:p>
    <w:p w:rsidR="003807A5" w:rsidRPr="00AC77DF" w:rsidRDefault="003807A5" w:rsidP="00450E3B">
      <w:pPr>
        <w:pStyle w:val="1---"/>
        <w:ind w:firstLine="480"/>
      </w:pPr>
      <w:r w:rsidRPr="00AC77DF">
        <w:t>花蓮縣政府受理本件砂石碎解洗選場建築許可變更設計案，其各級經辦人員摒棄應有之法定作為，屢以內部行政簽辦程序為由暫緩處理，且怠未依內政部訴願決定速為處分，卻將案件簽存續辦即無下文。簽辦程序未見依公務員服務法第</w:t>
      </w:r>
      <w:r w:rsidRPr="00AC77DF">
        <w:t>2</w:t>
      </w:r>
      <w:r w:rsidRPr="00AC77DF">
        <w:t>條規定就適法性問題向長官陳述意見，且該府研考單位亦未善盡列管稽催之責，致該案自收件後歷</w:t>
      </w:r>
      <w:r w:rsidRPr="00AC77DF">
        <w:t>6</w:t>
      </w:r>
      <w:r w:rsidRPr="00AC77DF">
        <w:t>年有餘仍未為准駁之處分，影響人民權益。該府應就相關人員怠不作為及未依法行政情節妥予研處，通盤檢討公文處理程序。</w:t>
      </w:r>
    </w:p>
    <w:p w:rsidR="003807A5" w:rsidRPr="00AC77DF" w:rsidRDefault="00597483" w:rsidP="00564517">
      <w:pPr>
        <w:pStyle w:val="1--13"/>
        <w:spacing w:before="180" w:after="180"/>
      </w:pPr>
      <w:r w:rsidRPr="008E1832">
        <w:rPr>
          <w:rFonts w:hint="eastAsia"/>
        </w:rPr>
        <w:lastRenderedPageBreak/>
        <w:t>˙</w:t>
      </w:r>
      <w:r w:rsidR="003807A5" w:rsidRPr="00AC77DF">
        <w:t>研修訴願法進度緩慢</w:t>
      </w:r>
    </w:p>
    <w:p w:rsidR="003807A5" w:rsidRPr="00AC77DF" w:rsidRDefault="003807A5" w:rsidP="00450E3B">
      <w:pPr>
        <w:pStyle w:val="1---"/>
        <w:ind w:firstLine="480"/>
      </w:pPr>
      <w:r w:rsidRPr="00AC77DF">
        <w:t>行政院前就監察院</w:t>
      </w:r>
      <w:r w:rsidRPr="00AC77DF">
        <w:t>102</w:t>
      </w:r>
      <w:r w:rsidRPr="00AC77DF">
        <w:t>年間調查花蓮縣政府核處「福壽陵園納骨塔」啟用許可涉及損害人民訴願救濟權益案，允諾研議修正訴願法相關規定。惟迄監察院調查部分情節相似之鴻旭公司建造執照變更設計申請案為止，歷經</w:t>
      </w:r>
      <w:r w:rsidRPr="00AC77DF">
        <w:t>4</w:t>
      </w:r>
      <w:r w:rsidRPr="00AC77DF">
        <w:t>年仍未見行政院提出訴願法修正草案或相關之變革機制，實未保障人民訴願救濟之權益。</w:t>
      </w:r>
    </w:p>
    <w:p w:rsidR="003807A5" w:rsidRPr="00AC77DF" w:rsidRDefault="003807A5" w:rsidP="00450E3B">
      <w:pPr>
        <w:pStyle w:val="1---"/>
        <w:ind w:firstLine="480"/>
      </w:pPr>
      <w:r w:rsidRPr="00AC77DF">
        <w:t>依據本案調查意見</w:t>
      </w:r>
      <w:r w:rsidRPr="00AC77DF">
        <w:rPr>
          <w:rStyle w:val="aff2"/>
          <w:rFonts w:eastAsiaTheme="majorEastAsia"/>
        </w:rPr>
        <w:footnoteReference w:id="116"/>
      </w:r>
      <w:r w:rsidRPr="00AC77DF">
        <w:t>，監察院糾正花蓮縣政府，並函請該府確實檢討改進見復；另針對修法問題函請行政院積極妥處見復。</w:t>
      </w:r>
    </w:p>
    <w:p w:rsidR="003807A5" w:rsidRPr="00AC77DF" w:rsidRDefault="00FC6F5B" w:rsidP="000B692A">
      <w:pPr>
        <w:pStyle w:val="afff1"/>
        <w:spacing w:before="360" w:after="360"/>
      </w:pPr>
      <w:bookmarkStart w:id="532" w:name="_Toc531362496"/>
      <w:r>
        <w:rPr>
          <w:rFonts w:hint="eastAsia"/>
        </w:rPr>
        <w:t>(三)</w:t>
      </w:r>
      <w:r w:rsidR="003807A5" w:rsidRPr="00AC77DF">
        <w:t>政府機關改善情形</w:t>
      </w:r>
      <w:bookmarkEnd w:id="532"/>
    </w:p>
    <w:p w:rsidR="003807A5" w:rsidRPr="00AC77DF" w:rsidRDefault="003807A5" w:rsidP="00425EE5">
      <w:pPr>
        <w:pStyle w:val="1----"/>
        <w:ind w:left="600" w:hanging="360"/>
      </w:pPr>
      <w:r w:rsidRPr="00AC77DF">
        <w:t>1</w:t>
      </w:r>
      <w:r w:rsidRPr="00AC77DF">
        <w:t>、花蓮縣政府於</w:t>
      </w:r>
      <w:r w:rsidRPr="00AC77DF">
        <w:t>106</w:t>
      </w:r>
      <w:r w:rsidRPr="00AC77DF">
        <w:t>年</w:t>
      </w:r>
      <w:r w:rsidRPr="00AC77DF">
        <w:t>9</w:t>
      </w:r>
      <w:r w:rsidRPr="00AC77DF">
        <w:t>月</w:t>
      </w:r>
      <w:r w:rsidRPr="00AC77DF">
        <w:t>11</w:t>
      </w:r>
      <w:r w:rsidRPr="00AC77DF">
        <w:t>日作成處分，駁回本案建造執照變更設計之申請。嗣陳訴人向內政部提起訴願，該部於</w:t>
      </w:r>
      <w:r w:rsidRPr="00AC77DF">
        <w:t>106</w:t>
      </w:r>
      <w:r w:rsidRPr="00AC77DF">
        <w:t>年</w:t>
      </w:r>
      <w:r w:rsidRPr="00AC77DF">
        <w:t>12</w:t>
      </w:r>
      <w:r w:rsidRPr="00AC77DF">
        <w:t>月</w:t>
      </w:r>
      <w:r w:rsidRPr="00AC77DF">
        <w:t>26</w:t>
      </w:r>
      <w:r w:rsidRPr="00AC77DF">
        <w:t>日作成「原處分撤銷」之決定。案經花蓮縣政府以</w:t>
      </w:r>
      <w:r w:rsidRPr="00AC77DF">
        <w:t>107</w:t>
      </w:r>
      <w:r w:rsidRPr="00AC77DF">
        <w:t>年</w:t>
      </w:r>
      <w:r w:rsidRPr="00AC77DF">
        <w:t>1</w:t>
      </w:r>
      <w:r w:rsidRPr="00AC77DF">
        <w:t>月</w:t>
      </w:r>
      <w:r w:rsidRPr="00AC77DF">
        <w:t>29</w:t>
      </w:r>
      <w:r w:rsidRPr="00AC77DF">
        <w:t>日府建管字第</w:t>
      </w:r>
      <w:r w:rsidRPr="00AC77DF">
        <w:t>1070000645</w:t>
      </w:r>
      <w:r w:rsidRPr="00AC77DF">
        <w:t>號函核准本案建造執照變更設計，並接續處理申請人於</w:t>
      </w:r>
      <w:r w:rsidRPr="00AC77DF">
        <w:t>107</w:t>
      </w:r>
      <w:r w:rsidRPr="00AC77DF">
        <w:t>年</w:t>
      </w:r>
      <w:r w:rsidRPr="00AC77DF">
        <w:t>3</w:t>
      </w:r>
      <w:r w:rsidRPr="00AC77DF">
        <w:t>月</w:t>
      </w:r>
      <w:r w:rsidRPr="00AC77DF">
        <w:t>6</w:t>
      </w:r>
      <w:r w:rsidRPr="00AC77DF">
        <w:t>日掛號申辦之使用執照。</w:t>
      </w:r>
      <w:r w:rsidRPr="00AC77DF">
        <w:t>107</w:t>
      </w:r>
      <w:r w:rsidRPr="00AC77DF">
        <w:t>年</w:t>
      </w:r>
      <w:r w:rsidRPr="00AC77DF">
        <w:t>5</w:t>
      </w:r>
      <w:r w:rsidRPr="00AC77DF">
        <w:t>月</w:t>
      </w:r>
      <w:r w:rsidRPr="00AC77DF">
        <w:t>8</w:t>
      </w:r>
      <w:r w:rsidRPr="00AC77DF">
        <w:t>日該府核發使用執照，申請人於</w:t>
      </w:r>
      <w:r w:rsidRPr="00AC77DF">
        <w:t>107</w:t>
      </w:r>
      <w:r w:rsidRPr="00AC77DF">
        <w:t>年</w:t>
      </w:r>
      <w:r w:rsidRPr="00AC77DF">
        <w:t>5</w:t>
      </w:r>
      <w:r w:rsidRPr="00AC77DF">
        <w:t>月</w:t>
      </w:r>
      <w:r w:rsidRPr="00AC77DF">
        <w:t>9</w:t>
      </w:r>
      <w:r w:rsidRPr="00AC77DF">
        <w:t>日領照。</w:t>
      </w:r>
    </w:p>
    <w:p w:rsidR="003807A5" w:rsidRPr="00AC77DF" w:rsidRDefault="003807A5" w:rsidP="00425EE5">
      <w:pPr>
        <w:pStyle w:val="1----"/>
        <w:ind w:left="600" w:hanging="360"/>
        <w:rPr>
          <w:b/>
        </w:rPr>
      </w:pPr>
      <w:r w:rsidRPr="00AC77DF">
        <w:t>2</w:t>
      </w:r>
      <w:r w:rsidRPr="00AC77DF">
        <w:t>、花蓮縣政府已要求委託建造執照審查單位，就審查結果不符合案件之理由詳註列通知申請人或受託人。對於審查結果為合格或不合格之案件，皆造冊紀錄，每月函送前月份</w:t>
      </w:r>
      <w:r w:rsidRPr="00AC77DF">
        <w:lastRenderedPageBreak/>
        <w:t>申請案清冊至該府備查列管；另於承辦科內設專責人員負責案件稽催。</w:t>
      </w:r>
    </w:p>
    <w:p w:rsidR="003807A5" w:rsidRPr="00AC77DF" w:rsidRDefault="003807A5" w:rsidP="00425EE5">
      <w:pPr>
        <w:pStyle w:val="1----"/>
        <w:ind w:left="600" w:hanging="360"/>
        <w:rPr>
          <w:b/>
        </w:rPr>
      </w:pPr>
      <w:r w:rsidRPr="00AC77DF">
        <w:t>3</w:t>
      </w:r>
      <w:r w:rsidRPr="00AC77DF">
        <w:t>、有關訴願法修法內容及進度，據行政院表示，預告修正條文第</w:t>
      </w:r>
      <w:r w:rsidRPr="00AC77DF">
        <w:t>2</w:t>
      </w:r>
      <w:r w:rsidRPr="00AC77DF">
        <w:t>條已明定課予義務訴願類型，第</w:t>
      </w:r>
      <w:r w:rsidRPr="00AC77DF">
        <w:t>1</w:t>
      </w:r>
      <w:r w:rsidRPr="00AC77DF">
        <w:t>項為不作為訴願，第</w:t>
      </w:r>
      <w:r w:rsidRPr="00AC77DF">
        <w:t>2</w:t>
      </w:r>
      <w:r w:rsidRPr="00AC77DF">
        <w:t>項為反否准訴願。第</w:t>
      </w:r>
      <w:r w:rsidRPr="00AC77DF">
        <w:t>83</w:t>
      </w:r>
      <w:r w:rsidRPr="00AC77DF">
        <w:t>條增訂該等訴願類型於訴願有理由時，受理訴願機關得視事件之性質或情節，逕為行政處分。第</w:t>
      </w:r>
      <w:r w:rsidRPr="00AC77DF">
        <w:t>100</w:t>
      </w:r>
      <w:r w:rsidRPr="00AC77DF">
        <w:t>條規定，訴願事件涉及地方自治團體之地方自治事務者，經受理訴願機關命地方自治團體重為處分後，訴願人認該重為之處分違法，侵害其權利或法律上利益，得不經訴願程序，逕向行政法院提起訴訟。該院前已於</w:t>
      </w:r>
      <w:r w:rsidRPr="00AC77DF">
        <w:t>106</w:t>
      </w:r>
      <w:r w:rsidRPr="00AC77DF">
        <w:t>年</w:t>
      </w:r>
      <w:r w:rsidRPr="00AC77DF">
        <w:t>8</w:t>
      </w:r>
      <w:r w:rsidRPr="00AC77DF">
        <w:t>月</w:t>
      </w:r>
      <w:r w:rsidRPr="00AC77DF">
        <w:t>9</w:t>
      </w:r>
      <w:r w:rsidRPr="00AC77DF">
        <w:t>日將訴願法修正草案刊登於「公共政策網路參與平臺」公告周知</w:t>
      </w:r>
      <w:r w:rsidRPr="00AC77DF">
        <w:t>60</w:t>
      </w:r>
      <w:r w:rsidRPr="00AC77DF">
        <w:t>日，廣徵各界意見。</w:t>
      </w:r>
    </w:p>
    <w:p w:rsidR="003807A5" w:rsidRPr="00AC77DF" w:rsidRDefault="00FC6F5B" w:rsidP="000B692A">
      <w:pPr>
        <w:pStyle w:val="afff1"/>
        <w:spacing w:before="360" w:after="360"/>
      </w:pPr>
      <w:bookmarkStart w:id="533" w:name="_Toc531362497"/>
      <w:r>
        <w:rPr>
          <w:rFonts w:hint="eastAsia"/>
        </w:rPr>
        <w:t>(四)</w:t>
      </w:r>
      <w:r w:rsidR="003807A5" w:rsidRPr="00AC77DF">
        <w:t>案件進展</w:t>
      </w:r>
      <w:bookmarkEnd w:id="533"/>
    </w:p>
    <w:p w:rsidR="003807A5" w:rsidRDefault="003807A5" w:rsidP="00450E3B">
      <w:pPr>
        <w:pStyle w:val="1---"/>
        <w:ind w:firstLine="480"/>
        <w:rPr>
          <w:lang w:eastAsia="zh-TW"/>
        </w:rPr>
      </w:pPr>
      <w:r w:rsidRPr="00AC77DF">
        <w:t>本案</w:t>
      </w:r>
      <w:r w:rsidR="00B43FDD">
        <w:rPr>
          <w:rFonts w:hint="eastAsia"/>
        </w:rPr>
        <w:t>已</w:t>
      </w:r>
      <w:r w:rsidRPr="00AC77DF">
        <w:t>結案。</w:t>
      </w:r>
    </w:p>
    <w:p w:rsidR="00FC6F5B" w:rsidRDefault="00FC6F5B" w:rsidP="00450E3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2689"/>
      </w:tblGrid>
      <w:tr w:rsidR="00FC6F5B" w:rsidTr="00572C1C">
        <w:tc>
          <w:tcPr>
            <w:tcW w:w="2689" w:type="dxa"/>
            <w:shd w:val="clear" w:color="auto" w:fill="D9D9D9" w:themeFill="background1" w:themeFillShade="D9"/>
          </w:tcPr>
          <w:p w:rsidR="00FC6F5B" w:rsidRDefault="00FC6F5B" w:rsidP="00FC6F5B">
            <w:pPr>
              <w:pStyle w:val="11-"/>
              <w:spacing w:before="72" w:after="108"/>
              <w:rPr>
                <w:b/>
                <w:lang w:eastAsia="zh-TW"/>
              </w:rPr>
            </w:pPr>
            <w:bookmarkStart w:id="534" w:name="_Toc531362498"/>
            <w:bookmarkStart w:id="535" w:name="_Toc535228398"/>
            <w:bookmarkStart w:id="536" w:name="_Toc4058809"/>
            <w:r w:rsidRPr="00AC77DF">
              <w:t>區段徵收涉違失案</w:t>
            </w:r>
            <w:bookmarkEnd w:id="534"/>
            <w:bookmarkEnd w:id="535"/>
            <w:bookmarkEnd w:id="536"/>
          </w:p>
        </w:tc>
      </w:tr>
    </w:tbl>
    <w:p w:rsidR="003807A5" w:rsidRPr="00AC77DF" w:rsidRDefault="003807A5" w:rsidP="00FC6F5B">
      <w:pPr>
        <w:pStyle w:val="1---"/>
        <w:ind w:firstLine="48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tblGrid>
      <w:tr w:rsidR="003807A5" w:rsidRPr="00AC77DF" w:rsidTr="00572C1C">
        <w:tc>
          <w:tcPr>
            <w:tcW w:w="6516" w:type="dxa"/>
            <w:shd w:val="clear" w:color="auto" w:fill="auto"/>
          </w:tcPr>
          <w:p w:rsidR="003807A5" w:rsidRPr="00AC77DF" w:rsidRDefault="003807A5" w:rsidP="00FC6F5B">
            <w:pPr>
              <w:spacing w:line="360" w:lineRule="exact"/>
              <w:jc w:val="both"/>
              <w:rPr>
                <w:color w:val="000000"/>
                <w:szCs w:val="28"/>
                <w:lang w:val="x-none"/>
              </w:rPr>
            </w:pPr>
            <w:r w:rsidRPr="00AC77DF">
              <w:rPr>
                <w:b/>
                <w:color w:val="000000"/>
                <w:szCs w:val="28"/>
                <w:lang w:val="x-none"/>
              </w:rPr>
              <w:t>相關國際人權公約：</w:t>
            </w:r>
            <w:r w:rsidRPr="00AC77DF">
              <w:t>經濟社會文化權利國際公約第</w:t>
            </w:r>
            <w:r w:rsidRPr="00AC77DF">
              <w:t>1</w:t>
            </w:r>
            <w:r w:rsidRPr="00AC77DF">
              <w:t>條、第</w:t>
            </w:r>
            <w:r w:rsidRPr="00AC77DF">
              <w:t>4</w:t>
            </w:r>
            <w:r w:rsidRPr="00AC77DF">
              <w:t>條、第</w:t>
            </w:r>
            <w:r w:rsidRPr="00AC77DF">
              <w:t>5</w:t>
            </w:r>
            <w:r w:rsidRPr="00AC77DF">
              <w:t>條</w:t>
            </w:r>
          </w:p>
          <w:p w:rsidR="003807A5" w:rsidRPr="00AC77DF" w:rsidRDefault="003807A5" w:rsidP="00FC6F5B">
            <w:pPr>
              <w:spacing w:line="360" w:lineRule="exact"/>
              <w:jc w:val="both"/>
              <w:rPr>
                <w:b/>
              </w:rPr>
            </w:pPr>
            <w:r w:rsidRPr="00AC77DF">
              <w:rPr>
                <w:b/>
              </w:rPr>
              <w:t>經濟社會文化權利國際公約第</w:t>
            </w:r>
            <w:r w:rsidRPr="00AC77DF">
              <w:rPr>
                <w:b/>
              </w:rPr>
              <w:t>4</w:t>
            </w:r>
            <w:r w:rsidRPr="00AC77DF">
              <w:rPr>
                <w:b/>
              </w:rPr>
              <w:t>條</w:t>
            </w:r>
          </w:p>
          <w:p w:rsidR="003807A5" w:rsidRPr="00AC77DF" w:rsidRDefault="003807A5" w:rsidP="00FC6F5B">
            <w:pPr>
              <w:spacing w:line="360" w:lineRule="exact"/>
              <w:jc w:val="both"/>
            </w:pPr>
            <w:r w:rsidRPr="00AC77DF">
              <w:t>本公約締約國確認人民享受國家遵照本公約規定所賦予之權利時，國家對此類權利僅得加以法律明定之限制，又其所定</w:t>
            </w:r>
            <w:r w:rsidRPr="00AC77DF">
              <w:lastRenderedPageBreak/>
              <w:t>限制以與此類權利之性質不相牴觸為準，且加以限制之唯一目的應在增進民主社會之公共福利。</w:t>
            </w:r>
          </w:p>
          <w:p w:rsidR="003807A5" w:rsidRPr="00AC77DF" w:rsidRDefault="003807A5" w:rsidP="00FC6F5B">
            <w:pPr>
              <w:spacing w:line="360" w:lineRule="exact"/>
              <w:jc w:val="both"/>
            </w:pPr>
            <w:r w:rsidRPr="00AC77DF">
              <w:rPr>
                <w:b/>
              </w:rPr>
              <w:t>經濟社會文化權利國際公約第</w:t>
            </w:r>
            <w:r w:rsidRPr="00AC77DF">
              <w:rPr>
                <w:b/>
              </w:rPr>
              <w:t>5</w:t>
            </w:r>
            <w:r w:rsidRPr="00AC77DF">
              <w:rPr>
                <w:b/>
              </w:rPr>
              <w:t>條</w:t>
            </w:r>
          </w:p>
          <w:p w:rsidR="003807A5" w:rsidRPr="00AC77DF" w:rsidRDefault="003807A5" w:rsidP="00572C1C">
            <w:pPr>
              <w:spacing w:line="360" w:lineRule="exact"/>
              <w:ind w:left="480" w:hangingChars="200" w:hanging="480"/>
              <w:jc w:val="both"/>
            </w:pPr>
            <w:r w:rsidRPr="00AC77DF">
              <w:t>一、本公約條文不得解釋為國家、團體或個人有權從事活動或實行行為，破壞本公約確認之任何權利或自由，或限制此種權利或自由逾越本公約規定之程度。</w:t>
            </w:r>
          </w:p>
          <w:p w:rsidR="003807A5" w:rsidRPr="00AC77DF" w:rsidRDefault="003807A5" w:rsidP="00FA7278">
            <w:pPr>
              <w:spacing w:afterLines="20" w:after="72" w:line="360" w:lineRule="exact"/>
              <w:ind w:left="480" w:hangingChars="200" w:hanging="480"/>
              <w:jc w:val="both"/>
            </w:pPr>
            <w:r w:rsidRPr="00AC77DF">
              <w:t>二、任何國家內依法律、公約、條例或習俗而承認或存在之任何基本人權，不得藉口本公約未予確認或確認之範圍較狹，而加以限制或減免義務。</w:t>
            </w:r>
          </w:p>
        </w:tc>
      </w:tr>
    </w:tbl>
    <w:p w:rsidR="003807A5" w:rsidRPr="00AC77DF" w:rsidRDefault="00FC0784" w:rsidP="000B692A">
      <w:pPr>
        <w:pStyle w:val="afff1"/>
        <w:spacing w:before="360" w:after="360"/>
      </w:pPr>
      <w:bookmarkStart w:id="537" w:name="_Toc531362499"/>
      <w:r>
        <w:rPr>
          <w:rFonts w:hint="eastAsia"/>
        </w:rPr>
        <w:lastRenderedPageBreak/>
        <w:t>(一)</w:t>
      </w:r>
      <w:r w:rsidR="003807A5" w:rsidRPr="00AC77DF">
        <w:t>案情簡述</w:t>
      </w:r>
      <w:bookmarkEnd w:id="537"/>
      <w:r w:rsidR="003807A5" w:rsidRPr="00AC77DF">
        <w:t xml:space="preserve"> </w:t>
      </w:r>
    </w:p>
    <w:p w:rsidR="003807A5" w:rsidRPr="00AC77DF" w:rsidRDefault="003807A5" w:rsidP="00450E3B">
      <w:pPr>
        <w:pStyle w:val="1---"/>
        <w:ind w:firstLine="480"/>
      </w:pPr>
      <w:r w:rsidRPr="00AC77DF">
        <w:t>據訴，嘉義市政府辦理該市湖子內地區環保用地區段徵收案，未發放下路頭段</w:t>
      </w:r>
      <w:r w:rsidRPr="00AC77DF">
        <w:t>4</w:t>
      </w:r>
      <w:r w:rsidR="00AB42C6">
        <w:rPr>
          <w:rFonts w:hint="eastAsia"/>
        </w:rPr>
        <w:t>○○</w:t>
      </w:r>
      <w:r w:rsidRPr="00AC77DF">
        <w:t>-</w:t>
      </w:r>
      <w:r w:rsidR="00AB42C6">
        <w:rPr>
          <w:rFonts w:hint="eastAsia"/>
        </w:rPr>
        <w:t>○○</w:t>
      </w:r>
      <w:r w:rsidRPr="00AC77DF">
        <w:t>地號土地上建築改良物之補償費或救濟金，亦低估湖東段</w:t>
      </w:r>
      <w:r w:rsidRPr="00AC77DF">
        <w:t>3</w:t>
      </w:r>
      <w:r w:rsidR="00AB42C6">
        <w:rPr>
          <w:rFonts w:hint="eastAsia"/>
        </w:rPr>
        <w:t>○○</w:t>
      </w:r>
      <w:r w:rsidRPr="00AC77DF">
        <w:t>地號土地上建築改良物之補償費，損及權益等情，案經監察院內政及少數民族委員會決議調查。</w:t>
      </w:r>
    </w:p>
    <w:p w:rsidR="003807A5" w:rsidRPr="00AC77DF" w:rsidRDefault="00FC0784" w:rsidP="000B692A">
      <w:pPr>
        <w:pStyle w:val="afff1"/>
        <w:spacing w:before="360" w:after="360"/>
      </w:pPr>
      <w:bookmarkStart w:id="538" w:name="_Toc531362500"/>
      <w:r>
        <w:rPr>
          <w:rFonts w:hint="eastAsia"/>
        </w:rPr>
        <w:t>(二)</w:t>
      </w:r>
      <w:r w:rsidR="003807A5" w:rsidRPr="00AC77DF">
        <w:t>監察院調查發現與建議</w:t>
      </w:r>
      <w:bookmarkEnd w:id="538"/>
    </w:p>
    <w:p w:rsidR="003807A5" w:rsidRPr="00AC77DF" w:rsidRDefault="00597483" w:rsidP="00564517">
      <w:pPr>
        <w:pStyle w:val="1--13"/>
        <w:spacing w:before="180" w:after="180"/>
      </w:pPr>
      <w:r w:rsidRPr="008E1832">
        <w:rPr>
          <w:rFonts w:hint="eastAsia"/>
        </w:rPr>
        <w:t>˙</w:t>
      </w:r>
      <w:r w:rsidR="003807A5" w:rsidRPr="00AC77DF">
        <w:t>長久放任違建存在</w:t>
      </w:r>
    </w:p>
    <w:p w:rsidR="003807A5" w:rsidRPr="00AC77DF" w:rsidRDefault="003807A5" w:rsidP="00450E3B">
      <w:pPr>
        <w:pStyle w:val="1---"/>
        <w:ind w:firstLine="480"/>
      </w:pPr>
      <w:r w:rsidRPr="00AC77DF">
        <w:t>嘉義市政府自</w:t>
      </w:r>
      <w:r w:rsidRPr="00AC77DF">
        <w:t>71</w:t>
      </w:r>
      <w:r w:rsidRPr="00AC77DF">
        <w:t>年</w:t>
      </w:r>
      <w:r w:rsidRPr="00AC77DF">
        <w:t>7</w:t>
      </w:r>
      <w:r w:rsidRPr="00AC77DF">
        <w:t>月</w:t>
      </w:r>
      <w:r w:rsidRPr="00AC77DF">
        <w:t>1</w:t>
      </w:r>
      <w:r w:rsidRPr="00AC77DF">
        <w:t>日升格為省轄巿後，依「嘉義巿興辦公共工程用地建築改良物拆遷補償救濟發給辦法」及</w:t>
      </w:r>
      <w:r w:rsidRPr="00AC77DF">
        <w:t>92</w:t>
      </w:r>
      <w:r w:rsidRPr="00AC77DF">
        <w:t>年</w:t>
      </w:r>
      <w:r w:rsidRPr="00AC77DF">
        <w:t>1</w:t>
      </w:r>
      <w:r w:rsidRPr="00AC77DF">
        <w:t>月</w:t>
      </w:r>
      <w:r w:rsidRPr="00AC77DF">
        <w:t>16</w:t>
      </w:r>
      <w:r w:rsidRPr="00AC77DF">
        <w:t>日公布實施之自治條例，對</w:t>
      </w:r>
      <w:r w:rsidRPr="00AC77DF">
        <w:t>71</w:t>
      </w:r>
      <w:r w:rsidRPr="00AC77DF">
        <w:t>年</w:t>
      </w:r>
      <w:r w:rsidRPr="00AC77DF">
        <w:t>7</w:t>
      </w:r>
      <w:r w:rsidRPr="00AC77DF">
        <w:t>月</w:t>
      </w:r>
      <w:r w:rsidRPr="00AC77DF">
        <w:t>1</w:t>
      </w:r>
      <w:r w:rsidRPr="00AC77DF">
        <w:t>日以後之違建</w:t>
      </w:r>
      <w:r w:rsidRPr="00AC77DF">
        <w:lastRenderedPageBreak/>
        <w:t>物，不予補償與發放救濟金。惟查該市新舊違章建築之劃分日期為</w:t>
      </w:r>
      <w:r w:rsidRPr="00AC77DF">
        <w:t>99</w:t>
      </w:r>
      <w:r w:rsidRPr="00AC77DF">
        <w:t>年</w:t>
      </w:r>
      <w:r w:rsidRPr="00AC77DF">
        <w:t>1</w:t>
      </w:r>
      <w:r w:rsidRPr="00AC77DF">
        <w:t>月</w:t>
      </w:r>
      <w:r w:rsidRPr="00AC77DF">
        <w:t>1</w:t>
      </w:r>
      <w:r w:rsidRPr="00AC77DF">
        <w:t>日，將</w:t>
      </w:r>
      <w:r w:rsidRPr="00AC77DF">
        <w:t>98</w:t>
      </w:r>
      <w:r w:rsidRPr="00AC77DF">
        <w:t>年</w:t>
      </w:r>
      <w:r w:rsidRPr="00AC77DF">
        <w:t>12</w:t>
      </w:r>
      <w:r w:rsidRPr="00AC77DF">
        <w:t>月</w:t>
      </w:r>
      <w:r w:rsidRPr="00AC77DF">
        <w:t>31</w:t>
      </w:r>
      <w:r w:rsidRPr="00AC77DF">
        <w:t>日以前之違建物劃屬舊違建，故自</w:t>
      </w:r>
      <w:r w:rsidRPr="00AC77DF">
        <w:t>71</w:t>
      </w:r>
      <w:r w:rsidRPr="00AC77DF">
        <w:t>年</w:t>
      </w:r>
      <w:r w:rsidRPr="00AC77DF">
        <w:t>7</w:t>
      </w:r>
      <w:r w:rsidRPr="00AC77DF">
        <w:t>月</w:t>
      </w:r>
      <w:r w:rsidRPr="00AC77DF">
        <w:t>1</w:t>
      </w:r>
      <w:r w:rsidRPr="00AC77DF">
        <w:t>日至</w:t>
      </w:r>
      <w:r w:rsidRPr="00AC77DF">
        <w:t>98</w:t>
      </w:r>
      <w:r w:rsidRPr="00AC77DF">
        <w:t>年</w:t>
      </w:r>
      <w:r w:rsidRPr="00AC77DF">
        <w:t>12</w:t>
      </w:r>
      <w:r w:rsidRPr="00AC77DF">
        <w:t>月</w:t>
      </w:r>
      <w:r w:rsidRPr="00AC77DF">
        <w:t>31</w:t>
      </w:r>
      <w:r w:rsidRPr="00AC77DF">
        <w:t>日間之違建物與</w:t>
      </w:r>
      <w:r w:rsidRPr="00AC77DF">
        <w:t>71</w:t>
      </w:r>
      <w:r w:rsidRPr="00AC77DF">
        <w:t>年</w:t>
      </w:r>
      <w:r w:rsidRPr="00AC77DF">
        <w:t>6</w:t>
      </w:r>
      <w:r w:rsidRPr="00AC77DF">
        <w:t>月</w:t>
      </w:r>
      <w:r w:rsidRPr="00AC77DF">
        <w:t>30</w:t>
      </w:r>
      <w:r w:rsidRPr="00AC77DF">
        <w:t>日以前之違建物，皆同屬舊違建。該府處理違建績效不彰，放任該市違章建築長久存在，部分係出自於該府長期未嚴格執法所致，造成人民信</w:t>
      </w:r>
      <w:r w:rsidR="00627F27">
        <w:rPr>
          <w:rFonts w:hint="eastAsia"/>
          <w:lang w:eastAsia="zh-TW"/>
        </w:rPr>
        <w:t>任</w:t>
      </w:r>
      <w:r w:rsidRPr="00AC77DF">
        <w:t>政府不會主動拆除其在自有土地上興建之違建物。</w:t>
      </w:r>
    </w:p>
    <w:p w:rsidR="003807A5" w:rsidRPr="00AC77DF" w:rsidRDefault="00597483" w:rsidP="00564517">
      <w:pPr>
        <w:pStyle w:val="1--13"/>
        <w:spacing w:before="180" w:after="180"/>
      </w:pPr>
      <w:r w:rsidRPr="008E1832">
        <w:rPr>
          <w:rFonts w:hint="eastAsia"/>
        </w:rPr>
        <w:t>˙</w:t>
      </w:r>
      <w:r w:rsidR="003807A5" w:rsidRPr="00AC77DF">
        <w:t>救濟金發給基準歧異</w:t>
      </w:r>
    </w:p>
    <w:p w:rsidR="003807A5" w:rsidRPr="00AC77DF" w:rsidRDefault="003807A5" w:rsidP="00450E3B">
      <w:pPr>
        <w:pStyle w:val="1---"/>
        <w:ind w:firstLine="480"/>
      </w:pPr>
      <w:r w:rsidRPr="00AC77DF">
        <w:t>以嘉義市湖子內地區環保用地區段徵收案未發給補償費或救濟金之</w:t>
      </w:r>
      <w:r w:rsidRPr="00AC77DF">
        <w:t>29</w:t>
      </w:r>
      <w:r w:rsidRPr="00AC77DF">
        <w:t>筆為例，該府表示列管違章建築清冊無該</w:t>
      </w:r>
      <w:r w:rsidRPr="00AC77DF">
        <w:t>29</w:t>
      </w:r>
      <w:r w:rsidRPr="00AC77DF">
        <w:t>筆。換言之，該</w:t>
      </w:r>
      <w:r w:rsidRPr="00AC77DF">
        <w:t>29</w:t>
      </w:r>
      <w:r w:rsidRPr="00AC77DF">
        <w:t>筆違建物已建築一段期間，卻從未被列管，顯示主管機關長久容忍該建物，而違建物所有人因長久居住、使用該建物，對該建物有一定之感情，該建物已成為其生活上之依賴。既然</w:t>
      </w:r>
      <w:r w:rsidRPr="00AC77DF">
        <w:t>98</w:t>
      </w:r>
      <w:r w:rsidRPr="00AC77DF">
        <w:t>年</w:t>
      </w:r>
      <w:r w:rsidRPr="00AC77DF">
        <w:t>12</w:t>
      </w:r>
      <w:r w:rsidRPr="00AC77DF">
        <w:t>月</w:t>
      </w:r>
      <w:r w:rsidRPr="00AC77DF">
        <w:t>31</w:t>
      </w:r>
      <w:r w:rsidRPr="00AC77DF">
        <w:t>日以前之違建物均屬舊違建，但</w:t>
      </w:r>
      <w:r w:rsidRPr="00AC77DF">
        <w:t>92</w:t>
      </w:r>
      <w:r w:rsidRPr="00AC77DF">
        <w:t>年</w:t>
      </w:r>
      <w:r w:rsidRPr="00AC77DF">
        <w:t>1</w:t>
      </w:r>
      <w:r w:rsidRPr="00AC77DF">
        <w:t>月</w:t>
      </w:r>
      <w:r w:rsidRPr="00AC77DF">
        <w:t>16</w:t>
      </w:r>
      <w:r w:rsidRPr="00AC77DF">
        <w:t>日公布實施之自治條例卻延續「嘉義市興辦公共工程拆遷建築改良補償救濟金發給辦法」，規定</w:t>
      </w:r>
      <w:r w:rsidRPr="00AC77DF">
        <w:t>71</w:t>
      </w:r>
      <w:r w:rsidRPr="00AC77DF">
        <w:t>年</w:t>
      </w:r>
      <w:r w:rsidRPr="00AC77DF">
        <w:t>7</w:t>
      </w:r>
      <w:r w:rsidRPr="00AC77DF">
        <w:t>月</w:t>
      </w:r>
      <w:r w:rsidRPr="00AC77DF">
        <w:t>1</w:t>
      </w:r>
      <w:r w:rsidRPr="00AC77DF">
        <w:t>日以後之違建物，不予補償與發放救濟金。從</w:t>
      </w:r>
      <w:r w:rsidRPr="00AC77DF">
        <w:t>71</w:t>
      </w:r>
      <w:r w:rsidRPr="00AC77DF">
        <w:t>年</w:t>
      </w:r>
      <w:r w:rsidRPr="00AC77DF">
        <w:t>7</w:t>
      </w:r>
      <w:r w:rsidRPr="00AC77DF">
        <w:t>月</w:t>
      </w:r>
      <w:r w:rsidRPr="00AC77DF">
        <w:t>1</w:t>
      </w:r>
      <w:r w:rsidRPr="00AC77DF">
        <w:t>日起至</w:t>
      </w:r>
      <w:r w:rsidRPr="00AC77DF">
        <w:t>92</w:t>
      </w:r>
      <w:r w:rsidRPr="00AC77DF">
        <w:t>年</w:t>
      </w:r>
      <w:r w:rsidRPr="00AC77DF">
        <w:t>1</w:t>
      </w:r>
      <w:r w:rsidRPr="00AC77DF">
        <w:t>月</w:t>
      </w:r>
      <w:r w:rsidRPr="00AC77DF">
        <w:t>18</w:t>
      </w:r>
      <w:r w:rsidRPr="00AC77DF">
        <w:t>日（自治條例生效日）止，已逾</w:t>
      </w:r>
      <w:r w:rsidRPr="00AC77DF">
        <w:t>20</w:t>
      </w:r>
      <w:r w:rsidRPr="00AC77DF">
        <w:t>年，</w:t>
      </w:r>
      <w:r w:rsidRPr="00AC77DF">
        <w:t>92</w:t>
      </w:r>
      <w:r w:rsidRPr="00AC77DF">
        <w:t>年</w:t>
      </w:r>
      <w:r w:rsidRPr="00AC77DF">
        <w:t>1</w:t>
      </w:r>
      <w:r w:rsidRPr="00AC77DF">
        <w:t>月</w:t>
      </w:r>
      <w:r w:rsidRPr="00AC77DF">
        <w:t>16</w:t>
      </w:r>
      <w:r w:rsidRPr="00AC77DF">
        <w:t>日公布實施之自治條例竟以逾</w:t>
      </w:r>
      <w:r w:rsidRPr="00AC77DF">
        <w:t>20</w:t>
      </w:r>
      <w:r w:rsidRPr="00AC77DF">
        <w:t>年前之某一時間點，作為區分是否發給救濟金之基準，結果造成興辦公共工程用地拆除</w:t>
      </w:r>
      <w:r w:rsidRPr="00AC77DF">
        <w:t>71</w:t>
      </w:r>
      <w:r w:rsidRPr="00AC77DF">
        <w:t>年</w:t>
      </w:r>
      <w:r w:rsidRPr="00AC77DF">
        <w:t>6</w:t>
      </w:r>
      <w:r w:rsidRPr="00AC77DF">
        <w:t>月</w:t>
      </w:r>
      <w:r w:rsidRPr="00AC77DF">
        <w:t>30</w:t>
      </w:r>
      <w:r w:rsidRPr="00AC77DF">
        <w:t>日以前（第一段期間）及</w:t>
      </w:r>
      <w:r w:rsidRPr="00AC77DF">
        <w:t>71</w:t>
      </w:r>
      <w:r w:rsidRPr="00AC77DF">
        <w:t>年</w:t>
      </w:r>
      <w:r w:rsidRPr="00AC77DF">
        <w:t>7</w:t>
      </w:r>
      <w:r w:rsidRPr="00AC77DF">
        <w:t>月</w:t>
      </w:r>
      <w:r w:rsidRPr="00AC77DF">
        <w:t>1</w:t>
      </w:r>
      <w:r w:rsidRPr="00AC77DF">
        <w:t>日至</w:t>
      </w:r>
      <w:r w:rsidRPr="00AC77DF">
        <w:t>92</w:t>
      </w:r>
      <w:r w:rsidRPr="00AC77DF">
        <w:t>年</w:t>
      </w:r>
      <w:r w:rsidRPr="00AC77DF">
        <w:t>1</w:t>
      </w:r>
      <w:r w:rsidRPr="00AC77DF">
        <w:t>月</w:t>
      </w:r>
      <w:r w:rsidRPr="00AC77DF">
        <w:t>17</w:t>
      </w:r>
      <w:r w:rsidRPr="00AC77DF">
        <w:t>日（第二段期間）之違建物，兩段期間違建物性質無異，處理方式卻完全相反，造成差別待遇。且於修正自治條例時亦未予檢討考量。嗣後該府又另規定以</w:t>
      </w:r>
      <w:r w:rsidRPr="00AC77DF">
        <w:t>99</w:t>
      </w:r>
      <w:r w:rsidRPr="00AC77DF">
        <w:t>年</w:t>
      </w:r>
      <w:r w:rsidRPr="00AC77DF">
        <w:t>1</w:t>
      </w:r>
      <w:r w:rsidRPr="00AC77DF">
        <w:t>月</w:t>
      </w:r>
      <w:r w:rsidRPr="00AC77DF">
        <w:t>1</w:t>
      </w:r>
      <w:r w:rsidRPr="00AC77DF">
        <w:t>日為新舊違章建築</w:t>
      </w:r>
      <w:r w:rsidRPr="00AC77DF">
        <w:lastRenderedPageBreak/>
        <w:t>之劃分日期，將</w:t>
      </w:r>
      <w:r w:rsidRPr="00AC77DF">
        <w:t>98</w:t>
      </w:r>
      <w:r w:rsidRPr="00AC77DF">
        <w:t>年</w:t>
      </w:r>
      <w:r w:rsidRPr="00AC77DF">
        <w:t>12</w:t>
      </w:r>
      <w:r w:rsidRPr="00AC77DF">
        <w:t>月</w:t>
      </w:r>
      <w:r w:rsidRPr="00AC77DF">
        <w:t>31</w:t>
      </w:r>
      <w:r w:rsidRPr="00AC77DF">
        <w:t>日以前興建之違建物劃為舊違建，形成自</w:t>
      </w:r>
      <w:r w:rsidRPr="00AC77DF">
        <w:t>71</w:t>
      </w:r>
      <w:r w:rsidRPr="00AC77DF">
        <w:t>年</w:t>
      </w:r>
      <w:r w:rsidRPr="00AC77DF">
        <w:t>7</w:t>
      </w:r>
      <w:r w:rsidRPr="00AC77DF">
        <w:t>月</w:t>
      </w:r>
      <w:r w:rsidRPr="00AC77DF">
        <w:t>1</w:t>
      </w:r>
      <w:r w:rsidRPr="00AC77DF">
        <w:t>日至</w:t>
      </w:r>
      <w:r w:rsidRPr="00AC77DF">
        <w:t>98</w:t>
      </w:r>
      <w:r w:rsidRPr="00AC77DF">
        <w:t>年</w:t>
      </w:r>
      <w:r w:rsidRPr="00AC77DF">
        <w:t>12</w:t>
      </w:r>
      <w:r w:rsidRPr="00AC77DF">
        <w:t>月</w:t>
      </w:r>
      <w:r w:rsidRPr="00AC77DF">
        <w:t>31</w:t>
      </w:r>
      <w:r w:rsidRPr="00AC77DF">
        <w:t>日止該段期間興建之違建物，與</w:t>
      </w:r>
      <w:r w:rsidRPr="00AC77DF">
        <w:t>71</w:t>
      </w:r>
      <w:r w:rsidRPr="00AC77DF">
        <w:t>年</w:t>
      </w:r>
      <w:r w:rsidRPr="00AC77DF">
        <w:t>6</w:t>
      </w:r>
      <w:r w:rsidRPr="00AC77DF">
        <w:t>月</w:t>
      </w:r>
      <w:r w:rsidRPr="00AC77DF">
        <w:t>30</w:t>
      </w:r>
      <w:r w:rsidRPr="00AC77DF">
        <w:t>日以前興建之違建物，兩者性質皆屬舊違建，於政府興辦公共工程用地拆遷時，依自治條例規定竟受到相反之對待，似有欠公平。</w:t>
      </w:r>
    </w:p>
    <w:p w:rsidR="003807A5" w:rsidRPr="00AC77DF" w:rsidRDefault="00597483" w:rsidP="00564517">
      <w:pPr>
        <w:pStyle w:val="1--13"/>
        <w:spacing w:before="180" w:after="180"/>
      </w:pPr>
      <w:r w:rsidRPr="008E1832">
        <w:rPr>
          <w:rFonts w:hint="eastAsia"/>
        </w:rPr>
        <w:t>˙</w:t>
      </w:r>
      <w:r w:rsidR="003807A5" w:rsidRPr="00AC77DF">
        <w:t>拆遷救濟金給付偏嚴</w:t>
      </w:r>
    </w:p>
    <w:p w:rsidR="003807A5" w:rsidRPr="00AC77DF" w:rsidRDefault="003807A5" w:rsidP="00450E3B">
      <w:pPr>
        <w:pStyle w:val="1---"/>
        <w:ind w:firstLine="480"/>
      </w:pPr>
      <w:r w:rsidRPr="00AC77DF">
        <w:t>查考其他縣市興辦公共工程用地拆遷違建物發給救濟金之作法，雖規定之標準各有不同，卻較嘉義市之自治條例的規定顯得更合情合理。其他縣市或規定得或應發給救濟金但未以一定時間點區分是否發給；或規定發給救濟金並未以一定時間點區分是否發給，惟對查報有案之違章建築，不發給救濟金，但對一定時間點以前或一定期間內經查報有案之違章建築，得發給適當之救濟金；或規定以一定時間點區分是否發給救濟金（臺北市稱處理費</w:t>
      </w:r>
      <w:r w:rsidRPr="00CC5CA1">
        <w:rPr>
          <w:spacing w:val="-28"/>
        </w:rPr>
        <w:t>）</w:t>
      </w:r>
      <w:r w:rsidRPr="00AC77DF">
        <w:t>，惟該時間點較嘉義市規定之時間點為後。顯示嘉義市興辦公共工程用地拆遷違建物發給救濟金之規定，相較於其他縣市之規定，對財產權之除去所採取之救濟機制更為嚴格。</w:t>
      </w:r>
    </w:p>
    <w:p w:rsidR="003807A5" w:rsidRPr="00AC77DF" w:rsidRDefault="003807A5" w:rsidP="00450E3B">
      <w:pPr>
        <w:pStyle w:val="1---"/>
        <w:ind w:firstLine="480"/>
      </w:pPr>
      <w:r w:rsidRPr="00AC77DF">
        <w:t>按法律不溯及既往的原則只是法律適用之原則，並非立法之原則，也就是說行政機關或司法機關在適用法律時，應注意法律不溯及既往之原則；但立法機關在民事事項可制定溯及既往之條文來糾正社會已存在的不正義、不公平情形。嘉義市政府辦理該市湖子內區段徵收地上物未獲補償救濟及不當溢領救濟金之陳情案件未獲民心，已予檢討並全面檢視相關案例，研擬修正自治條例，望針對徵收補償救濟機制能更加圓融辦理。</w:t>
      </w:r>
      <w:r w:rsidRPr="00AC77DF">
        <w:lastRenderedPageBreak/>
        <w:t>但該府顧慮修法追溯發放期限如為湖子內區段徵收時期（</w:t>
      </w:r>
      <w:r w:rsidRPr="00AC77DF">
        <w:t>98</w:t>
      </w:r>
      <w:r w:rsidRPr="00AC77DF">
        <w:t>年</w:t>
      </w:r>
      <w:r w:rsidRPr="00AC77DF">
        <w:t>7</w:t>
      </w:r>
      <w:r w:rsidRPr="00AC77DF">
        <w:t>月</w:t>
      </w:r>
      <w:r w:rsidRPr="00AC77DF">
        <w:t>28</w:t>
      </w:r>
      <w:r w:rsidRPr="00AC77DF">
        <w:t>日公告</w:t>
      </w:r>
      <w:r w:rsidRPr="00E77417">
        <w:rPr>
          <w:spacing w:val="-28"/>
        </w:rPr>
        <w:t>）</w:t>
      </w:r>
      <w:r w:rsidRPr="00AC77DF">
        <w:t>，對其他未獲救濟金之非屬湖子內區段徵收公共工程範圍內之違建物，有失公允。然法律之不溯及既往原則乃法律之適用原則，並非立法之原則，如確有溯及既往之必要，則立法制定溯及既往之條文並非不許，故該府興辦公共工程用地，如對人民財產權之除去所採取之救濟機制長期忽視，致存在不正義、不公平情形，仍有必要制定溯及既往之條文以調整之。</w:t>
      </w:r>
    </w:p>
    <w:p w:rsidR="003807A5" w:rsidRPr="00AC77DF" w:rsidRDefault="003807A5" w:rsidP="00450E3B">
      <w:pPr>
        <w:pStyle w:val="1---"/>
        <w:ind w:firstLine="480"/>
      </w:pPr>
      <w:r w:rsidRPr="00AC77DF">
        <w:t>依據本案調查意見</w:t>
      </w:r>
      <w:r w:rsidRPr="00CD57A3">
        <w:rPr>
          <w:rStyle w:val="aff2"/>
          <w:rFonts w:eastAsiaTheme="minorEastAsia"/>
          <w:color w:val="000000" w:themeColor="text1"/>
        </w:rPr>
        <w:footnoteReference w:id="117"/>
      </w:r>
      <w:r w:rsidRPr="00AC77DF">
        <w:t>，監察院函請嘉義市政府確實檢討改進見復。</w:t>
      </w:r>
    </w:p>
    <w:p w:rsidR="003807A5" w:rsidRPr="00AC77DF" w:rsidRDefault="00FC0784" w:rsidP="000B692A">
      <w:pPr>
        <w:pStyle w:val="afff1"/>
        <w:spacing w:before="360" w:after="360"/>
      </w:pPr>
      <w:bookmarkStart w:id="539" w:name="_Toc531362501"/>
      <w:r>
        <w:rPr>
          <w:rFonts w:hint="eastAsia"/>
        </w:rPr>
        <w:t>(三)</w:t>
      </w:r>
      <w:r w:rsidR="003807A5" w:rsidRPr="00AC77DF">
        <w:t>政府機關改善情形</w:t>
      </w:r>
      <w:bookmarkEnd w:id="539"/>
    </w:p>
    <w:p w:rsidR="003807A5" w:rsidRPr="00AC77DF" w:rsidRDefault="003807A5" w:rsidP="00425EE5">
      <w:pPr>
        <w:pStyle w:val="1----"/>
        <w:ind w:left="600" w:hanging="360"/>
      </w:pPr>
      <w:r w:rsidRPr="00AC77DF">
        <w:t>1</w:t>
      </w:r>
      <w:r w:rsidRPr="00AC77DF">
        <w:t>、嘉義市政府研議本案既經司法程序定讞，再修法訂定溯及既往條文恐不符法源</w:t>
      </w:r>
      <w:r w:rsidR="00E13AF4">
        <w:t>。</w:t>
      </w:r>
      <w:r w:rsidRPr="00AC77DF">
        <w:t>另有關專案發放救濟金</w:t>
      </w:r>
      <w:r w:rsidR="009E25FF">
        <w:rPr>
          <w:rFonts w:hint="eastAsia"/>
        </w:rPr>
        <w:t>部分</w:t>
      </w:r>
      <w:r w:rsidRPr="00AC77DF">
        <w:t>，法務部於</w:t>
      </w:r>
      <w:r w:rsidRPr="00AC77DF">
        <w:t>105</w:t>
      </w:r>
      <w:r w:rsidRPr="00AC77DF">
        <w:t>年</w:t>
      </w:r>
      <w:r w:rsidRPr="00AC77DF">
        <w:t>1</w:t>
      </w:r>
      <w:r w:rsidRPr="00AC77DF">
        <w:t>月</w:t>
      </w:r>
      <w:r w:rsidRPr="00AC77DF">
        <w:t>27</w:t>
      </w:r>
      <w:r w:rsidRPr="00AC77DF">
        <w:t>日法律字第</w:t>
      </w:r>
      <w:r w:rsidRPr="00AC77DF">
        <w:t>10503501890</w:t>
      </w:r>
      <w:r w:rsidRPr="00AC77DF">
        <w:t>號函示「具體事實經審認確與自治條例鎖定發放救濟金之要件不符，則專案發放救濟金及與自治條例規定有所牴觸而有違法律優越原則。」</w:t>
      </w:r>
    </w:p>
    <w:p w:rsidR="003807A5" w:rsidRPr="00AC77DF" w:rsidRDefault="003807A5" w:rsidP="00425EE5">
      <w:pPr>
        <w:pStyle w:val="1----"/>
        <w:ind w:left="600" w:hanging="360"/>
        <w:rPr>
          <w:b/>
        </w:rPr>
      </w:pPr>
      <w:r w:rsidRPr="00AC77DF">
        <w:t>2</w:t>
      </w:r>
      <w:r w:rsidRPr="00AC77DF">
        <w:t>、目前嘉義市政府修訂「嘉義市興辦公共工程建築改良物拆遷補償救濟自治條例」草案，於</w:t>
      </w:r>
      <w:r w:rsidRPr="00AC77DF">
        <w:t>107</w:t>
      </w:r>
      <w:r w:rsidRPr="00AC77DF">
        <w:t>年</w:t>
      </w:r>
      <w:r w:rsidRPr="00AC77DF">
        <w:t>2</w:t>
      </w:r>
      <w:r w:rsidRPr="00AC77DF">
        <w:t>月</w:t>
      </w:r>
      <w:r w:rsidRPr="00AC77DF">
        <w:t>13</w:t>
      </w:r>
      <w:r w:rsidRPr="00AC77DF">
        <w:t>日府行法字第</w:t>
      </w:r>
      <w:r w:rsidRPr="00AC77DF">
        <w:t>1071100371</w:t>
      </w:r>
      <w:r w:rsidRPr="00AC77DF">
        <w:t>號函附該府法規審查小組</w:t>
      </w:r>
      <w:r w:rsidRPr="00AC77DF">
        <w:t>107</w:t>
      </w:r>
      <w:r w:rsidRPr="00AC77DF">
        <w:t>年第一次會議紀錄決議撤回重新研議中。</w:t>
      </w:r>
    </w:p>
    <w:p w:rsidR="003807A5" w:rsidRPr="00AC77DF" w:rsidRDefault="00FC0784" w:rsidP="000B692A">
      <w:pPr>
        <w:pStyle w:val="afff1"/>
        <w:spacing w:before="360" w:after="360"/>
      </w:pPr>
      <w:bookmarkStart w:id="540" w:name="_Toc531362502"/>
      <w:r>
        <w:rPr>
          <w:rFonts w:hint="eastAsia"/>
        </w:rPr>
        <w:lastRenderedPageBreak/>
        <w:t>(四)</w:t>
      </w:r>
      <w:r w:rsidR="003807A5" w:rsidRPr="00AC77DF">
        <w:t>案件進展</w:t>
      </w:r>
      <w:bookmarkEnd w:id="540"/>
    </w:p>
    <w:p w:rsidR="003807A5" w:rsidRPr="00E77417" w:rsidRDefault="003807A5" w:rsidP="00E77417">
      <w:pPr>
        <w:pStyle w:val="1---"/>
        <w:ind w:firstLine="472"/>
        <w:jc w:val="distribute"/>
        <w:rPr>
          <w:b/>
          <w:spacing w:val="-2"/>
        </w:rPr>
      </w:pPr>
      <w:r w:rsidRPr="00E77417">
        <w:rPr>
          <w:spacing w:val="-2"/>
        </w:rPr>
        <w:t>本案已結案，惟監察院仍持續關注本案法制作業辦理情形。</w:t>
      </w:r>
    </w:p>
    <w:p w:rsidR="003E3F69" w:rsidRDefault="003E3F69" w:rsidP="00F1234D">
      <w:pPr>
        <w:pStyle w:val="1---"/>
        <w:ind w:firstLine="480"/>
      </w:pPr>
    </w:p>
    <w:tbl>
      <w:tblPr>
        <w:tblStyle w:val="aff5"/>
        <w:tblW w:w="0" w:type="auto"/>
        <w:tblInd w:w="113" w:type="dxa"/>
        <w:shd w:val="clear" w:color="auto" w:fill="D9D9D9" w:themeFill="background1" w:themeFillShade="D9"/>
        <w:tblLook w:val="04A0" w:firstRow="1" w:lastRow="0" w:firstColumn="1" w:lastColumn="0" w:noHBand="0" w:noVBand="1"/>
      </w:tblPr>
      <w:tblGrid>
        <w:gridCol w:w="5127"/>
      </w:tblGrid>
      <w:tr w:rsidR="003E3F69" w:rsidTr="00E77417">
        <w:tc>
          <w:tcPr>
            <w:tcW w:w="5127" w:type="dxa"/>
            <w:shd w:val="clear" w:color="auto" w:fill="D9D9D9" w:themeFill="background1" w:themeFillShade="D9"/>
          </w:tcPr>
          <w:p w:rsidR="003E3F69" w:rsidRDefault="003E3F69" w:rsidP="003E3F69">
            <w:pPr>
              <w:pStyle w:val="11-"/>
              <w:spacing w:before="72" w:after="108"/>
            </w:pPr>
            <w:bookmarkStart w:id="541" w:name="_Toc531362503"/>
            <w:bookmarkStart w:id="542" w:name="_Toc535228399"/>
            <w:bookmarkStart w:id="543" w:name="_Toc4058810"/>
            <w:r w:rsidRPr="00AC77DF">
              <w:t>臨時攤販集中場建物未善盡</w:t>
            </w:r>
            <w:r w:rsidRPr="00AC77DF">
              <w:rPr>
                <w:lang w:eastAsia="zh-HK"/>
              </w:rPr>
              <w:t>管理</w:t>
            </w:r>
            <w:r w:rsidRPr="00AC77DF">
              <w:t>職責</w:t>
            </w:r>
            <w:bookmarkEnd w:id="541"/>
            <w:bookmarkEnd w:id="542"/>
            <w:bookmarkEnd w:id="543"/>
          </w:p>
        </w:tc>
      </w:tr>
    </w:tbl>
    <w:p w:rsidR="003807A5" w:rsidRPr="00AC77DF" w:rsidRDefault="003E3F69" w:rsidP="000B692A">
      <w:pPr>
        <w:pStyle w:val="afff1"/>
        <w:spacing w:before="360" w:after="360"/>
      </w:pPr>
      <w:bookmarkStart w:id="544" w:name="_Toc531362504"/>
      <w:r>
        <w:rPr>
          <w:rFonts w:hint="eastAsia"/>
        </w:rPr>
        <w:t>(一)</w:t>
      </w:r>
      <w:r w:rsidR="003807A5" w:rsidRPr="00AC77DF">
        <w:t>案情簡述</w:t>
      </w:r>
      <w:bookmarkEnd w:id="544"/>
    </w:p>
    <w:p w:rsidR="003807A5" w:rsidRPr="00AC77DF" w:rsidRDefault="003807A5" w:rsidP="00450E3B">
      <w:pPr>
        <w:pStyle w:val="1---"/>
        <w:ind w:firstLine="480"/>
        <w:rPr>
          <w:b/>
        </w:rPr>
      </w:pPr>
      <w:r w:rsidRPr="00AC77DF">
        <w:t>據審計部</w:t>
      </w:r>
      <w:r w:rsidRPr="00AC77DF">
        <w:t>104</w:t>
      </w:r>
      <w:r w:rsidRPr="00AC77DF">
        <w:t>年度臺南市地方總決算審核報告，原臺南市政府及市場處對其經管臨時攤販集中場建物違規使用及違法改建，前經監察院糾正後未積極妥處，又經管用地遭占用，卻減除補償金及遲延利息，且任其以少於合法承租成本補償金占用營利，減損鉅額公帑收益，案經監察院地方政府年度總決算審核報告審議小組決議調查。</w:t>
      </w:r>
    </w:p>
    <w:p w:rsidR="003807A5" w:rsidRPr="00AC77DF" w:rsidRDefault="003E3F69" w:rsidP="000B692A">
      <w:pPr>
        <w:pStyle w:val="afff1"/>
        <w:spacing w:before="360" w:after="360"/>
      </w:pPr>
      <w:bookmarkStart w:id="545" w:name="_Toc531362505"/>
      <w:r>
        <w:rPr>
          <w:rFonts w:hint="eastAsia"/>
        </w:rPr>
        <w:t>(二)</w:t>
      </w:r>
      <w:r w:rsidR="003807A5" w:rsidRPr="00AC77DF">
        <w:t>監察院調查發現與建議</w:t>
      </w:r>
      <w:bookmarkEnd w:id="545"/>
    </w:p>
    <w:p w:rsidR="003807A5" w:rsidRPr="00AC77DF" w:rsidRDefault="00597483" w:rsidP="00564517">
      <w:pPr>
        <w:pStyle w:val="1--13"/>
        <w:spacing w:before="180" w:after="180"/>
      </w:pPr>
      <w:r w:rsidRPr="008E1832">
        <w:rPr>
          <w:rFonts w:hint="eastAsia"/>
        </w:rPr>
        <w:t>˙</w:t>
      </w:r>
      <w:r w:rsidR="003807A5" w:rsidRPr="00AC77DF">
        <w:t>容任攤商違法改造承租建物內部隔間或違建</w:t>
      </w:r>
    </w:p>
    <w:p w:rsidR="003807A5" w:rsidRPr="00AC77DF" w:rsidRDefault="003807A5" w:rsidP="00450E3B">
      <w:pPr>
        <w:pStyle w:val="1---"/>
        <w:ind w:firstLine="480"/>
        <w:rPr>
          <w:b/>
        </w:rPr>
      </w:pPr>
      <w:r w:rsidRPr="00AC77DF">
        <w:t>臺南市政府管理新興臨時攤販集中場，容任攤商違法改造承租建物內部隔間或加蓋違建，空置鋪位隔間亦遭打通占用，雖多次函請改善或查報拆除，惟無具體成效，嚴重影響公共安全。攤商營業項目違反零售市場管理自治條例及使用行政契約規定，且無法有效維護清潔衛生，致環境髒亂、易生病源。市場租約已屆期不續約，惟迄今多數攤商仍占用未能排除，管理</w:t>
      </w:r>
      <w:r w:rsidRPr="00AC77DF">
        <w:lastRenderedPageBreak/>
        <w:t>機關怠未依法妥處，顯未善盡公產管理之職責。</w:t>
      </w:r>
    </w:p>
    <w:p w:rsidR="003807A5" w:rsidRPr="00AC77DF" w:rsidRDefault="003807A5" w:rsidP="00450E3B">
      <w:pPr>
        <w:pStyle w:val="1---"/>
        <w:ind w:firstLine="480"/>
        <w:rPr>
          <w:b/>
        </w:rPr>
      </w:pPr>
      <w:r w:rsidRPr="00AC77DF">
        <w:t>臺南市政府管理小北商場，無視公共安全重要性，任令違章建物使用超過</w:t>
      </w:r>
      <w:r w:rsidRPr="00AC77DF">
        <w:t>30</w:t>
      </w:r>
      <w:r w:rsidRPr="00AC77DF">
        <w:t>年以上，迄今尚無建造執照及使用執照申請許可。對占用市場用地且為市場營業之攤商未積極納入管理，致占用市有地已長達</w:t>
      </w:r>
      <w:r w:rsidRPr="00AC77DF">
        <w:t>10</w:t>
      </w:r>
      <w:r w:rsidRPr="00AC77DF">
        <w:t>年，仍未能簽約合法租用，皆未能落實管理機關權責。</w:t>
      </w:r>
    </w:p>
    <w:p w:rsidR="003807A5" w:rsidRPr="00AC77DF" w:rsidRDefault="00597483" w:rsidP="00564517">
      <w:pPr>
        <w:pStyle w:val="1--13"/>
        <w:spacing w:before="180" w:after="180"/>
      </w:pPr>
      <w:r w:rsidRPr="008E1832">
        <w:rPr>
          <w:rFonts w:hint="eastAsia"/>
        </w:rPr>
        <w:t>˙</w:t>
      </w:r>
      <w:r w:rsidR="003807A5" w:rsidRPr="00AC77DF">
        <w:t>核實計算遲延利息</w:t>
      </w:r>
    </w:p>
    <w:p w:rsidR="003807A5" w:rsidRPr="00AC77DF" w:rsidRDefault="003807A5" w:rsidP="00450E3B">
      <w:pPr>
        <w:pStyle w:val="1---"/>
        <w:ind w:firstLine="480"/>
        <w:rPr>
          <w:b/>
        </w:rPr>
      </w:pPr>
      <w:r w:rsidRPr="00AC77DF">
        <w:t>臺南市政府依「臺南市市有房地租金計算基準」之規定核定小北商場占地使用補償金，尚屬有據，惟第一期使用補償金遲延利息之收取，雖已於</w:t>
      </w:r>
      <w:r w:rsidRPr="00AC77DF">
        <w:t>105</w:t>
      </w:r>
      <w:r w:rsidRPr="00AC77DF">
        <w:t>年</w:t>
      </w:r>
      <w:r w:rsidRPr="00AC77DF">
        <w:t>8</w:t>
      </w:r>
      <w:r w:rsidRPr="00AC77DF">
        <w:t>月奉市長核定，惟目前仍未發函催繳。該府宜查明相關爭議，核實計算遲延利息，以充實府庫，並兼顧攤販權益。</w:t>
      </w:r>
    </w:p>
    <w:p w:rsidR="003807A5" w:rsidRPr="00AC77DF" w:rsidRDefault="003807A5" w:rsidP="00450E3B">
      <w:pPr>
        <w:pStyle w:val="1---"/>
        <w:ind w:firstLine="480"/>
        <w:rPr>
          <w:b/>
        </w:rPr>
      </w:pPr>
      <w:r w:rsidRPr="00AC77DF">
        <w:t>依據本案調查意見</w:t>
      </w:r>
      <w:r w:rsidRPr="00AC77DF">
        <w:rPr>
          <w:rStyle w:val="aff2"/>
        </w:rPr>
        <w:footnoteReference w:id="118"/>
      </w:r>
      <w:r w:rsidRPr="00AC77DF">
        <w:t>，監察院糾正臺南市政府，並函請該府確實檢討改進見復。</w:t>
      </w:r>
    </w:p>
    <w:p w:rsidR="003807A5" w:rsidRPr="00AC77DF" w:rsidRDefault="003E3F69" w:rsidP="000B692A">
      <w:pPr>
        <w:pStyle w:val="afff1"/>
        <w:spacing w:before="360" w:after="360"/>
      </w:pPr>
      <w:bookmarkStart w:id="546" w:name="_Toc531362506"/>
      <w:r>
        <w:rPr>
          <w:rFonts w:hint="eastAsia"/>
        </w:rPr>
        <w:t>(三)</w:t>
      </w:r>
      <w:r w:rsidR="003807A5" w:rsidRPr="00AC77DF">
        <w:t>政府機關改善情形</w:t>
      </w:r>
      <w:bookmarkEnd w:id="546"/>
    </w:p>
    <w:p w:rsidR="003807A5" w:rsidRPr="00AC77DF" w:rsidRDefault="003807A5" w:rsidP="00425EE5">
      <w:pPr>
        <w:pStyle w:val="1----"/>
        <w:ind w:left="600" w:hanging="360"/>
      </w:pPr>
      <w:r w:rsidRPr="00AC77DF">
        <w:t>1</w:t>
      </w:r>
      <w:r w:rsidRPr="00AC77DF">
        <w:t>、臺南市政府邀集新興臨時攤販集中場所有攤商召開集中經營說明會，告知攤商需在建物安全且業種符合的前提下集中營業，並請攤販於</w:t>
      </w:r>
      <w:r w:rsidRPr="00AC77DF">
        <w:t>1</w:t>
      </w:r>
      <w:r w:rsidRPr="00AC77DF">
        <w:t>個月內凝聚共識提出集中營業方案或其他更好方案，依限函復臺南市市場處研辦。若否，該府續將辦理建物報廢，再進行後續法律訴訟或強制執行。</w:t>
      </w:r>
    </w:p>
    <w:p w:rsidR="003807A5" w:rsidRPr="00AC77DF" w:rsidRDefault="003807A5" w:rsidP="00425EE5">
      <w:pPr>
        <w:pStyle w:val="1----"/>
        <w:ind w:left="600" w:hanging="360"/>
        <w:rPr>
          <w:b/>
        </w:rPr>
      </w:pPr>
      <w:r w:rsidRPr="00AC77DF">
        <w:lastRenderedPageBreak/>
        <w:t>2</w:t>
      </w:r>
      <w:r w:rsidRPr="00AC77DF">
        <w:t>、行政院於</w:t>
      </w:r>
      <w:r w:rsidRPr="00AC77DF">
        <w:t>106</w:t>
      </w:r>
      <w:r w:rsidRPr="00AC77DF">
        <w:t>年</w:t>
      </w:r>
      <w:r w:rsidRPr="00AC77DF">
        <w:t>5</w:t>
      </w:r>
      <w:r w:rsidRPr="00AC77DF">
        <w:t>月</w:t>
      </w:r>
      <w:r w:rsidRPr="00AC77DF">
        <w:t>1</w:t>
      </w:r>
      <w:r w:rsidRPr="00AC77DF">
        <w:t>日同意臺南市政府核發小北商場土地使用權同意書，該府於同年</w:t>
      </w:r>
      <w:r w:rsidRPr="00AC77DF">
        <w:t>8</w:t>
      </w:r>
      <w:r w:rsidRPr="00AC77DF">
        <w:t>月</w:t>
      </w:r>
      <w:r w:rsidRPr="00AC77DF">
        <w:t>4</w:t>
      </w:r>
      <w:r w:rsidRPr="00AC77DF">
        <w:t>日與小北商場發展協會簽訂</w:t>
      </w:r>
      <w:r w:rsidRPr="00AC77DF">
        <w:t>2</w:t>
      </w:r>
      <w:r w:rsidRPr="00AC77DF">
        <w:t>年土地租賃契約，以排除市有地長期遭占用問題。小北商場目前已合法租用市府土地，該府於</w:t>
      </w:r>
      <w:r w:rsidRPr="00AC77DF">
        <w:t>106</w:t>
      </w:r>
      <w:r w:rsidRPr="00AC77DF">
        <w:t>年</w:t>
      </w:r>
      <w:r w:rsidRPr="00AC77DF">
        <w:t>8</w:t>
      </w:r>
      <w:r w:rsidRPr="00AC77DF">
        <w:t>月</w:t>
      </w:r>
      <w:r w:rsidRPr="00AC77DF">
        <w:t>17</w:t>
      </w:r>
      <w:r w:rsidRPr="00AC77DF">
        <w:t>日核發土地使用權同意書予小北商場發展協會，俾利其請領地上物使用執照申辦，倘該協會未於契約規定期限內完成補發使用執照，後續將依契約規定及建築法等相關規定續處。該府已於</w:t>
      </w:r>
      <w:r w:rsidRPr="00AC77DF">
        <w:t>106</w:t>
      </w:r>
      <w:r w:rsidRPr="00AC77DF">
        <w:t>年</w:t>
      </w:r>
      <w:r w:rsidRPr="00AC77DF">
        <w:t>7</w:t>
      </w:r>
      <w:r w:rsidRPr="00AC77DF">
        <w:t>月</w:t>
      </w:r>
      <w:r w:rsidRPr="00AC77DF">
        <w:t>19</w:t>
      </w:r>
      <w:r w:rsidRPr="00AC77DF">
        <w:t>日發函小北商場發展協會追繳遲延利息，共計</w:t>
      </w:r>
      <w:r w:rsidRPr="00AC77DF">
        <w:t>94</w:t>
      </w:r>
      <w:r w:rsidRPr="00AC77DF">
        <w:t>萬餘元。</w:t>
      </w:r>
    </w:p>
    <w:p w:rsidR="003807A5" w:rsidRPr="00AC77DF" w:rsidRDefault="003E3F69" w:rsidP="000B692A">
      <w:pPr>
        <w:pStyle w:val="afff1"/>
        <w:spacing w:before="360" w:after="360"/>
      </w:pPr>
      <w:bookmarkStart w:id="547" w:name="_Toc531362507"/>
      <w:r>
        <w:rPr>
          <w:rFonts w:hint="eastAsia"/>
        </w:rPr>
        <w:t>(四)</w:t>
      </w:r>
      <w:r w:rsidR="003807A5" w:rsidRPr="00AC77DF">
        <w:t>案件進展</w:t>
      </w:r>
      <w:bookmarkEnd w:id="547"/>
    </w:p>
    <w:p w:rsidR="003807A5" w:rsidRPr="00AC77DF" w:rsidRDefault="003807A5" w:rsidP="00425EE5">
      <w:pPr>
        <w:pStyle w:val="1----"/>
        <w:ind w:left="600" w:hanging="360"/>
        <w:rPr>
          <w:b/>
        </w:rPr>
      </w:pPr>
      <w:r w:rsidRPr="00AC77DF">
        <w:t>1</w:t>
      </w:r>
      <w:r w:rsidRPr="00AC77DF">
        <w:t>、因新興臨時攤販集中場攤商未有共識，臺南市政府經評估後擬向法院申請整場強制執行，已於</w:t>
      </w:r>
      <w:r w:rsidRPr="00AC77DF">
        <w:t>107</w:t>
      </w:r>
      <w:r w:rsidRPr="00AC77DF">
        <w:t>年</w:t>
      </w:r>
      <w:r w:rsidRPr="00AC77DF">
        <w:t>3</w:t>
      </w:r>
      <w:r w:rsidRPr="00AC77DF">
        <w:t>月</w:t>
      </w:r>
      <w:r w:rsidRPr="00AC77DF">
        <w:t>5</w:t>
      </w:r>
      <w:r w:rsidRPr="00AC77DF">
        <w:t>日委由律師向法院遞件，監察院持續追蹤後續處理情形。小北商場於</w:t>
      </w:r>
      <w:r w:rsidRPr="00AC77DF">
        <w:t>107</w:t>
      </w:r>
      <w:r w:rsidRPr="00AC77DF">
        <w:t>年</w:t>
      </w:r>
      <w:r w:rsidRPr="00AC77DF">
        <w:t>2</w:t>
      </w:r>
      <w:r w:rsidRPr="00AC77DF">
        <w:t>月</w:t>
      </w:r>
      <w:r w:rsidRPr="00AC77DF">
        <w:t>27</w:t>
      </w:r>
      <w:r w:rsidRPr="00AC77DF">
        <w:t>日函復該府表示已委託建築師代辦申請臨時使用執照事宜，監察院持續追蹤後續申辦結果。</w:t>
      </w:r>
    </w:p>
    <w:p w:rsidR="003807A5" w:rsidRDefault="003807A5" w:rsidP="00425EE5">
      <w:pPr>
        <w:pStyle w:val="1----"/>
        <w:ind w:left="600" w:hanging="360"/>
        <w:rPr>
          <w:lang w:eastAsia="zh-TW"/>
        </w:rPr>
      </w:pPr>
      <w:r w:rsidRPr="00AC77DF">
        <w:t>2</w:t>
      </w:r>
      <w:r w:rsidRPr="00AC77DF">
        <w:t>、小北商場發展協會對於系爭遲延利息不服，經臺南市政府催繳後仍未依限繳納，該府已委任律師向小北商場發展協會提起民事訴訟，以追償該遲延利息，監察院持續追蹤訴訟進展。</w:t>
      </w:r>
    </w:p>
    <w:p w:rsidR="00F1234D" w:rsidRDefault="00F1234D">
      <w:bookmarkStart w:id="548" w:name="_Toc531362513"/>
      <w:bookmarkStart w:id="549" w:name="_Toc535228400"/>
      <w:bookmarkStart w:id="550" w:name="_Toc4058811"/>
      <w:r>
        <w:rPr>
          <w:shadow/>
        </w:rPr>
        <w:br w:type="page"/>
      </w:r>
    </w:p>
    <w:tbl>
      <w:tblPr>
        <w:tblStyle w:val="aff5"/>
        <w:tblW w:w="2169" w:type="pct"/>
        <w:tblInd w:w="113" w:type="dxa"/>
        <w:shd w:val="clear" w:color="auto" w:fill="D9D9D9" w:themeFill="background1" w:themeFillShade="D9"/>
        <w:tblLook w:val="04A0" w:firstRow="1" w:lastRow="0" w:firstColumn="1" w:lastColumn="0" w:noHBand="0" w:noVBand="1"/>
      </w:tblPr>
      <w:tblGrid>
        <w:gridCol w:w="2972"/>
      </w:tblGrid>
      <w:tr w:rsidR="003E3F69" w:rsidTr="009770D0">
        <w:tc>
          <w:tcPr>
            <w:tcW w:w="5000" w:type="pct"/>
            <w:shd w:val="clear" w:color="auto" w:fill="D9D9D9" w:themeFill="background1" w:themeFillShade="D9"/>
          </w:tcPr>
          <w:p w:rsidR="003E3F69" w:rsidRDefault="003E3F69" w:rsidP="003E3F69">
            <w:pPr>
              <w:pStyle w:val="11-"/>
              <w:spacing w:before="72" w:after="108"/>
              <w:rPr>
                <w:b/>
                <w:lang w:eastAsia="zh-TW"/>
              </w:rPr>
            </w:pPr>
            <w:r w:rsidRPr="00AC77DF">
              <w:lastRenderedPageBreak/>
              <w:t>執照審查</w:t>
            </w:r>
            <w:r w:rsidRPr="00AC77DF">
              <w:rPr>
                <w:lang w:eastAsia="zh-HK"/>
              </w:rPr>
              <w:t>未臻嚴謹</w:t>
            </w:r>
            <w:r w:rsidRPr="00AC77DF">
              <w:t>案</w:t>
            </w:r>
            <w:bookmarkEnd w:id="548"/>
            <w:bookmarkEnd w:id="549"/>
            <w:bookmarkEnd w:id="550"/>
          </w:p>
        </w:tc>
      </w:tr>
    </w:tbl>
    <w:p w:rsidR="003807A5" w:rsidRPr="00AC77DF" w:rsidRDefault="003807A5" w:rsidP="003E3F69">
      <w:pPr>
        <w:pStyle w:val="1---"/>
        <w:ind w:firstLine="48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tblGrid>
      <w:tr w:rsidR="003807A5" w:rsidRPr="00AC77DF" w:rsidTr="005131F4">
        <w:trPr>
          <w:trHeight w:val="791"/>
        </w:trPr>
        <w:tc>
          <w:tcPr>
            <w:tcW w:w="6516" w:type="dxa"/>
            <w:shd w:val="clear" w:color="auto" w:fill="auto"/>
          </w:tcPr>
          <w:p w:rsidR="003807A5" w:rsidRPr="00AC77DF" w:rsidRDefault="003807A5" w:rsidP="00C41021">
            <w:pPr>
              <w:spacing w:line="360" w:lineRule="exact"/>
              <w:jc w:val="both"/>
              <w:rPr>
                <w:color w:val="000000"/>
                <w:szCs w:val="28"/>
                <w:lang w:val="x-none"/>
              </w:rPr>
            </w:pPr>
            <w:r w:rsidRPr="00AC77DF">
              <w:rPr>
                <w:b/>
                <w:color w:val="000000"/>
                <w:szCs w:val="28"/>
                <w:lang w:val="x-none"/>
              </w:rPr>
              <w:t>相關國際人權公約：</w:t>
            </w:r>
            <w:r w:rsidRPr="00AC77DF">
              <w:t>經濟社會文化權利國際公約第</w:t>
            </w:r>
            <w:r w:rsidRPr="00AC77DF">
              <w:t>4</w:t>
            </w:r>
            <w:r w:rsidRPr="00AC77DF">
              <w:t>號一般性意見</w:t>
            </w:r>
          </w:p>
        </w:tc>
      </w:tr>
    </w:tbl>
    <w:p w:rsidR="003807A5" w:rsidRPr="00AC77DF" w:rsidRDefault="00C41021" w:rsidP="000B692A">
      <w:pPr>
        <w:pStyle w:val="afff1"/>
        <w:spacing w:before="360" w:after="360"/>
      </w:pPr>
      <w:bookmarkStart w:id="551" w:name="_Toc531362514"/>
      <w:r>
        <w:rPr>
          <w:rFonts w:hint="eastAsia"/>
        </w:rPr>
        <w:t>(一)</w:t>
      </w:r>
      <w:r w:rsidR="003807A5" w:rsidRPr="00AC77DF">
        <w:t>案情簡述</w:t>
      </w:r>
      <w:bookmarkEnd w:id="551"/>
    </w:p>
    <w:p w:rsidR="003807A5" w:rsidRPr="00AC77DF" w:rsidRDefault="003807A5" w:rsidP="00450E3B">
      <w:pPr>
        <w:pStyle w:val="1---"/>
        <w:ind w:firstLine="480"/>
        <w:rPr>
          <w:b/>
        </w:rPr>
      </w:pPr>
      <w:r w:rsidRPr="00AC77DF">
        <w:t>前臺南縣政府審查臺南維冠金龍大樓之各項執照，有無善盡審查、抽查、施工勘驗及竣工查驗之職責？現行公司法對於建築公司辦理營業、解散登記等規定過於寬鬆，致建築市場存在「一案建商」現象，不肖建商因此規避保固責任。經濟部為公司登記之主管機關，有無本於權責建立相關配套措施，均有深入瞭解之必要，監察委員爰立案調查。</w:t>
      </w:r>
    </w:p>
    <w:p w:rsidR="003807A5" w:rsidRPr="00AC77DF" w:rsidRDefault="00C41021" w:rsidP="000B692A">
      <w:pPr>
        <w:pStyle w:val="afff1"/>
        <w:spacing w:before="360" w:after="360"/>
      </w:pPr>
      <w:bookmarkStart w:id="552" w:name="_Toc531362515"/>
      <w:r>
        <w:rPr>
          <w:rFonts w:hint="eastAsia"/>
        </w:rPr>
        <w:t>(二)</w:t>
      </w:r>
      <w:r w:rsidR="003807A5" w:rsidRPr="00AC77DF">
        <w:t>監察院調查發現與建議</w:t>
      </w:r>
      <w:bookmarkEnd w:id="552"/>
    </w:p>
    <w:p w:rsidR="003807A5" w:rsidRPr="00AC77DF" w:rsidRDefault="00597483" w:rsidP="00564517">
      <w:pPr>
        <w:pStyle w:val="1--13"/>
        <w:spacing w:before="180" w:after="180"/>
      </w:pPr>
      <w:r w:rsidRPr="008E1832">
        <w:rPr>
          <w:rFonts w:hint="eastAsia"/>
        </w:rPr>
        <w:t>˙</w:t>
      </w:r>
      <w:r w:rsidR="003807A5" w:rsidRPr="00AC77DF">
        <w:t>施工勘驗不實</w:t>
      </w:r>
    </w:p>
    <w:p w:rsidR="003807A5" w:rsidRPr="00AC77DF" w:rsidRDefault="003807A5" w:rsidP="00450E3B">
      <w:pPr>
        <w:pStyle w:val="1---"/>
        <w:ind w:firstLine="480"/>
        <w:rPr>
          <w:b/>
        </w:rPr>
      </w:pPr>
      <w:r w:rsidRPr="00AC77DF">
        <w:t>經濟社會文化權利國際公約第</w:t>
      </w:r>
      <w:r w:rsidRPr="00AC77DF">
        <w:t>4</w:t>
      </w:r>
      <w:r w:rsidRPr="00AC77DF">
        <w:t>號一般性意見</w:t>
      </w:r>
      <w:r w:rsidRPr="0089302A">
        <w:rPr>
          <w:spacing w:val="-28"/>
        </w:rPr>
        <w:t>：</w:t>
      </w:r>
      <w:r w:rsidRPr="00AC77DF">
        <w:t>「適居權」提及「居住者」免受「建築危險」之規範。臺南「維冠金龍大樓」倒塌之「人禍」事件，發現有施工勘驗不實、偷工減料、一案建商、相關技師租借牌、變更設計時未再做結構安全計算等違法行為。行政院所屬機關於</w:t>
      </w:r>
      <w:r w:rsidRPr="00AC77DF">
        <w:t>921</w:t>
      </w:r>
      <w:r w:rsidRPr="00AC77DF">
        <w:t>大地震迄今，所</w:t>
      </w:r>
      <w:r w:rsidR="00153149" w:rsidRPr="00AC77DF">
        <w:t>修</w:t>
      </w:r>
      <w:r w:rsidRPr="00AC77DF">
        <w:t>訂之營建法令制度顯無法消除上開違法及危害居住安全之行為。相</w:t>
      </w:r>
      <w:r w:rsidRPr="00AC77DF">
        <w:lastRenderedPageBreak/>
        <w:t>關法令仍應澈底檢討，以改善根本問題。</w:t>
      </w:r>
    </w:p>
    <w:p w:rsidR="003807A5" w:rsidRPr="00AC77DF" w:rsidRDefault="00597483" w:rsidP="00564517">
      <w:pPr>
        <w:pStyle w:val="1--13"/>
        <w:spacing w:before="180" w:after="180"/>
      </w:pPr>
      <w:r w:rsidRPr="008E1832">
        <w:rPr>
          <w:rFonts w:hint="eastAsia"/>
        </w:rPr>
        <w:t>˙</w:t>
      </w:r>
      <w:r w:rsidR="003807A5" w:rsidRPr="00AC77DF">
        <w:t>建築執照審查徒具形式</w:t>
      </w:r>
    </w:p>
    <w:p w:rsidR="003807A5" w:rsidRPr="00AC77DF" w:rsidRDefault="003807A5" w:rsidP="00450E3B">
      <w:pPr>
        <w:pStyle w:val="1---"/>
        <w:ind w:firstLine="480"/>
        <w:rPr>
          <w:b/>
        </w:rPr>
      </w:pPr>
      <w:r w:rsidRPr="00AC77DF">
        <w:t>內政部作為建築法中央主管機關，卻未依我國實務現狀適時調整建構建築管理制度，曲解建築執照審查行政與技術分立制度之規範目的，不當劃分「規定項目」與「其餘項目</w:t>
      </w:r>
      <w:r w:rsidRPr="0089302A">
        <w:rPr>
          <w:spacing w:val="-28"/>
        </w:rPr>
        <w:t>」</w:t>
      </w:r>
      <w:r w:rsidRPr="00AC77DF">
        <w:t>，致地方主管建築機關更簡化應審查之「規定項目</w:t>
      </w:r>
      <w:r w:rsidRPr="0089302A">
        <w:rPr>
          <w:spacing w:val="-28"/>
        </w:rPr>
        <w:t>」</w:t>
      </w:r>
      <w:r w:rsidRPr="00AC77DF">
        <w:t>，造成建築執照審查徒具形式，架空建築法上高權行政之內涵。部分開發商與建築師、相關專業技師等相互勾串，侵害人民之適居權甚鉅，中央及地方主管建築機關顯有無可迴避容認故意責任。</w:t>
      </w:r>
    </w:p>
    <w:p w:rsidR="003807A5" w:rsidRPr="00AC77DF" w:rsidRDefault="003807A5" w:rsidP="00450E3B">
      <w:pPr>
        <w:pStyle w:val="1---"/>
        <w:ind w:firstLine="480"/>
        <w:rPr>
          <w:b/>
        </w:rPr>
      </w:pPr>
      <w:r w:rsidRPr="00AC77DF">
        <w:t>內政部營建署對於本次維冠大樓造成</w:t>
      </w:r>
      <w:r w:rsidRPr="00AC77DF">
        <w:t>115</w:t>
      </w:r>
      <w:r w:rsidRPr="00AC77DF">
        <w:t>人死亡、</w:t>
      </w:r>
      <w:r w:rsidRPr="00AC77DF">
        <w:t>104</w:t>
      </w:r>
      <w:r w:rsidRPr="00AC77DF">
        <w:t>人輕重傷事件，僅於</w:t>
      </w:r>
      <w:r w:rsidRPr="00AC77DF">
        <w:t>105</w:t>
      </w:r>
      <w:r w:rsidRPr="00AC77DF">
        <w:t>年</w:t>
      </w:r>
      <w:r w:rsidRPr="00AC77DF">
        <w:t>8</w:t>
      </w:r>
      <w:r w:rsidRPr="00AC77DF">
        <w:t>月</w:t>
      </w:r>
      <w:r w:rsidRPr="00AC77DF">
        <w:t>24</w:t>
      </w:r>
      <w:r w:rsidRPr="00AC77DF">
        <w:t>日訂頒「強化建築物施工管理作業原則」等不具強制性「非行政程序法」之所謂行政指導，供各縣市參考，其內容亦僅加入「建築物至少</w:t>
      </w:r>
      <w:r w:rsidRPr="00AC77DF">
        <w:t>2</w:t>
      </w:r>
      <w:r w:rsidRPr="00AC77DF">
        <w:t>樓板前應經主管建築機關派員或委託相關專業機構現場勘驗合格」一節，徒具形式。從各縣市政府自行訂定自治要點統計顯示，其訂有主管機關必須派員勘驗規定之部位極少，甚或全部無須派員勘驗，致施工勘驗制度形同虛設。另供公眾使用建築物之人口與使用密度均高於非公眾使用建築物，卻僅有</w:t>
      </w:r>
      <w:r w:rsidRPr="00AC77DF">
        <w:t>5</w:t>
      </w:r>
      <w:r w:rsidRPr="00AC77DF">
        <w:t>縣市規範之強度與頻率高於該縣之非公眾使用建築物，實均無法確保建築物安全，保障人民生命與財產安全。</w:t>
      </w:r>
    </w:p>
    <w:p w:rsidR="003807A5" w:rsidRPr="00AC77DF" w:rsidRDefault="00597483" w:rsidP="00564517">
      <w:pPr>
        <w:pStyle w:val="1--13"/>
        <w:spacing w:before="180" w:after="180"/>
      </w:pPr>
      <w:r w:rsidRPr="008E1832">
        <w:rPr>
          <w:rFonts w:hint="eastAsia"/>
        </w:rPr>
        <w:t>˙</w:t>
      </w:r>
      <w:r w:rsidR="003807A5" w:rsidRPr="00AC77DF">
        <w:t>縱容不動產開發業者任意違法</w:t>
      </w:r>
    </w:p>
    <w:p w:rsidR="003807A5" w:rsidRPr="00AC77DF" w:rsidRDefault="003807A5" w:rsidP="00450E3B">
      <w:pPr>
        <w:pStyle w:val="1---"/>
        <w:ind w:firstLine="480"/>
        <w:rPr>
          <w:b/>
        </w:rPr>
      </w:pPr>
      <w:r w:rsidRPr="00AC77DF">
        <w:t>行政院暨所屬長期以來忽視住宅具有資本財性質，並未以適當「行政專法」規制，縱容不動產開發業者任意違法，僅將</w:t>
      </w:r>
      <w:r w:rsidRPr="00AC77DF">
        <w:lastRenderedPageBreak/>
        <w:t>其視為公司法上「一般行業</w:t>
      </w:r>
      <w:r w:rsidRPr="0089302A">
        <w:rPr>
          <w:spacing w:val="-28"/>
        </w:rPr>
        <w:t>」</w:t>
      </w:r>
      <w:r w:rsidRPr="00AC77DF">
        <w:t>，導致房屋市場永遠存有「一案建商」等諸多問題。據監察院抽查經濟部公司有關登記資料，發現竟有同一負責人，其申請設立或投資建設公司且尚在營運之家數竟高達</w:t>
      </w:r>
      <w:r w:rsidRPr="00AC77DF">
        <w:t>24</w:t>
      </w:r>
      <w:r w:rsidRPr="00AC77DF">
        <w:t>家，曾停止營業家數達</w:t>
      </w:r>
      <w:r w:rsidRPr="00AC77DF">
        <w:t>10</w:t>
      </w:r>
      <w:r w:rsidRPr="00AC77DF">
        <w:t>家，合計已有</w:t>
      </w:r>
      <w:r w:rsidRPr="00AC77DF">
        <w:t>34</w:t>
      </w:r>
      <w:r w:rsidRPr="00AC77DF">
        <w:t>家相關建設公司，並有不斷的停業與重新恢復登記營業情事。以此同一負責人為例，每遭裁罰或遇糾紛，就變更設立公司名稱，另以新設立公司繼續經營，其利用公司法準則主義，無最低資本額限制，公司解散後之房屋保固或瑕疵擔保責任，均非公司法規範範圍，而為實質脫產，進而造成公平交易法之裁罰亦難確保執行，相關行政規制全盤失靈形同無法律狀態。內政部營建署竟認為「建築管理等法制化均已完備，消費者相關權益均得以保障」，顯與實情不符。行政院自應肩負憲法「國家最高行政機關」之責，督責所屬內政部會同經濟部、法務部與公平會切實共同研議對策建立配套措施。</w:t>
      </w:r>
    </w:p>
    <w:p w:rsidR="003807A5" w:rsidRPr="00AC77DF" w:rsidRDefault="003807A5" w:rsidP="00450E3B">
      <w:pPr>
        <w:pStyle w:val="1---"/>
        <w:ind w:firstLine="480"/>
        <w:rPr>
          <w:b/>
        </w:rPr>
      </w:pPr>
      <w:r w:rsidRPr="00AC77DF">
        <w:t>營建署作為全國最高建築主管機關，無視該署組織條例第</w:t>
      </w:r>
      <w:r w:rsidRPr="00AC77DF">
        <w:t>2</w:t>
      </w:r>
      <w:r w:rsidRPr="00AC77DF">
        <w:t>條管理「建築業」之權責，在現行法律機制下，就各建設公司每年之家數與推案數全無掌握，復將對建設公司之管理制度、方式及監督職權竟全推諉於經濟部「公司法」規制，就「建築業」整體法令設計與規劃付之闕如，亟待改進。</w:t>
      </w:r>
    </w:p>
    <w:p w:rsidR="003807A5" w:rsidRPr="00AC77DF" w:rsidRDefault="00597483" w:rsidP="00564517">
      <w:pPr>
        <w:pStyle w:val="1--13"/>
        <w:spacing w:before="180" w:after="180"/>
      </w:pPr>
      <w:r w:rsidRPr="008E1832">
        <w:rPr>
          <w:rFonts w:hint="eastAsia"/>
        </w:rPr>
        <w:t>˙</w:t>
      </w:r>
      <w:r w:rsidR="003807A5" w:rsidRPr="00AC77DF">
        <w:t>購屋人權益有待保障</w:t>
      </w:r>
    </w:p>
    <w:p w:rsidR="003807A5" w:rsidRPr="00AC77DF" w:rsidRDefault="003807A5" w:rsidP="00450E3B">
      <w:pPr>
        <w:pStyle w:val="1---"/>
        <w:ind w:firstLine="480"/>
        <w:rPr>
          <w:b/>
        </w:rPr>
      </w:pPr>
      <w:r w:rsidRPr="00AC77DF">
        <w:t>營建署在現行法制下，未基於建築業中央主管機關職權，積極督導各縣市政府研訂不動產開發業管理自治條例，僅</w:t>
      </w:r>
      <w:r w:rsidRPr="00AC77DF">
        <w:t>11</w:t>
      </w:r>
      <w:r w:rsidRPr="00AC77DF">
        <w:t>縣市已訂定。惟相關自治條例僅規範不動產開發業應加入公會，對其資本額、有無退票交易糾紛、違反公平交易法、有無違反</w:t>
      </w:r>
      <w:r w:rsidRPr="00AC77DF">
        <w:lastRenderedPageBreak/>
        <w:t>法令經相關機關處分或重大購屋糾紛等皆無相關規範，對購屋人權益難以保障。</w:t>
      </w:r>
    </w:p>
    <w:p w:rsidR="003807A5" w:rsidRPr="00AC77DF" w:rsidRDefault="00597483" w:rsidP="00564517">
      <w:pPr>
        <w:pStyle w:val="1--13"/>
        <w:spacing w:before="180" w:after="180"/>
      </w:pPr>
      <w:r w:rsidRPr="008E1832">
        <w:rPr>
          <w:rFonts w:hint="eastAsia"/>
        </w:rPr>
        <w:t>˙</w:t>
      </w:r>
      <w:r w:rsidR="003807A5" w:rsidRPr="00AC77DF">
        <w:t>規劃建築履歷保全制度</w:t>
      </w:r>
    </w:p>
    <w:p w:rsidR="003807A5" w:rsidRPr="00AC77DF" w:rsidRDefault="003807A5" w:rsidP="00450E3B">
      <w:pPr>
        <w:pStyle w:val="1---"/>
        <w:ind w:firstLine="480"/>
        <w:rPr>
          <w:b/>
        </w:rPr>
      </w:pPr>
      <w:r w:rsidRPr="00AC77DF">
        <w:t>臺南維冠金龍大樓倒塌案</w:t>
      </w:r>
      <w:r w:rsidR="004D21EA">
        <w:rPr>
          <w:rFonts w:hint="eastAsia"/>
          <w:lang w:eastAsia="zh-TW"/>
        </w:rPr>
        <w:t>反映</w:t>
      </w:r>
      <w:r w:rsidRPr="00AC77DF">
        <w:t>不良建商肇致人命與財產損失事件，營建署理應引以為鑑，並督導所屬列管清查相關開發案件有無類似該大樓情事，儘速依建築法第</w:t>
      </w:r>
      <w:r w:rsidRPr="00AC77DF">
        <w:t>56</w:t>
      </w:r>
      <w:r w:rsidRPr="00AC77DF">
        <w:t>條規定規劃建築履歷保全制度，嚴格遵守住宅法第</w:t>
      </w:r>
      <w:r w:rsidRPr="00AC77DF">
        <w:t>53</w:t>
      </w:r>
      <w:r w:rsidRPr="00AC77DF">
        <w:t>條及經濟社會文化權利國際公約第</w:t>
      </w:r>
      <w:r w:rsidRPr="00AC77DF">
        <w:t>4</w:t>
      </w:r>
      <w:r w:rsidRPr="00AC77DF">
        <w:t>號</w:t>
      </w:r>
      <w:r w:rsidR="00F64265">
        <w:rPr>
          <w:rFonts w:hint="eastAsia"/>
        </w:rPr>
        <w:t>有關</w:t>
      </w:r>
      <w:r w:rsidRPr="00AC77DF">
        <w:t>人民免受「建築危險」之</w:t>
      </w:r>
      <w:r w:rsidR="00F64265" w:rsidRPr="00AC77DF">
        <w:t>一般性意見</w:t>
      </w:r>
      <w:r w:rsidRPr="00AC77DF">
        <w:t>規範。</w:t>
      </w:r>
    </w:p>
    <w:p w:rsidR="003807A5" w:rsidRPr="00AC77DF" w:rsidRDefault="003807A5" w:rsidP="0089302A">
      <w:pPr>
        <w:pStyle w:val="1---"/>
        <w:ind w:firstLine="480"/>
        <w:rPr>
          <w:b/>
        </w:rPr>
      </w:pPr>
      <w:r w:rsidRPr="00AC77DF">
        <w:t>前臺南縣政府</w:t>
      </w:r>
      <w:r w:rsidRPr="00AC77DF">
        <w:t>81</w:t>
      </w:r>
      <w:r w:rsidRPr="00AC77DF">
        <w:t>年間辦理維冠金龍大樓建造執照與施工勘驗及使用執照核發，有關公職人員業經行政簽結在案，其核發建照過程雖依規定由建築師簽證負責，惟於</w:t>
      </w:r>
      <w:r w:rsidRPr="00AC77DF">
        <w:t>105</w:t>
      </w:r>
      <w:r w:rsidRPr="00AC77DF">
        <w:t>年</w:t>
      </w:r>
      <w:r w:rsidRPr="00AC77DF">
        <w:t>2</w:t>
      </w:r>
      <w:r w:rsidRPr="00AC77DF">
        <w:t>月</w:t>
      </w:r>
      <w:r w:rsidRPr="00AC77DF">
        <w:t>6</w:t>
      </w:r>
      <w:r w:rsidRPr="00AC77DF">
        <w:t>日小</w:t>
      </w:r>
      <w:r w:rsidRPr="0089302A">
        <w:rPr>
          <w:spacing w:val="-2"/>
        </w:rPr>
        <w:t>年夜</w:t>
      </w:r>
      <w:r w:rsidRPr="0089302A">
        <w:rPr>
          <w:spacing w:val="-2"/>
        </w:rPr>
        <w:t>5</w:t>
      </w:r>
      <w:r w:rsidRPr="0089302A">
        <w:rPr>
          <w:spacing w:val="-2"/>
        </w:rPr>
        <w:t>級地震肇致該大樓倒</w:t>
      </w:r>
      <w:r w:rsidRPr="0089302A">
        <w:rPr>
          <w:spacing w:val="-8"/>
        </w:rPr>
        <w:t>塌</w:t>
      </w:r>
      <w:r w:rsidRPr="0089302A">
        <w:rPr>
          <w:spacing w:val="-2"/>
        </w:rPr>
        <w:t>11</w:t>
      </w:r>
      <w:r w:rsidRPr="0089302A">
        <w:rPr>
          <w:spacing w:val="-8"/>
        </w:rPr>
        <w:t>5</w:t>
      </w:r>
      <w:r w:rsidRPr="0089302A">
        <w:rPr>
          <w:spacing w:val="-2"/>
        </w:rPr>
        <w:t>人死</w:t>
      </w:r>
      <w:r w:rsidRPr="0089302A">
        <w:rPr>
          <w:spacing w:val="-8"/>
        </w:rPr>
        <w:t>、</w:t>
      </w:r>
      <w:r w:rsidRPr="0089302A">
        <w:rPr>
          <w:spacing w:val="-2"/>
        </w:rPr>
        <w:t>10</w:t>
      </w:r>
      <w:r w:rsidRPr="0089302A">
        <w:rPr>
          <w:spacing w:val="-8"/>
        </w:rPr>
        <w:t>4</w:t>
      </w:r>
      <w:r w:rsidRPr="0089302A">
        <w:rPr>
          <w:spacing w:val="-2"/>
        </w:rPr>
        <w:t>人受傷</w:t>
      </w:r>
      <w:r w:rsidRPr="00AC77DF">
        <w:t>事件，身為地方最高主管機關自難謂無疏失。該府現</w:t>
      </w:r>
      <w:r w:rsidRPr="0089302A">
        <w:rPr>
          <w:spacing w:val="2"/>
        </w:rPr>
        <w:t>行建築施工管理與勘驗制度仍待檢討改進，始能確保居住安全。</w:t>
      </w:r>
    </w:p>
    <w:p w:rsidR="003807A5" w:rsidRPr="00AC77DF" w:rsidRDefault="003807A5" w:rsidP="00450E3B">
      <w:pPr>
        <w:pStyle w:val="1---"/>
        <w:ind w:firstLine="480"/>
        <w:rPr>
          <w:b/>
        </w:rPr>
      </w:pPr>
      <w:r w:rsidRPr="00AC77DF">
        <w:t>依據本案調查意見</w:t>
      </w:r>
      <w:r w:rsidRPr="00AC77DF">
        <w:rPr>
          <w:rStyle w:val="aff2"/>
        </w:rPr>
        <w:footnoteReference w:id="119"/>
      </w:r>
      <w:r w:rsidRPr="00AC77DF">
        <w:t>，監察院糾正內政部及臺南市政府，並函請行政院督促所屬檢討改進見復。</w:t>
      </w:r>
    </w:p>
    <w:p w:rsidR="003807A5" w:rsidRPr="00AC77DF" w:rsidRDefault="00C41021" w:rsidP="000B692A">
      <w:pPr>
        <w:pStyle w:val="afff1"/>
        <w:spacing w:before="360" w:after="360"/>
      </w:pPr>
      <w:bookmarkStart w:id="553" w:name="_Toc531362516"/>
      <w:r>
        <w:rPr>
          <w:rFonts w:hint="eastAsia"/>
        </w:rPr>
        <w:t>(三)</w:t>
      </w:r>
      <w:r w:rsidR="003807A5" w:rsidRPr="00AC77DF">
        <w:t>政府機關改善情形</w:t>
      </w:r>
      <w:bookmarkEnd w:id="553"/>
    </w:p>
    <w:p w:rsidR="003807A5" w:rsidRPr="00AC77DF" w:rsidRDefault="003807A5" w:rsidP="00425EE5">
      <w:pPr>
        <w:pStyle w:val="1----"/>
        <w:ind w:left="600" w:hanging="360"/>
      </w:pPr>
      <w:r w:rsidRPr="00AC77DF">
        <w:t>1</w:t>
      </w:r>
      <w:r w:rsidRPr="00AC77DF">
        <w:t>、行政院已督導內政部會商權責機關，保障民眾居住安全，略有改善進度並研修相關法令、草案。</w:t>
      </w:r>
    </w:p>
    <w:p w:rsidR="003807A5" w:rsidRPr="00AC77DF" w:rsidRDefault="003807A5" w:rsidP="00425EE5">
      <w:pPr>
        <w:pStyle w:val="1----"/>
        <w:ind w:left="600" w:hanging="360"/>
      </w:pPr>
      <w:r w:rsidRPr="00AC77DF">
        <w:t>2</w:t>
      </w:r>
      <w:r w:rsidRPr="00AC77DF">
        <w:t>、臺南市政府修訂「臺南市建築工程施工中勘驗作業辦法第</w:t>
      </w:r>
      <w:r w:rsidRPr="00AC77DF">
        <w:lastRenderedPageBreak/>
        <w:t>五條」增加現場勘驗次數，目前刻正辦理法規發布程序中。應辦理現場勘驗規模及樓層如下（</w:t>
      </w:r>
      <w:r w:rsidRPr="00AC77DF">
        <w:t>1</w:t>
      </w:r>
      <w:r w:rsidRPr="00AC77DF">
        <w:t>）供公眾使用建築物放樣、一樓頂版及屋頂版施工部分</w:t>
      </w:r>
      <w:r w:rsidRPr="00C716EA">
        <w:rPr>
          <w:spacing w:val="-30"/>
        </w:rPr>
        <w:t>。</w:t>
      </w:r>
      <w:r w:rsidRPr="00AC77DF">
        <w:t>（</w:t>
      </w:r>
      <w:r w:rsidRPr="00AC77DF">
        <w:t>2</w:t>
      </w:r>
      <w:r w:rsidRPr="00AC77DF">
        <w:t>）三樓以上非供公眾使用建築物一樓頂版施工部分</w:t>
      </w:r>
      <w:r w:rsidRPr="00C716EA">
        <w:rPr>
          <w:spacing w:val="-30"/>
        </w:rPr>
        <w:t>。</w:t>
      </w:r>
      <w:r w:rsidRPr="00AC77DF">
        <w:t>（</w:t>
      </w:r>
      <w:r w:rsidRPr="00AC77DF">
        <w:t>3</w:t>
      </w:r>
      <w:r w:rsidRPr="00AC77DF">
        <w:t>）十層樓以上建築物，除依前二款規定辦理外，每五層樓應增加樓版勘驗一次。</w:t>
      </w:r>
    </w:p>
    <w:p w:rsidR="003807A5" w:rsidRPr="00AC77DF" w:rsidRDefault="003807A5" w:rsidP="00425EE5">
      <w:pPr>
        <w:pStyle w:val="1----"/>
        <w:ind w:left="600" w:hanging="360"/>
      </w:pPr>
      <w:r w:rsidRPr="00AC77DF">
        <w:t>3</w:t>
      </w:r>
      <w:r w:rsidRPr="00AC77DF">
        <w:t>、臺南市政府編列</w:t>
      </w:r>
      <w:r w:rsidRPr="00AC77DF">
        <w:t>450</w:t>
      </w:r>
      <w:r w:rsidRPr="00AC77DF">
        <w:t>萬元，辦理委託第三方單位勘驗作業，辦理「</w:t>
      </w:r>
      <w:r w:rsidRPr="00AC77DF">
        <w:t>107</w:t>
      </w:r>
      <w:r w:rsidRPr="00AC77DF">
        <w:t>年度臺南市建築物施工勘驗作業委託技術服務案</w:t>
      </w:r>
      <w:r w:rsidRPr="00C716EA">
        <w:rPr>
          <w:spacing w:val="-30"/>
        </w:rPr>
        <w:t>」</w:t>
      </w:r>
      <w:r w:rsidRPr="00AC77DF">
        <w:t>，預計今年</w:t>
      </w:r>
      <w:r w:rsidRPr="00AC77DF">
        <w:t>8</w:t>
      </w:r>
      <w:r w:rsidRPr="00AC77DF">
        <w:t>月底前正式簽約實施。</w:t>
      </w:r>
    </w:p>
    <w:p w:rsidR="003807A5" w:rsidRPr="00AC77DF" w:rsidRDefault="003807A5" w:rsidP="00425EE5">
      <w:pPr>
        <w:pStyle w:val="1----"/>
        <w:ind w:left="600" w:hanging="360"/>
      </w:pPr>
      <w:r w:rsidRPr="00AC77DF">
        <w:t>4</w:t>
      </w:r>
      <w:r w:rsidRPr="00AC77DF">
        <w:t>、辦理建造執照落實行政技術分立，為加強執照品質，</w:t>
      </w:r>
      <w:r w:rsidRPr="00AC77DF">
        <w:t>107</w:t>
      </w:r>
      <w:r w:rsidRPr="00AC77DF">
        <w:t>年</w:t>
      </w:r>
      <w:r w:rsidRPr="00AC77DF">
        <w:t>4</w:t>
      </w:r>
      <w:r w:rsidRPr="00AC77DF">
        <w:t>月</w:t>
      </w:r>
      <w:r w:rsidRPr="00AC77DF">
        <w:t>18</w:t>
      </w:r>
      <w:r w:rsidRPr="00AC77DF">
        <w:t>日修正發布「臺南市政府工務局辦理建造執照及雜項執照抽查作業執行方式</w:t>
      </w:r>
      <w:r w:rsidRPr="00C716EA">
        <w:rPr>
          <w:spacing w:val="-30"/>
        </w:rPr>
        <w:t>」</w:t>
      </w:r>
      <w:r w:rsidRPr="00AC77DF">
        <w:t>，以提高建造執照抽查比例，並加強高樓層高強度使用建築物指定抽查等作為。</w:t>
      </w:r>
    </w:p>
    <w:p w:rsidR="003807A5" w:rsidRPr="00AC77DF" w:rsidRDefault="00C41021" w:rsidP="000B692A">
      <w:pPr>
        <w:pStyle w:val="afff1"/>
        <w:spacing w:before="360" w:after="360"/>
      </w:pPr>
      <w:bookmarkStart w:id="554" w:name="_Toc531362517"/>
      <w:r>
        <w:rPr>
          <w:rFonts w:hint="eastAsia"/>
        </w:rPr>
        <w:t>(四)</w:t>
      </w:r>
      <w:r w:rsidR="003807A5" w:rsidRPr="00AC77DF">
        <w:t>案件進展</w:t>
      </w:r>
      <w:bookmarkEnd w:id="554"/>
    </w:p>
    <w:p w:rsidR="003807A5" w:rsidRDefault="003807A5" w:rsidP="00450E3B">
      <w:pPr>
        <w:pStyle w:val="1---"/>
        <w:ind w:firstLine="480"/>
        <w:rPr>
          <w:lang w:eastAsia="zh-TW"/>
        </w:rPr>
      </w:pPr>
      <w:r w:rsidRPr="00AC77DF">
        <w:t>監察院仍追蹤本案改善情形。</w:t>
      </w:r>
    </w:p>
    <w:p w:rsidR="00C41021" w:rsidRPr="004D21EA" w:rsidRDefault="00C41021" w:rsidP="004D21EA">
      <w:pPr>
        <w:pStyle w:val="1---"/>
        <w:ind w:firstLine="480"/>
      </w:pPr>
    </w:p>
    <w:tbl>
      <w:tblPr>
        <w:tblStyle w:val="aff5"/>
        <w:tblW w:w="0" w:type="auto"/>
        <w:tblInd w:w="113" w:type="dxa"/>
        <w:shd w:val="clear" w:color="auto" w:fill="D9D9D9" w:themeFill="background1" w:themeFillShade="D9"/>
        <w:tblLook w:val="04A0" w:firstRow="1" w:lastRow="0" w:firstColumn="1" w:lastColumn="0" w:noHBand="0" w:noVBand="1"/>
      </w:tblPr>
      <w:tblGrid>
        <w:gridCol w:w="3681"/>
      </w:tblGrid>
      <w:tr w:rsidR="00C41021" w:rsidTr="00C716EA">
        <w:tc>
          <w:tcPr>
            <w:tcW w:w="3681" w:type="dxa"/>
            <w:shd w:val="clear" w:color="auto" w:fill="D9D9D9" w:themeFill="background1" w:themeFillShade="D9"/>
          </w:tcPr>
          <w:p w:rsidR="00C41021" w:rsidRDefault="00C41021" w:rsidP="00C41021">
            <w:pPr>
              <w:pStyle w:val="11-"/>
              <w:spacing w:before="72" w:after="108"/>
              <w:rPr>
                <w:lang w:eastAsia="zh-TW"/>
              </w:rPr>
            </w:pPr>
            <w:bookmarkStart w:id="555" w:name="_Toc531362519"/>
            <w:bookmarkStart w:id="556" w:name="_Toc535228401"/>
            <w:bookmarkStart w:id="557" w:name="_Toc4058812"/>
            <w:r w:rsidRPr="00AC77DF">
              <w:rPr>
                <w:lang w:eastAsia="zh-HK"/>
              </w:rPr>
              <w:t>不當</w:t>
            </w:r>
            <w:r w:rsidRPr="00AC77DF">
              <w:t>處理投信結構債事件</w:t>
            </w:r>
            <w:bookmarkEnd w:id="555"/>
            <w:bookmarkEnd w:id="556"/>
            <w:bookmarkEnd w:id="557"/>
          </w:p>
        </w:tc>
      </w:tr>
    </w:tbl>
    <w:p w:rsidR="00C41021" w:rsidRPr="00AC77DF" w:rsidRDefault="00C41021" w:rsidP="00450E3B">
      <w:pPr>
        <w:pStyle w:val="1---"/>
        <w:ind w:firstLine="480"/>
        <w:rPr>
          <w:lang w:eastAsia="zh-TW"/>
        </w:rPr>
      </w:pPr>
    </w:p>
    <w:tbl>
      <w:tblPr>
        <w:tblW w:w="477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4"/>
      </w:tblGrid>
      <w:tr w:rsidR="003807A5" w:rsidRPr="00AC77DF" w:rsidTr="00B0408D">
        <w:tc>
          <w:tcPr>
            <w:tcW w:w="5000" w:type="pct"/>
            <w:shd w:val="clear" w:color="auto" w:fill="auto"/>
          </w:tcPr>
          <w:p w:rsidR="003807A5" w:rsidRPr="00AC77DF" w:rsidRDefault="003807A5" w:rsidP="00C41021">
            <w:pPr>
              <w:spacing w:line="360" w:lineRule="exact"/>
              <w:jc w:val="both"/>
              <w:rPr>
                <w:color w:val="000000"/>
                <w:szCs w:val="28"/>
                <w:lang w:val="x-none"/>
              </w:rPr>
            </w:pPr>
            <w:r w:rsidRPr="00AC77DF">
              <w:rPr>
                <w:b/>
                <w:color w:val="000000"/>
                <w:szCs w:val="28"/>
                <w:lang w:val="x-none"/>
              </w:rPr>
              <w:t>相關國際人權公約：</w:t>
            </w:r>
            <w:r w:rsidRPr="00AC77DF">
              <w:t>經濟社會文化權利國際公約第</w:t>
            </w:r>
            <w:r w:rsidRPr="00AC77DF">
              <w:t>2</w:t>
            </w:r>
            <w:r w:rsidRPr="00AC77DF">
              <w:t>條、第</w:t>
            </w:r>
            <w:r w:rsidRPr="00AC77DF">
              <w:t>4</w:t>
            </w:r>
            <w:r w:rsidRPr="00AC77DF">
              <w:t>條及第</w:t>
            </w:r>
            <w:r w:rsidRPr="00AC77DF">
              <w:t>5</w:t>
            </w:r>
            <w:r w:rsidRPr="00AC77DF">
              <w:t>條。</w:t>
            </w:r>
          </w:p>
          <w:p w:rsidR="003807A5" w:rsidRPr="00AC77DF" w:rsidRDefault="003807A5" w:rsidP="00C41021">
            <w:pPr>
              <w:spacing w:line="360" w:lineRule="exact"/>
              <w:jc w:val="both"/>
              <w:rPr>
                <w:b/>
                <w:color w:val="000000"/>
                <w:szCs w:val="28"/>
                <w:lang w:val="x-none"/>
              </w:rPr>
            </w:pPr>
            <w:r w:rsidRPr="00AC77DF">
              <w:rPr>
                <w:b/>
              </w:rPr>
              <w:t>經濟社會文化權利國際公約第</w:t>
            </w:r>
            <w:r w:rsidRPr="00AC77DF">
              <w:rPr>
                <w:b/>
              </w:rPr>
              <w:t>2</w:t>
            </w:r>
            <w:r w:rsidRPr="00AC77DF">
              <w:rPr>
                <w:b/>
              </w:rPr>
              <w:t>條</w:t>
            </w:r>
          </w:p>
          <w:p w:rsidR="003807A5" w:rsidRPr="00AC77DF" w:rsidRDefault="003807A5" w:rsidP="00B0408D">
            <w:pPr>
              <w:kinsoku w:val="0"/>
              <w:spacing w:line="360" w:lineRule="exact"/>
              <w:ind w:left="480" w:hangingChars="200" w:hanging="480"/>
              <w:jc w:val="both"/>
              <w:rPr>
                <w:color w:val="000000"/>
                <w:szCs w:val="28"/>
                <w:lang w:val="x-none"/>
              </w:rPr>
            </w:pPr>
            <w:r w:rsidRPr="00AC77DF">
              <w:rPr>
                <w:color w:val="000000"/>
                <w:szCs w:val="28"/>
                <w:lang w:val="x-none"/>
              </w:rPr>
              <w:t>一、本公約締約國承允盡其資源能力所及，各自並藉國際協</w:t>
            </w:r>
            <w:r w:rsidRPr="00AC77DF">
              <w:rPr>
                <w:color w:val="000000"/>
                <w:szCs w:val="28"/>
                <w:lang w:val="x-none"/>
              </w:rPr>
              <w:lastRenderedPageBreak/>
              <w:t>助與合作，特別在經濟與技術方面之協助與合作採取種種步驟，務期以所有適當方法，尤其包括通過立法措施，逐漸使本公約所確認之各種權利完全實現。</w:t>
            </w:r>
          </w:p>
          <w:p w:rsidR="003807A5" w:rsidRPr="00AC77DF" w:rsidRDefault="003807A5" w:rsidP="00B0408D">
            <w:pPr>
              <w:kinsoku w:val="0"/>
              <w:spacing w:line="360" w:lineRule="exact"/>
              <w:ind w:left="480" w:hangingChars="200" w:hanging="480"/>
              <w:jc w:val="both"/>
              <w:rPr>
                <w:color w:val="000000"/>
                <w:szCs w:val="28"/>
                <w:lang w:val="x-none"/>
              </w:rPr>
            </w:pPr>
            <w:r w:rsidRPr="00AC77DF">
              <w:rPr>
                <w:color w:val="000000"/>
                <w:szCs w:val="28"/>
                <w:lang w:val="x-none"/>
              </w:rPr>
              <w:t>二、本公約締約國承允保證人人行使本公約所載之各種權利，不因種族、膚色、性別、語言、宗教、政見或其他主張、民族本源或社會階級、財產、出生或其他身分等等而受歧視。</w:t>
            </w:r>
          </w:p>
          <w:p w:rsidR="003807A5" w:rsidRPr="00AC77DF" w:rsidRDefault="003807A5" w:rsidP="004D21EA">
            <w:pPr>
              <w:spacing w:afterLines="30" w:after="108" w:line="360" w:lineRule="exact"/>
              <w:ind w:left="480" w:hangingChars="200" w:hanging="480"/>
              <w:jc w:val="both"/>
            </w:pPr>
            <w:r w:rsidRPr="00AC77DF">
              <w:rPr>
                <w:color w:val="000000"/>
                <w:szCs w:val="28"/>
                <w:lang w:val="x-none"/>
              </w:rPr>
              <w:t>三、發展中國家在適當顧及人權及國民經濟之情形下，得決定保證非本國國民享受本公約所確認經濟權利之程度。</w:t>
            </w:r>
          </w:p>
        </w:tc>
      </w:tr>
    </w:tbl>
    <w:p w:rsidR="003807A5" w:rsidRPr="00AC77DF" w:rsidRDefault="004A0984" w:rsidP="000B692A">
      <w:pPr>
        <w:pStyle w:val="afff1"/>
        <w:spacing w:before="360" w:after="360"/>
      </w:pPr>
      <w:bookmarkStart w:id="558" w:name="_Toc531362520"/>
      <w:r>
        <w:rPr>
          <w:rFonts w:hint="eastAsia"/>
        </w:rPr>
        <w:lastRenderedPageBreak/>
        <w:t>(一)</w:t>
      </w:r>
      <w:r w:rsidR="003807A5" w:rsidRPr="00AC77DF">
        <w:t>案情簡述</w:t>
      </w:r>
      <w:bookmarkEnd w:id="558"/>
    </w:p>
    <w:p w:rsidR="003807A5" w:rsidRPr="00AC77DF" w:rsidRDefault="003807A5" w:rsidP="00450E3B">
      <w:pPr>
        <w:pStyle w:val="1---"/>
        <w:ind w:firstLine="480"/>
      </w:pPr>
      <w:r w:rsidRPr="00AC77DF">
        <w:t>金管會於處理證券投資信託事業（簡稱投信）結構債事件所提之三大原則，前經監察院調查認其程序有欠妥當，並要求該會改善在案。然該三大原則之提出行為與發行新基金或變更基金規模之准駁相結合後，似已產生事實上拘束力，即不得拒絕承擔結構債投資人之損失，從而成為一限制人民權利之行政行為，究該會有無違反行政法及其他有關法令，監察委員認有調查之必要，爰立案調查。</w:t>
      </w:r>
    </w:p>
    <w:p w:rsidR="003807A5" w:rsidRPr="00AC77DF" w:rsidRDefault="004A0984" w:rsidP="000B692A">
      <w:pPr>
        <w:pStyle w:val="afff1"/>
        <w:spacing w:before="360" w:after="360"/>
      </w:pPr>
      <w:bookmarkStart w:id="559" w:name="_Toc531362521"/>
      <w:r>
        <w:rPr>
          <w:rFonts w:hint="eastAsia"/>
        </w:rPr>
        <w:t>(二)</w:t>
      </w:r>
      <w:r w:rsidR="003807A5" w:rsidRPr="00AC77DF">
        <w:t>監察院調查發現與建議</w:t>
      </w:r>
      <w:bookmarkEnd w:id="559"/>
    </w:p>
    <w:p w:rsidR="003807A5" w:rsidRPr="00AC77DF" w:rsidRDefault="00597483" w:rsidP="00564517">
      <w:pPr>
        <w:pStyle w:val="1--13"/>
        <w:spacing w:before="180" w:after="180"/>
      </w:pPr>
      <w:r w:rsidRPr="008E1832">
        <w:rPr>
          <w:rFonts w:hint="eastAsia"/>
        </w:rPr>
        <w:t>˙</w:t>
      </w:r>
      <w:r w:rsidR="003807A5" w:rsidRPr="00AC77DF">
        <w:t>行政程序具瑕疵</w:t>
      </w:r>
    </w:p>
    <w:p w:rsidR="003807A5" w:rsidRPr="00AC77DF" w:rsidRDefault="003807A5" w:rsidP="00B0408D">
      <w:pPr>
        <w:pStyle w:val="1---"/>
        <w:ind w:firstLine="480"/>
        <w:jc w:val="distribute"/>
      </w:pPr>
      <w:r w:rsidRPr="00AC77DF">
        <w:t>「三大原則」所涉事項，核屬金融監理之重大措施，卻未</w:t>
      </w:r>
      <w:r w:rsidRPr="00AC77DF">
        <w:lastRenderedPageBreak/>
        <w:t>依當時金管會組織法第</w:t>
      </w:r>
      <w:r w:rsidRPr="00AC77DF">
        <w:t>10</w:t>
      </w:r>
      <w:r w:rsidRPr="00AC77DF">
        <w:t>條第</w:t>
      </w:r>
      <w:r w:rsidRPr="00AC77DF">
        <w:t>1</w:t>
      </w:r>
      <w:r w:rsidRPr="00AC77DF">
        <w:t>項規定，提送該會委員會議審</w:t>
      </w:r>
      <w:r w:rsidRPr="00B0408D">
        <w:rPr>
          <w:spacing w:val="-2"/>
        </w:rPr>
        <w:t>議；縱使其有解決結構債危機之公益目的，行政程序仍屬不法。</w:t>
      </w:r>
    </w:p>
    <w:p w:rsidR="003807A5" w:rsidRPr="00AC77DF" w:rsidRDefault="00597483" w:rsidP="00B0408D">
      <w:pPr>
        <w:pStyle w:val="1--13"/>
        <w:spacing w:before="180" w:after="180"/>
      </w:pPr>
      <w:r w:rsidRPr="008E1832">
        <w:rPr>
          <w:rFonts w:hint="eastAsia"/>
        </w:rPr>
        <w:t>˙</w:t>
      </w:r>
      <w:r w:rsidR="003807A5" w:rsidRPr="00AC77DF">
        <w:t>違背行政程序法規定</w:t>
      </w:r>
    </w:p>
    <w:p w:rsidR="003807A5" w:rsidRPr="00AC77DF" w:rsidRDefault="003807A5" w:rsidP="00450E3B">
      <w:pPr>
        <w:pStyle w:val="1---"/>
        <w:ind w:firstLine="480"/>
      </w:pPr>
      <w:r w:rsidRPr="00AC77DF">
        <w:t>「三大原則」內容，悖於投資常規及法令規定，至多僅能以行政指導方式，道德勸說投信業者配合辦理。惟金管會卻將之與發行新基金或變更基金規模之准駁相結合，致業者不得不遵照辦理，核已違反行政程序法第</w:t>
      </w:r>
      <w:r w:rsidRPr="00AC77DF">
        <w:t>4</w:t>
      </w:r>
      <w:r w:rsidRPr="00AC77DF">
        <w:t>條</w:t>
      </w:r>
      <w:r w:rsidR="0004301C">
        <w:t>、</w:t>
      </w:r>
      <w:r w:rsidRPr="00AC77DF">
        <w:t>第</w:t>
      </w:r>
      <w:r w:rsidRPr="00AC77DF">
        <w:t>165</w:t>
      </w:r>
      <w:r w:rsidR="0004301C">
        <w:rPr>
          <w:rFonts w:hint="eastAsia"/>
        </w:rPr>
        <w:t>條及第</w:t>
      </w:r>
      <w:r w:rsidRPr="00AC77DF">
        <w:t>166</w:t>
      </w:r>
      <w:r w:rsidRPr="00AC77DF">
        <w:t>條等規定。</w:t>
      </w:r>
    </w:p>
    <w:p w:rsidR="003807A5" w:rsidRPr="00AC77DF" w:rsidRDefault="00597483" w:rsidP="00564517">
      <w:pPr>
        <w:pStyle w:val="1--13"/>
        <w:spacing w:before="180" w:after="180"/>
      </w:pPr>
      <w:r w:rsidRPr="008E1832">
        <w:rPr>
          <w:rFonts w:hint="eastAsia"/>
        </w:rPr>
        <w:t>˙</w:t>
      </w:r>
      <w:r w:rsidR="003807A5" w:rsidRPr="00AC77DF">
        <w:t>有違比例原則</w:t>
      </w:r>
    </w:p>
    <w:p w:rsidR="003807A5" w:rsidRPr="00AC77DF" w:rsidRDefault="003807A5" w:rsidP="00450E3B">
      <w:pPr>
        <w:pStyle w:val="1---"/>
        <w:ind w:firstLine="480"/>
      </w:pPr>
      <w:r w:rsidRPr="00AC77DF">
        <w:t>「三大原則」雖係緣起於聯合投信事件後之債券型基金相關改革措施，然已非處理系爭事件「本身」之緊急因應方案，難謂仍具相當急迫性。嗣該會基於對國際利率走勢之判斷，加碼提出「限時移出」政策，亦因未區分投信公司體質、規模、流動性情形，及所持有之結構債中，有無具保本性質者等不同態樣，而採不同處理作法，顯然並非侵害最小手段，而有違比例原則之「必要性</w:t>
      </w:r>
      <w:r w:rsidRPr="000E0813">
        <w:rPr>
          <w:spacing w:val="-28"/>
        </w:rPr>
        <w:t>」</w:t>
      </w:r>
      <w:r w:rsidRPr="00AC77DF">
        <w:t>。復以事後利率未如該會預期走升，且相關「金融資產證券化」配套機制反引發後續金融事件，更顯示該會當時專斷、不予業者適度彈性做法之不當。</w:t>
      </w:r>
    </w:p>
    <w:p w:rsidR="003807A5" w:rsidRPr="00AC77DF" w:rsidRDefault="00597483" w:rsidP="00564517">
      <w:pPr>
        <w:pStyle w:val="1--13"/>
        <w:spacing w:before="180" w:after="180"/>
      </w:pPr>
      <w:r w:rsidRPr="008E1832">
        <w:rPr>
          <w:rFonts w:hint="eastAsia"/>
        </w:rPr>
        <w:t>˙</w:t>
      </w:r>
      <w:r w:rsidR="003807A5" w:rsidRPr="00AC77DF">
        <w:t>強制業者吸收虧損</w:t>
      </w:r>
    </w:p>
    <w:p w:rsidR="003807A5" w:rsidRPr="00AC77DF" w:rsidRDefault="003807A5" w:rsidP="00450E3B">
      <w:pPr>
        <w:pStyle w:val="1---"/>
        <w:ind w:firstLine="480"/>
        <w:rPr>
          <w:i/>
        </w:rPr>
      </w:pPr>
      <w:r w:rsidRPr="00AC77DF">
        <w:t>金管會以「三大原則」及「限時出清」等政策，強使業者配合出清所持有之結構債及吸收所產生之虧損，事後該會檢查局卻將部分業者以相關操作涉及刑事不法，移送檢調偵辦。除</w:t>
      </w:r>
      <w:r w:rsidRPr="00AC77DF">
        <w:lastRenderedPageBreak/>
        <w:t>顯示主管機關橫向聯繫不足外，相關作為更難認與行政程序法第</w:t>
      </w:r>
      <w:r w:rsidRPr="00AC77DF">
        <w:t>8</w:t>
      </w:r>
      <w:r w:rsidRPr="00AC77DF">
        <w:t>條所揭示之「誠實信用原則」相合，嚴重傷害政府機關形象與公信</w:t>
      </w:r>
      <w:r w:rsidR="008E05CF">
        <w:rPr>
          <w:rFonts w:hint="eastAsia"/>
        </w:rPr>
        <w:t>力。</w:t>
      </w:r>
    </w:p>
    <w:p w:rsidR="003807A5" w:rsidRPr="00AC77DF" w:rsidRDefault="003807A5" w:rsidP="00450E3B">
      <w:pPr>
        <w:pStyle w:val="1---"/>
        <w:ind w:firstLine="480"/>
      </w:pPr>
      <w:r w:rsidRPr="00AC77DF">
        <w:t>依據本案調查意見</w:t>
      </w:r>
      <w:r w:rsidRPr="00AC77DF">
        <w:rPr>
          <w:rStyle w:val="aff2"/>
        </w:rPr>
        <w:footnoteReference w:id="120"/>
      </w:r>
      <w:r w:rsidRPr="00AC77DF">
        <w:t>，監察院糾正金管會，並請該會確實檢討改善見復。</w:t>
      </w:r>
    </w:p>
    <w:p w:rsidR="003807A5" w:rsidRPr="00AC77DF" w:rsidRDefault="004A0984" w:rsidP="000B692A">
      <w:pPr>
        <w:pStyle w:val="afff1"/>
        <w:spacing w:before="360" w:after="360"/>
      </w:pPr>
      <w:bookmarkStart w:id="560" w:name="_Toc531362522"/>
      <w:r>
        <w:rPr>
          <w:rFonts w:hint="eastAsia"/>
        </w:rPr>
        <w:t>(三)</w:t>
      </w:r>
      <w:r w:rsidR="003807A5" w:rsidRPr="00AC77DF">
        <w:t>政府機關改善情形</w:t>
      </w:r>
      <w:bookmarkEnd w:id="560"/>
    </w:p>
    <w:p w:rsidR="003807A5" w:rsidRPr="00AC77DF" w:rsidRDefault="003807A5" w:rsidP="00425EE5">
      <w:pPr>
        <w:pStyle w:val="1----"/>
        <w:ind w:left="600" w:hanging="360"/>
      </w:pPr>
      <w:r w:rsidRPr="00AC77DF">
        <w:t>1</w:t>
      </w:r>
      <w:r w:rsidRPr="00AC77DF">
        <w:t>、依當時「行政院金融監督管理委員會組織法」第</w:t>
      </w:r>
      <w:r w:rsidRPr="00AC77DF">
        <w:t>10</w:t>
      </w:r>
      <w:r w:rsidRPr="00AC77DF">
        <w:t>條第</w:t>
      </w:r>
      <w:r w:rsidRPr="00AC77DF">
        <w:t>1</w:t>
      </w:r>
      <w:r w:rsidRPr="00AC77DF">
        <w:t>項規定，有關第</w:t>
      </w:r>
      <w:r w:rsidRPr="00AC77DF">
        <w:t>4</w:t>
      </w:r>
      <w:r w:rsidRPr="00AC77DF">
        <w:t>款「違反金融相關法令之重大處理」或第</w:t>
      </w:r>
      <w:r w:rsidRPr="00AC77DF">
        <w:t>6</w:t>
      </w:r>
      <w:r w:rsidRPr="00AC77DF">
        <w:t>款「其他金融重要措施」之事項，應經金管會委員會議決議，此節該會已虛心檢討。該會將確實遵循「金融監督管理委員會處務規程」第</w:t>
      </w:r>
      <w:r w:rsidRPr="00AC77DF">
        <w:t>3</w:t>
      </w:r>
      <w:r w:rsidRPr="00AC77DF">
        <w:t>條「有關重大金融制度、監理政策及維持金融市場穩定重大措施，應提本會委員會議審議及報告」規定，以符合行政程序。</w:t>
      </w:r>
    </w:p>
    <w:p w:rsidR="003807A5" w:rsidRPr="00AC77DF" w:rsidRDefault="003807A5" w:rsidP="00425EE5">
      <w:pPr>
        <w:pStyle w:val="1----"/>
        <w:ind w:left="600" w:hanging="360"/>
      </w:pPr>
      <w:r w:rsidRPr="00AC77DF">
        <w:t>2</w:t>
      </w:r>
      <w:r w:rsidRPr="00AC77DF">
        <w:t>、未來有關投信事業之重大金融制度、監理政策及維持金融市場穩定重大措施，涉及全體投信事業應遵循配合辦理之通案事項，金管會將以現行法規或新增發布法規命令方式為原則（具法律上強制力</w:t>
      </w:r>
      <w:r w:rsidRPr="000E0813">
        <w:rPr>
          <w:spacing w:val="-28"/>
        </w:rPr>
        <w:t>）</w:t>
      </w:r>
      <w:r w:rsidRPr="00AC77DF">
        <w:t>，並持續落實遵循行政程序法第</w:t>
      </w:r>
      <w:r w:rsidRPr="00AC77DF">
        <w:t>4</w:t>
      </w:r>
      <w:r w:rsidRPr="00AC77DF">
        <w:t>條、第</w:t>
      </w:r>
      <w:r w:rsidRPr="00AC77DF">
        <w:t>165</w:t>
      </w:r>
      <w:r w:rsidRPr="00AC77DF">
        <w:t>條及第</w:t>
      </w:r>
      <w:r w:rsidRPr="00AC77DF">
        <w:t>166</w:t>
      </w:r>
      <w:r w:rsidRPr="00AC77DF">
        <w:t>條之規定。</w:t>
      </w:r>
    </w:p>
    <w:p w:rsidR="003807A5" w:rsidRPr="00AC77DF" w:rsidRDefault="003807A5" w:rsidP="00425EE5">
      <w:pPr>
        <w:pStyle w:val="1----"/>
        <w:ind w:left="600" w:hanging="360"/>
      </w:pPr>
      <w:r w:rsidRPr="00AC77DF">
        <w:t>3</w:t>
      </w:r>
      <w:r w:rsidRPr="00AC77DF">
        <w:t>、倘未來再次發生全球性金融風暴，該會不再採取「不可讓基金受益人受損</w:t>
      </w:r>
      <w:r w:rsidRPr="000E0813">
        <w:rPr>
          <w:spacing w:val="-28"/>
        </w:rPr>
        <w:t>」、</w:t>
      </w:r>
      <w:r w:rsidRPr="00AC77DF">
        <w:t>「若有損失由投信股東自行吸收」等原則，或是「要求『所有』投信事業將經理之債券型基金</w:t>
      </w:r>
      <w:r w:rsidRPr="00AC77DF">
        <w:lastRenderedPageBreak/>
        <w:t>所投資之『全部』低流動性有價證券，以『限期出清』方式」等措施來因應；而依據「行政院金融監督管理委員會各類金融事件及災害防救處理流程」之「證券投資信託事業危機事件處理流程」辦理。</w:t>
      </w:r>
    </w:p>
    <w:p w:rsidR="003807A5" w:rsidRPr="00AC77DF" w:rsidRDefault="003807A5" w:rsidP="00425EE5">
      <w:pPr>
        <w:pStyle w:val="1----"/>
        <w:ind w:left="600" w:hanging="360"/>
      </w:pPr>
      <w:r w:rsidRPr="00AC77DF">
        <w:t>4</w:t>
      </w:r>
      <w:r w:rsidRPr="00AC77DF">
        <w:t>、未來若再發生類似結構債等問題，金管會將與投信業者一起開會討論決議最佳解決問題之共識決策，並檢視每一檔結構債，審慎評估是否須要求「全部」結構債「限時出清」之必要性，給予各家投信公司彈性處理之空間，避免衝擊過大。</w:t>
      </w:r>
    </w:p>
    <w:p w:rsidR="003807A5" w:rsidRPr="00AC77DF" w:rsidRDefault="003807A5" w:rsidP="00425EE5">
      <w:pPr>
        <w:pStyle w:val="1----"/>
        <w:ind w:left="600" w:hanging="360"/>
      </w:pPr>
      <w:r w:rsidRPr="00AC77DF">
        <w:t>5</w:t>
      </w:r>
      <w:r w:rsidRPr="00AC77DF">
        <w:t>、為利處理系統性危機，將由該會副主任委員為召集人，邀集中央銀行副總裁、該會證券期貨局、檢查局及銀行局局長等數人組成專案小組；若涉及相關機關業務者，亦將邀集相關機關加入專案小組。系統性危機專案小組之任務包括建立資訊聯絡網，即時掌握最新資訊。督導投信公會每日定期向該會回報每一相關基金之申購、贖回情形，如有異常淨贖回之情事，應即時通報。另研擬跨部會支援方案即決定政策性措施，如需行政院協調處理之重大決議或政策，由該會儘速呈報行政院處理。</w:t>
      </w:r>
    </w:p>
    <w:p w:rsidR="003807A5" w:rsidRPr="00AC77DF" w:rsidRDefault="004A0984" w:rsidP="000B692A">
      <w:pPr>
        <w:pStyle w:val="afff1"/>
        <w:spacing w:before="360" w:after="360"/>
      </w:pPr>
      <w:bookmarkStart w:id="561" w:name="_Toc531362523"/>
      <w:r>
        <w:rPr>
          <w:rFonts w:hint="eastAsia"/>
        </w:rPr>
        <w:t>(四)</w:t>
      </w:r>
      <w:r w:rsidR="003807A5" w:rsidRPr="00AC77DF">
        <w:t>案件進展</w:t>
      </w:r>
      <w:bookmarkEnd w:id="561"/>
    </w:p>
    <w:p w:rsidR="003807A5" w:rsidRDefault="003807A5" w:rsidP="00450E3B">
      <w:pPr>
        <w:pStyle w:val="1---"/>
        <w:ind w:firstLine="480"/>
        <w:rPr>
          <w:lang w:eastAsia="zh-TW"/>
        </w:rPr>
      </w:pPr>
      <w:r w:rsidRPr="00AC77DF">
        <w:t>監察院函請金管會自行追蹤列管，並請該會確實落實所復之檢討改善方案。</w:t>
      </w:r>
    </w:p>
    <w:p w:rsidR="004A0984" w:rsidRDefault="004A0984" w:rsidP="00450E3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3000"/>
      </w:tblGrid>
      <w:tr w:rsidR="004A0984" w:rsidTr="000E0813">
        <w:tc>
          <w:tcPr>
            <w:tcW w:w="3000" w:type="dxa"/>
            <w:shd w:val="clear" w:color="auto" w:fill="D9D9D9" w:themeFill="background1" w:themeFillShade="D9"/>
          </w:tcPr>
          <w:p w:rsidR="004A0984" w:rsidRDefault="004A0984" w:rsidP="004A0984">
            <w:pPr>
              <w:pStyle w:val="11-"/>
              <w:spacing w:before="72" w:after="108"/>
              <w:rPr>
                <w:lang w:eastAsia="zh-TW"/>
              </w:rPr>
            </w:pPr>
            <w:bookmarkStart w:id="562" w:name="_Toc531362529"/>
            <w:bookmarkStart w:id="563" w:name="_Toc535228402"/>
            <w:bookmarkStart w:id="564" w:name="_Toc4058813"/>
            <w:r w:rsidRPr="00AC77DF">
              <w:lastRenderedPageBreak/>
              <w:t>警察投資吸金集團案</w:t>
            </w:r>
            <w:bookmarkEnd w:id="562"/>
            <w:bookmarkEnd w:id="563"/>
            <w:bookmarkEnd w:id="564"/>
          </w:p>
        </w:tc>
      </w:tr>
    </w:tbl>
    <w:p w:rsidR="003807A5" w:rsidRPr="00AC77DF" w:rsidRDefault="004A0984" w:rsidP="000B692A">
      <w:pPr>
        <w:pStyle w:val="afff1"/>
        <w:spacing w:before="360" w:after="360"/>
      </w:pPr>
      <w:bookmarkStart w:id="565" w:name="_Toc531362530"/>
      <w:r>
        <w:rPr>
          <w:rFonts w:hint="eastAsia"/>
        </w:rPr>
        <w:t>(一)</w:t>
      </w:r>
      <w:r w:rsidR="003807A5" w:rsidRPr="00AC77DF">
        <w:t>案情簡述</w:t>
      </w:r>
      <w:bookmarkEnd w:id="565"/>
    </w:p>
    <w:p w:rsidR="003807A5" w:rsidRPr="00AC77DF" w:rsidRDefault="003807A5" w:rsidP="00450E3B">
      <w:pPr>
        <w:pStyle w:val="1---"/>
        <w:ind w:firstLine="480"/>
        <w:rPr>
          <w:b/>
        </w:rPr>
      </w:pPr>
      <w:r w:rsidRPr="00AC77DF">
        <w:t>據悉</w:t>
      </w:r>
      <w:r w:rsidRPr="000E0813">
        <w:rPr>
          <w:spacing w:val="-28"/>
        </w:rPr>
        <w:t>，</w:t>
      </w:r>
      <w:r w:rsidRPr="00AC77DF">
        <w:t>「銀河紅利</w:t>
      </w:r>
      <w:r w:rsidRPr="000E0813">
        <w:rPr>
          <w:spacing w:val="-28"/>
        </w:rPr>
        <w:t>」、</w:t>
      </w:r>
      <w:r w:rsidRPr="00AC77DF">
        <w:t>「長征」等吸金集團涉嫌自</w:t>
      </w:r>
      <w:r w:rsidRPr="00AC77DF">
        <w:t>101</w:t>
      </w:r>
      <w:r w:rsidRPr="00AC77DF">
        <w:t>年</w:t>
      </w:r>
      <w:r w:rsidRPr="00AC77DF">
        <w:t>8</w:t>
      </w:r>
      <w:r w:rsidRPr="00AC77DF">
        <w:t>月以投資澳門賭場名義，招攬民眾砸錢投資，藉此吸金</w:t>
      </w:r>
      <w:r w:rsidRPr="00AC77DF">
        <w:t>46</w:t>
      </w:r>
      <w:r w:rsidRPr="00AC77DF">
        <w:t>億元。臺灣新北地方檢察署掌握至少</w:t>
      </w:r>
      <w:r w:rsidRPr="00AC77DF">
        <w:t>10</w:t>
      </w:r>
      <w:r w:rsidRPr="00AC77DF">
        <w:t>餘名員警參與投資，每人投資金額以百萬起跳，多則千萬。究有多少員警參與投資、涉嫌犯案或充當門神？本案造成多少人受害？上級長官是否監督不周？權責機關是否涉有疏失？均有深入瞭解之必要，監察委員爰立案調查。</w:t>
      </w:r>
    </w:p>
    <w:p w:rsidR="003807A5" w:rsidRPr="00AC77DF" w:rsidRDefault="004A0984" w:rsidP="000B692A">
      <w:pPr>
        <w:pStyle w:val="afff1"/>
        <w:spacing w:before="360" w:after="360"/>
      </w:pPr>
      <w:bookmarkStart w:id="566" w:name="_Toc531362531"/>
      <w:r>
        <w:rPr>
          <w:rFonts w:hint="eastAsia"/>
        </w:rPr>
        <w:t>(二)</w:t>
      </w:r>
      <w:r w:rsidR="003807A5" w:rsidRPr="00AC77DF">
        <w:t>監察院調查發現與建議</w:t>
      </w:r>
      <w:bookmarkEnd w:id="566"/>
    </w:p>
    <w:p w:rsidR="003807A5" w:rsidRPr="00AC77DF" w:rsidRDefault="00597483" w:rsidP="00564517">
      <w:pPr>
        <w:pStyle w:val="1--13"/>
        <w:spacing w:before="180" w:after="180"/>
      </w:pPr>
      <w:r w:rsidRPr="008E1832">
        <w:rPr>
          <w:rFonts w:hint="eastAsia"/>
        </w:rPr>
        <w:t>˙</w:t>
      </w:r>
      <w:r w:rsidR="003807A5" w:rsidRPr="00AC77DF">
        <w:t>警察涉有違法吸金</w:t>
      </w:r>
    </w:p>
    <w:p w:rsidR="003807A5" w:rsidRPr="00AC77DF" w:rsidRDefault="003807A5" w:rsidP="00450E3B">
      <w:pPr>
        <w:pStyle w:val="1---"/>
        <w:ind w:firstLine="480"/>
      </w:pPr>
      <w:r w:rsidRPr="00AC77DF">
        <w:t>臺北市政府警察局松山分局偵查隊前小隊長蔡崇文、中正第二分局偵查隊偵查佐</w:t>
      </w:r>
      <w:r w:rsidR="00255D08" w:rsidRPr="00DC5EEF">
        <w:rPr>
          <w:rFonts w:hint="eastAsia"/>
        </w:rPr>
        <w:t>潘昇達、松山分局偵查隊小隊長吳崇雄及婦幼警察隊偵防組小隊長黃煇庭</w:t>
      </w:r>
      <w:r w:rsidRPr="00AC77DF">
        <w:t>等</w:t>
      </w:r>
      <w:r w:rsidRPr="00AC77DF">
        <w:t>4</w:t>
      </w:r>
      <w:r w:rsidRPr="00AC77DF">
        <w:t>人，自</w:t>
      </w:r>
      <w:r w:rsidRPr="00AC77DF">
        <w:t>98</w:t>
      </w:r>
      <w:r w:rsidRPr="00AC77DF">
        <w:t>年</w:t>
      </w:r>
      <w:r w:rsidRPr="00AC77DF">
        <w:t>7</w:t>
      </w:r>
      <w:r w:rsidRPr="00AC77DF">
        <w:t>月起至</w:t>
      </w:r>
      <w:r w:rsidRPr="00AC77DF">
        <w:t>105</w:t>
      </w:r>
      <w:r w:rsidRPr="00AC77DF">
        <w:t>年</w:t>
      </w:r>
      <w:r w:rsidRPr="00AC77DF">
        <w:t>6</w:t>
      </w:r>
      <w:r w:rsidRPr="00AC77DF">
        <w:t>月止，參與徐</w:t>
      </w:r>
      <w:r w:rsidRPr="00811AA1">
        <w:rPr>
          <w:rFonts w:asciiTheme="majorEastAsia" w:eastAsiaTheme="majorEastAsia" w:hAnsiTheme="majorEastAsia"/>
        </w:rPr>
        <w:t>○○</w:t>
      </w:r>
      <w:r w:rsidRPr="00AC77DF">
        <w:t>非法吸金集團之投資及招攬業務，蔡崇文除投資貸款與徐</w:t>
      </w:r>
      <w:r w:rsidRPr="00811AA1">
        <w:rPr>
          <w:rFonts w:asciiTheme="majorEastAsia" w:eastAsiaTheme="majorEastAsia" w:hAnsiTheme="majorEastAsia"/>
        </w:rPr>
        <w:t>○○</w:t>
      </w:r>
      <w:r w:rsidRPr="00AC77DF">
        <w:t>3,100</w:t>
      </w:r>
      <w:r w:rsidRPr="00AC77DF">
        <w:t>餘萬元獲取月息</w:t>
      </w:r>
      <w:r w:rsidRPr="00AC77DF">
        <w:t>2</w:t>
      </w:r>
      <w:r w:rsidRPr="00AC77DF">
        <w:t>分之利息</w:t>
      </w:r>
      <w:r w:rsidRPr="00AC77DF">
        <w:t>7,000</w:t>
      </w:r>
      <w:r w:rsidRPr="00AC77DF">
        <w:t>萬餘元外，又招攬</w:t>
      </w:r>
      <w:r w:rsidR="00255D08" w:rsidRPr="00DC5EEF">
        <w:rPr>
          <w:rFonts w:hint="eastAsia"/>
        </w:rPr>
        <w:t>潘昇達、吳崇雄、黃煇庭</w:t>
      </w:r>
      <w:r w:rsidRPr="00AC77DF">
        <w:t>及其他投資人共</w:t>
      </w:r>
      <w:r w:rsidRPr="00AC77DF">
        <w:t>17</w:t>
      </w:r>
      <w:r w:rsidRPr="00AC77DF">
        <w:t>人貸款投資，獲取</w:t>
      </w:r>
      <w:r w:rsidRPr="00AC77DF">
        <w:t>1</w:t>
      </w:r>
      <w:r w:rsidRPr="00AC77DF">
        <w:t>至</w:t>
      </w:r>
      <w:r w:rsidRPr="00AC77DF">
        <w:t>3</w:t>
      </w:r>
      <w:r w:rsidRPr="00AC77DF">
        <w:t>個月為</w:t>
      </w:r>
      <w:r w:rsidRPr="00AC77DF">
        <w:t>1</w:t>
      </w:r>
      <w:r w:rsidRPr="00AC77DF">
        <w:t>期、每期保證獲利</w:t>
      </w:r>
      <w:r w:rsidRPr="00AC77DF">
        <w:t>2%</w:t>
      </w:r>
      <w:r w:rsidRPr="00AC77DF">
        <w:t>至</w:t>
      </w:r>
      <w:r w:rsidRPr="00AC77DF">
        <w:t>21%</w:t>
      </w:r>
      <w:r w:rsidRPr="00AC77DF">
        <w:t>之特殊超額利息。</w:t>
      </w:r>
      <w:r w:rsidR="00255D08" w:rsidRPr="00DC5EEF">
        <w:rPr>
          <w:rFonts w:hint="eastAsia"/>
        </w:rPr>
        <w:t>潘昇達、吳崇雄、黃煇庭</w:t>
      </w:r>
      <w:r w:rsidRPr="00AC77DF">
        <w:t>除各貸款投資並獲取特殊超額利息外，再與蔡崇文、徐</w:t>
      </w:r>
      <w:r w:rsidRPr="00811AA1">
        <w:rPr>
          <w:rFonts w:asciiTheme="majorEastAsia" w:eastAsiaTheme="majorEastAsia" w:hAnsiTheme="majorEastAsia"/>
        </w:rPr>
        <w:t>○○</w:t>
      </w:r>
      <w:r w:rsidRPr="00AC77DF">
        <w:t>共同基於非法</w:t>
      </w:r>
      <w:r w:rsidRPr="00AC77DF">
        <w:lastRenderedPageBreak/>
        <w:t>吸收資金經營銀行業務牟取不法利益之犯意，各招攬</w:t>
      </w:r>
      <w:r w:rsidRPr="00AC77DF">
        <w:t>9</w:t>
      </w:r>
      <w:r w:rsidRPr="00AC77DF">
        <w:t>名、</w:t>
      </w:r>
      <w:r w:rsidRPr="00AC77DF">
        <w:t>11</w:t>
      </w:r>
      <w:r w:rsidRPr="00AC77DF">
        <w:t>名、</w:t>
      </w:r>
      <w:r w:rsidRPr="00AC77DF">
        <w:t>8</w:t>
      </w:r>
      <w:r w:rsidRPr="00AC77DF">
        <w:t>名投資人貸款投資，獲取</w:t>
      </w:r>
      <w:r w:rsidRPr="00AC77DF">
        <w:t>1</w:t>
      </w:r>
      <w:r w:rsidRPr="00AC77DF">
        <w:t>至</w:t>
      </w:r>
      <w:r w:rsidRPr="00AC77DF">
        <w:t>3</w:t>
      </w:r>
      <w:r w:rsidRPr="00AC77DF">
        <w:t>個月為</w:t>
      </w:r>
      <w:r w:rsidRPr="00AC77DF">
        <w:t>1</w:t>
      </w:r>
      <w:r w:rsidRPr="00AC77DF">
        <w:t>期、每期</w:t>
      </w:r>
      <w:r w:rsidRPr="00AC77DF">
        <w:t>2%</w:t>
      </w:r>
      <w:r w:rsidRPr="00AC77DF">
        <w:t>至</w:t>
      </w:r>
      <w:r w:rsidRPr="00AC77DF">
        <w:t>15%</w:t>
      </w:r>
      <w:r w:rsidRPr="00AC77DF">
        <w:t>之特殊超額利息，</w:t>
      </w:r>
      <w:r w:rsidR="00255D08" w:rsidRPr="00DC5EEF">
        <w:rPr>
          <w:rFonts w:hint="eastAsia"/>
        </w:rPr>
        <w:t>潘昇達、吳崇雄、黃煇庭</w:t>
      </w:r>
      <w:r w:rsidRPr="00AC77DF">
        <w:t>從中扣取</w:t>
      </w:r>
      <w:r w:rsidRPr="00AC77DF">
        <w:t>1%</w:t>
      </w:r>
      <w:r w:rsidRPr="00AC77DF">
        <w:t>至</w:t>
      </w:r>
      <w:r w:rsidRPr="00AC77DF">
        <w:t>3%</w:t>
      </w:r>
      <w:r w:rsidRPr="00AC77DF">
        <w:t>之佣金。其</w:t>
      </w:r>
      <w:r w:rsidRPr="00AC77DF">
        <w:t>4</w:t>
      </w:r>
      <w:r w:rsidRPr="00AC77DF">
        <w:t>人上開行為，均經檢察官以涉犯普通吸金罪嫌提起公訴，敗壞警察形象甚鉅，嚴重損害政府威信。</w:t>
      </w:r>
    </w:p>
    <w:p w:rsidR="003807A5" w:rsidRPr="00AC77DF" w:rsidRDefault="00597483" w:rsidP="00564517">
      <w:pPr>
        <w:pStyle w:val="1--13"/>
        <w:spacing w:before="180" w:after="180"/>
      </w:pPr>
      <w:r w:rsidRPr="008E1832">
        <w:rPr>
          <w:rFonts w:hint="eastAsia"/>
        </w:rPr>
        <w:t>˙</w:t>
      </w:r>
      <w:r w:rsidR="003807A5" w:rsidRPr="00AC77DF">
        <w:t>員警借錢給不法吸金集團</w:t>
      </w:r>
    </w:p>
    <w:p w:rsidR="003807A5" w:rsidRPr="00AC77DF" w:rsidRDefault="003807A5" w:rsidP="00450E3B">
      <w:pPr>
        <w:pStyle w:val="1---"/>
        <w:ind w:firstLine="480"/>
        <w:rPr>
          <w:b/>
        </w:rPr>
      </w:pPr>
      <w:r w:rsidRPr="00AC77DF">
        <w:t>臺北市政府警察局除</w:t>
      </w:r>
      <w:r w:rsidR="00470B9B" w:rsidRPr="00AC77DF">
        <w:t>蔡崇文</w:t>
      </w:r>
      <w:r w:rsidRPr="00AC77DF">
        <w:t>、</w:t>
      </w:r>
      <w:r w:rsidR="00255D08" w:rsidRPr="00DC5EEF">
        <w:rPr>
          <w:rFonts w:hint="eastAsia"/>
        </w:rPr>
        <w:t>潘昇達、吳崇雄、黃煇庭</w:t>
      </w:r>
      <w:r w:rsidRPr="00AC77DF">
        <w:t>等</w:t>
      </w:r>
      <w:r w:rsidRPr="00AC77DF">
        <w:t>4</w:t>
      </w:r>
      <w:r w:rsidRPr="00AC77DF">
        <w:t>人因不法投資及招攬投資，與不法吸金集團共同違法吸金，經檢察官認涉犯普通吸金罪提起公訴外，該局及警政署保安警察第一總隊共有</w:t>
      </w:r>
      <w:r w:rsidRPr="00AC77DF">
        <w:t>16</w:t>
      </w:r>
      <w:r w:rsidRPr="00AC77DF">
        <w:t>名員警，自</w:t>
      </w:r>
      <w:r w:rsidRPr="00AC77DF">
        <w:t>98</w:t>
      </w:r>
      <w:r w:rsidRPr="00AC77DF">
        <w:t>至</w:t>
      </w:r>
      <w:r w:rsidRPr="00AC77DF">
        <w:t>105</w:t>
      </w:r>
      <w:r w:rsidRPr="00AC77DF">
        <w:t>年期間，直接或間接將錢借予不法吸金集團或同事，以獲取</w:t>
      </w:r>
      <w:r w:rsidRPr="00AC77DF">
        <w:t>1</w:t>
      </w:r>
      <w:r w:rsidRPr="00AC77DF">
        <w:t>至</w:t>
      </w:r>
      <w:r w:rsidRPr="00AC77DF">
        <w:t>3</w:t>
      </w:r>
      <w:r w:rsidRPr="00AC77DF">
        <w:t>個月為</w:t>
      </w:r>
      <w:r w:rsidRPr="00AC77DF">
        <w:t>1</w:t>
      </w:r>
      <w:r w:rsidRPr="00AC77DF">
        <w:t>期、每期</w:t>
      </w:r>
      <w:r w:rsidRPr="00AC77DF">
        <w:t>2%</w:t>
      </w:r>
      <w:r w:rsidRPr="00AC77DF">
        <w:t>至</w:t>
      </w:r>
      <w:r w:rsidRPr="00AC77DF">
        <w:t>21%</w:t>
      </w:r>
      <w:r w:rsidRPr="00AC77DF">
        <w:t>之特殊超額利息，違法投資不法行業，與不法業者接觸交往，未依規定將借貸情形知會政風單位，嚴重損害警察形象。</w:t>
      </w:r>
    </w:p>
    <w:p w:rsidR="003807A5" w:rsidRPr="00AC77DF" w:rsidRDefault="00597483" w:rsidP="00564517">
      <w:pPr>
        <w:pStyle w:val="1--13"/>
        <w:spacing w:before="180" w:after="180"/>
      </w:pPr>
      <w:r w:rsidRPr="008E1832">
        <w:rPr>
          <w:rFonts w:hint="eastAsia"/>
        </w:rPr>
        <w:t>˙</w:t>
      </w:r>
      <w:r w:rsidR="003807A5" w:rsidRPr="00AC77DF">
        <w:t>上級機關監督不周</w:t>
      </w:r>
    </w:p>
    <w:p w:rsidR="003807A5" w:rsidRPr="00AC77DF" w:rsidRDefault="003807A5" w:rsidP="00450E3B">
      <w:pPr>
        <w:pStyle w:val="1---"/>
        <w:ind w:firstLine="480"/>
        <w:rPr>
          <w:b/>
        </w:rPr>
      </w:pPr>
      <w:r w:rsidRPr="00AC77DF">
        <w:t>臺北市政府警察局對於所屬上開</w:t>
      </w:r>
      <w:r w:rsidRPr="00AC77DF">
        <w:t>19</w:t>
      </w:r>
      <w:r w:rsidRPr="00AC77DF">
        <w:t>名員警之違法吸金、違法投資借貸等行為均渾然不知，且</w:t>
      </w:r>
      <w:r w:rsidRPr="00AC77DF">
        <w:t>102</w:t>
      </w:r>
      <w:r w:rsidRPr="00AC77DF">
        <w:t>至</w:t>
      </w:r>
      <w:r w:rsidRPr="00AC77DF">
        <w:t>104</w:t>
      </w:r>
      <w:r w:rsidRPr="00AC77DF">
        <w:t>年之</w:t>
      </w:r>
      <w:r w:rsidRPr="00AC77DF">
        <w:t>3</w:t>
      </w:r>
      <w:r w:rsidRPr="00AC77DF">
        <w:t>年考績，只有</w:t>
      </w:r>
      <w:r w:rsidRPr="00AC77DF">
        <w:t>6</w:t>
      </w:r>
      <w:r w:rsidRPr="00AC77DF">
        <w:t>人</w:t>
      </w:r>
      <w:r w:rsidRPr="00AC77DF">
        <w:t>1</w:t>
      </w:r>
      <w:r w:rsidRPr="00AC77DF">
        <w:t>年乙等，</w:t>
      </w:r>
      <w:r w:rsidRPr="00AC77DF">
        <w:t>2</w:t>
      </w:r>
      <w:r w:rsidRPr="00AC77DF">
        <w:t>人</w:t>
      </w:r>
      <w:r w:rsidRPr="00AC77DF">
        <w:t>2</w:t>
      </w:r>
      <w:r w:rsidRPr="00AC77DF">
        <w:t>年乙等，其餘均為甲等並無乙等。該局對被起訴之</w:t>
      </w:r>
      <w:r w:rsidR="00255D08" w:rsidRPr="00DC5EEF">
        <w:rPr>
          <w:rFonts w:hint="eastAsia"/>
        </w:rPr>
        <w:t>潘昇達、吳崇雄、黃煇庭</w:t>
      </w:r>
      <w:r w:rsidRPr="00AC77DF">
        <w:t>等</w:t>
      </w:r>
      <w:r w:rsidRPr="00AC77DF">
        <w:t>3</w:t>
      </w:r>
      <w:r w:rsidRPr="00AC77DF">
        <w:t>人均給予廉潔自持、品操優良、未發生違法情事等評語，且於</w:t>
      </w:r>
      <w:r w:rsidRPr="00AC77DF">
        <w:t>102</w:t>
      </w:r>
      <w:r w:rsidRPr="00AC77DF">
        <w:t>年給予</w:t>
      </w:r>
      <w:r w:rsidR="00470B9B" w:rsidRPr="00AC77DF">
        <w:t>吳</w:t>
      </w:r>
      <w:r w:rsidR="00255D08">
        <w:rPr>
          <w:rFonts w:asciiTheme="majorEastAsia" w:eastAsiaTheme="majorEastAsia" w:hAnsiTheme="majorEastAsia" w:hint="eastAsia"/>
        </w:rPr>
        <w:t>崇雄</w:t>
      </w:r>
      <w:r w:rsidRPr="00AC77DF">
        <w:t>警英榮譽勳章，並榮獲全國模範警察。警政署對於所屬上開</w:t>
      </w:r>
      <w:r w:rsidRPr="00AC77DF">
        <w:t>1</w:t>
      </w:r>
      <w:r w:rsidRPr="00AC77DF">
        <w:t>名員警之違法投資借貸行為亦渾然不知，</w:t>
      </w:r>
      <w:r w:rsidRPr="00AC77DF">
        <w:t>102</w:t>
      </w:r>
      <w:r w:rsidRPr="00AC77DF">
        <w:t>至</w:t>
      </w:r>
      <w:r w:rsidRPr="00AC77DF">
        <w:t>104</w:t>
      </w:r>
      <w:r w:rsidRPr="00AC77DF">
        <w:t>年之</w:t>
      </w:r>
      <w:r w:rsidRPr="00AC77DF">
        <w:t>3</w:t>
      </w:r>
      <w:r w:rsidRPr="00AC77DF">
        <w:t>年考績每年均為甲等，且給予廉潔自持、品操優良、未發生違法</w:t>
      </w:r>
      <w:r w:rsidRPr="00AC77DF">
        <w:lastRenderedPageBreak/>
        <w:t>情事等評語。該局及該署各級長官歷年考核流於形式，內部監督考核功能不彰；另警政署之督察體系未能掌握員警風紀預警情資，防弊機制失靈，事後對涉案情節明確之員警又未即時懲處，難收警惕效尤。</w:t>
      </w:r>
    </w:p>
    <w:p w:rsidR="003807A5" w:rsidRPr="00AC77DF" w:rsidRDefault="003807A5" w:rsidP="00450E3B">
      <w:pPr>
        <w:pStyle w:val="1---"/>
        <w:ind w:firstLine="480"/>
      </w:pPr>
      <w:r w:rsidRPr="00AC77DF">
        <w:t>警政署應記取本次員警違法、違紀教訓，督導所屬厲行整飭員警風紀，除利用各縣市警察局「週報</w:t>
      </w:r>
      <w:r w:rsidRPr="000E0813">
        <w:rPr>
          <w:spacing w:val="-28"/>
        </w:rPr>
        <w:t>」、</w:t>
      </w:r>
      <w:r w:rsidRPr="00AC77DF">
        <w:t>「晨報」及其他適當場合，加強案例宣導；並應轉飭所屬進行全面清查，加強違法風紀情蒐，</w:t>
      </w:r>
      <w:r w:rsidR="000E7B4A">
        <w:rPr>
          <w:rFonts w:hint="eastAsia"/>
        </w:rPr>
        <w:t>避</w:t>
      </w:r>
      <w:r w:rsidRPr="00AC77DF">
        <w:t>免員警涉入違法或不當投資及投機事業情事。</w:t>
      </w:r>
    </w:p>
    <w:p w:rsidR="003807A5" w:rsidRPr="00AC77DF" w:rsidRDefault="00597483" w:rsidP="00564517">
      <w:pPr>
        <w:pStyle w:val="1--13"/>
        <w:spacing w:before="180" w:after="180"/>
      </w:pPr>
      <w:r w:rsidRPr="008E1832">
        <w:rPr>
          <w:rFonts w:hint="eastAsia"/>
        </w:rPr>
        <w:t>˙</w:t>
      </w:r>
      <w:r w:rsidR="003807A5" w:rsidRPr="00AC77DF">
        <w:t>正視違法吸金問題</w:t>
      </w:r>
    </w:p>
    <w:p w:rsidR="003807A5" w:rsidRPr="00AC77DF" w:rsidRDefault="003807A5" w:rsidP="00450E3B">
      <w:pPr>
        <w:pStyle w:val="1---"/>
        <w:ind w:firstLine="480"/>
        <w:rPr>
          <w:b/>
        </w:rPr>
      </w:pPr>
      <w:r w:rsidRPr="00AC77DF">
        <w:t>警政署刑事警察局於</w:t>
      </w:r>
      <w:r w:rsidRPr="00AC77DF">
        <w:t>101</w:t>
      </w:r>
      <w:r w:rsidRPr="00AC77DF">
        <w:t>年至</w:t>
      </w:r>
      <w:r w:rsidRPr="00AC77DF">
        <w:t>105</w:t>
      </w:r>
      <w:r w:rsidRPr="00AC77DF">
        <w:t>年期間查獲之經濟犯罪高達</w:t>
      </w:r>
      <w:r w:rsidRPr="00AC77DF">
        <w:t>73</w:t>
      </w:r>
      <w:r w:rsidRPr="00AC77DF">
        <w:t>件，顯見國內經濟犯罪甚為猖獗，行政院</w:t>
      </w:r>
      <w:r w:rsidR="005D1E8F">
        <w:t>應</w:t>
      </w:r>
      <w:r w:rsidRPr="00AC77DF">
        <w:t>正視違法吸金經濟犯罪問題，督飭主管機關謀求解決，以保障投資人基本權益。</w:t>
      </w:r>
    </w:p>
    <w:p w:rsidR="003807A5" w:rsidRPr="00AC77DF" w:rsidRDefault="003807A5" w:rsidP="00450E3B">
      <w:pPr>
        <w:pStyle w:val="1---"/>
        <w:ind w:firstLine="480"/>
        <w:rPr>
          <w:b/>
        </w:rPr>
      </w:pPr>
      <w:r w:rsidRPr="00AC77DF">
        <w:t>依據本案調查意見</w:t>
      </w:r>
      <w:r w:rsidRPr="00AC77DF">
        <w:rPr>
          <w:rStyle w:val="aff2"/>
          <w:rFonts w:eastAsiaTheme="minorEastAsia"/>
        </w:rPr>
        <w:footnoteReference w:id="121"/>
      </w:r>
      <w:r w:rsidRPr="00AC77DF">
        <w:t>，蔡崇文違失情節重大，經監察院彈劾。</w:t>
      </w:r>
      <w:r w:rsidR="00255D08" w:rsidRPr="00255D08">
        <w:rPr>
          <w:rFonts w:hint="eastAsia"/>
        </w:rPr>
        <w:t>吳崇雄、潘昇達及黃煇庭</w:t>
      </w:r>
      <w:r w:rsidRPr="00AC77DF">
        <w:t>涉及違失部分，函請警政署逕送公懲會審理。糾正臺北市政府警察局及警政署，並請該署議處相關人員見復；另函請行政院督飭所屬研處見復。</w:t>
      </w:r>
    </w:p>
    <w:p w:rsidR="003807A5" w:rsidRPr="00AC77DF" w:rsidRDefault="004A0984" w:rsidP="000B692A">
      <w:pPr>
        <w:pStyle w:val="afff1"/>
        <w:spacing w:before="360" w:after="360"/>
      </w:pPr>
      <w:bookmarkStart w:id="567" w:name="_Toc531362532"/>
      <w:r>
        <w:rPr>
          <w:rFonts w:hint="eastAsia"/>
        </w:rPr>
        <w:t>(三)</w:t>
      </w:r>
      <w:r w:rsidR="003807A5" w:rsidRPr="00AC77DF">
        <w:t>政府機關改善情形</w:t>
      </w:r>
      <w:bookmarkEnd w:id="567"/>
    </w:p>
    <w:p w:rsidR="003807A5" w:rsidRPr="00AC77DF" w:rsidRDefault="003807A5" w:rsidP="00425EE5">
      <w:pPr>
        <w:pStyle w:val="1----"/>
        <w:ind w:left="600" w:hanging="360"/>
        <w:rPr>
          <w:b/>
        </w:rPr>
      </w:pPr>
      <w:r w:rsidRPr="00AC77DF">
        <w:t>1</w:t>
      </w:r>
      <w:r w:rsidRPr="00AC77DF">
        <w:t>、蔡崇文經</w:t>
      </w:r>
      <w:r>
        <w:rPr>
          <w:rFonts w:hint="eastAsia"/>
        </w:rPr>
        <w:t>公懲會</w:t>
      </w:r>
      <w:r w:rsidRPr="00AC77DF">
        <w:t>106</w:t>
      </w:r>
      <w:r w:rsidRPr="00AC77DF">
        <w:t>年度澄字第</w:t>
      </w:r>
      <w:r w:rsidRPr="00AC77DF">
        <w:t>3495</w:t>
      </w:r>
      <w:r w:rsidRPr="00AC77DF">
        <w:t>號裁定，牽涉犯罪是否成立者有必要，爰依公務員懲戒法第</w:t>
      </w:r>
      <w:r w:rsidRPr="00AC77DF">
        <w:t>39</w:t>
      </w:r>
      <w:r w:rsidRPr="00AC77DF">
        <w:t>條第</w:t>
      </w:r>
      <w:r w:rsidRPr="00AC77DF">
        <w:t>1</w:t>
      </w:r>
      <w:r w:rsidRPr="00AC77DF">
        <w:t>項但</w:t>
      </w:r>
      <w:r w:rsidRPr="00AC77DF">
        <w:lastRenderedPageBreak/>
        <w:t>書規定，於第一審刑事判決前，停止審理程序；至有關</w:t>
      </w:r>
      <w:r w:rsidR="00255D08">
        <w:rPr>
          <w:rFonts w:asciiTheme="minorEastAsia" w:eastAsiaTheme="minorEastAsia" w:hAnsiTheme="minorEastAsia" w:hint="eastAsia"/>
        </w:rPr>
        <w:t>吳崇雄、潘昇達及黃煇庭</w:t>
      </w:r>
      <w:r w:rsidRPr="00AC77DF">
        <w:t>涉及違失部分，臺北市政府已移送公懲會審理。</w:t>
      </w:r>
    </w:p>
    <w:p w:rsidR="003807A5" w:rsidRPr="00AC77DF" w:rsidRDefault="003807A5" w:rsidP="00425EE5">
      <w:pPr>
        <w:pStyle w:val="1----"/>
        <w:ind w:left="600" w:hanging="360"/>
        <w:rPr>
          <w:b/>
        </w:rPr>
      </w:pPr>
      <w:r w:rsidRPr="00AC77DF">
        <w:t>2</w:t>
      </w:r>
      <w:r w:rsidRPr="00AC77DF">
        <w:t>、本案行政院已督飭相關權責機關通盤檢討，除針對經濟犯罪防制及偵查擬訂相關查核機制及具體策進作為，警政署亦懲處失職人員，並清查涉案員警親屬或其他員警有無涉案。</w:t>
      </w:r>
    </w:p>
    <w:p w:rsidR="003807A5" w:rsidRPr="00AC77DF" w:rsidRDefault="004A0984" w:rsidP="000E0813">
      <w:pPr>
        <w:pStyle w:val="afff1"/>
        <w:spacing w:before="360" w:after="360"/>
        <w:rPr>
          <w:lang w:eastAsia="zh-HK"/>
        </w:rPr>
      </w:pPr>
      <w:bookmarkStart w:id="568" w:name="_Toc531362533"/>
      <w:r>
        <w:rPr>
          <w:rFonts w:hint="eastAsia"/>
        </w:rPr>
        <w:t>(四)</w:t>
      </w:r>
      <w:r w:rsidR="003807A5" w:rsidRPr="00AC77DF">
        <w:rPr>
          <w:lang w:eastAsia="zh-HK"/>
        </w:rPr>
        <w:t>案件進展</w:t>
      </w:r>
      <w:bookmarkEnd w:id="568"/>
    </w:p>
    <w:p w:rsidR="003807A5" w:rsidRPr="00AC77DF" w:rsidRDefault="003807A5" w:rsidP="00450E3B">
      <w:pPr>
        <w:pStyle w:val="1---"/>
        <w:ind w:firstLine="480"/>
      </w:pPr>
      <w:r w:rsidRPr="00AC77DF">
        <w:t>本案在監察院詳盡調查監督及後續追蹤下，已產生具體成果，惟為求毋枉毋縱，監察院仍持續追蹤主管機關辦理情形，俾維警察風紀及其優良形象。</w:t>
      </w:r>
    </w:p>
    <w:p w:rsidR="003807A5" w:rsidRPr="00AC77DF" w:rsidRDefault="00ED7809" w:rsidP="00ED7809">
      <w:pPr>
        <w:pStyle w:val="1--16"/>
        <w:spacing w:before="180" w:after="180"/>
      </w:pPr>
      <w:bookmarkStart w:id="569" w:name="_Toc531362534"/>
      <w:bookmarkStart w:id="570" w:name="_Toc535228403"/>
      <w:bookmarkStart w:id="571" w:name="_Toc4058814"/>
      <w:r>
        <w:rPr>
          <w:rFonts w:hint="eastAsia"/>
        </w:rPr>
        <w:t>◆</w:t>
      </w:r>
      <w:r w:rsidR="003807A5" w:rsidRPr="00AC77DF">
        <w:rPr>
          <w:lang w:eastAsia="zh-HK"/>
        </w:rPr>
        <w:t>評析</w:t>
      </w:r>
      <w:bookmarkEnd w:id="569"/>
      <w:bookmarkEnd w:id="570"/>
      <w:bookmarkEnd w:id="571"/>
    </w:p>
    <w:p w:rsidR="003807A5" w:rsidRPr="00AC77DF" w:rsidRDefault="003807A5" w:rsidP="00450E3B">
      <w:pPr>
        <w:pStyle w:val="1---"/>
        <w:ind w:firstLine="480"/>
      </w:pPr>
      <w:r w:rsidRPr="00AC77DF">
        <w:t>世界人權宣言提出，人人生而自由，在尊嚴和權利上一律平等；人人都有資格享受本宣言所載的一切權利和自由，不</w:t>
      </w:r>
      <w:r w:rsidR="000E210E">
        <w:rPr>
          <w:rFonts w:hint="eastAsia"/>
          <w:lang w:eastAsia="zh-TW"/>
        </w:rPr>
        <w:t>分</w:t>
      </w:r>
      <w:r w:rsidRPr="00AC77DF">
        <w:t>種族、膚色、性別、語言、宗教、政治或其他見解、國籍或社會出身、財產、出生或其他身</w:t>
      </w:r>
      <w:r w:rsidR="00B130E4">
        <w:rPr>
          <w:rFonts w:hint="eastAsia"/>
        </w:rPr>
        <w:t>分</w:t>
      </w:r>
      <w:r w:rsidRPr="00AC77DF">
        <w:t>等任何區別。這些權利和自由又可分為公民及政治權利與經濟、社會和文化權利兩大類。前者包括生命權、人身權、不受奴役和酷刑權、人格權、法律面前人人平等權、無罪推定權、財產所有權、婚姻家庭權、思想良心和宗教自由權、參政權和選舉權等；而後者則含括工作權、同工同酬權、休息和定期帶薪休假權、組織和參加工會權、受教育權、社會保障和享受適當生活水準權、參加文化生活權</w:t>
      </w:r>
      <w:r w:rsidRPr="00AC77DF">
        <w:lastRenderedPageBreak/>
        <w:t>等。是以財產權廣義而言，涵蓋公民與政治權利中的財產所有權，與經濟社會文化權利中之薪酬權、居住權等之支配權利範疇。</w:t>
      </w:r>
    </w:p>
    <w:p w:rsidR="003807A5" w:rsidRPr="00AC77DF" w:rsidRDefault="003807A5" w:rsidP="00450E3B">
      <w:pPr>
        <w:pStyle w:val="1---"/>
        <w:ind w:firstLine="480"/>
      </w:pPr>
      <w:r w:rsidRPr="00AC77DF">
        <w:t>物質乃一個人生存之基礎，也是一個人有能力選擇偏好的生存方式之條件，故財產權實乃生命權和自由權的延伸。為保障生命權與自由權，國家有必要確保人人之自我勞動所得享有排他性的占有。人能夠工作，並靠勞動成果生活，或把剩餘的錢留供子女或自己晚年之用，均屬人類尊嚴的一部分</w:t>
      </w:r>
      <w:r w:rsidRPr="00AC77DF">
        <w:rPr>
          <w:rStyle w:val="aff2"/>
        </w:rPr>
        <w:footnoteReference w:id="122"/>
      </w:r>
      <w:r w:rsidRPr="00AC77DF">
        <w:t>。是以，財產權看似是一種物權，但其實質為人支配物，即支配自己正當所得的權利。</w:t>
      </w:r>
    </w:p>
    <w:p w:rsidR="003807A5" w:rsidRPr="00AC77DF" w:rsidRDefault="003807A5" w:rsidP="00450E3B">
      <w:pPr>
        <w:pStyle w:val="1---"/>
        <w:ind w:firstLine="480"/>
      </w:pPr>
      <w:r w:rsidRPr="00AC77DF">
        <w:t>一般而言，國家應以制度保障人民的財產權，然憲法亦認同國家在不違反憲法第</w:t>
      </w:r>
      <w:r w:rsidRPr="00AC77DF">
        <w:t>23</w:t>
      </w:r>
      <w:r w:rsidRPr="00AC77DF">
        <w:t>條比例原則之範圍內，得對於人民之財產權予以限制，然此一定要遵循法律保留原則。此外，國家政策或措施不當，亦可能間接損及人民財產權。本章摘錄</w:t>
      </w:r>
      <w:r w:rsidRPr="00AC77DF">
        <w:t>3</w:t>
      </w:r>
      <w:r w:rsidRPr="00AC77DF">
        <w:t>件與制度面相關之案件，包括電信詐欺與跨國洗錢案、董事會薪酬爭議案及</w:t>
      </w:r>
      <w:r w:rsidRPr="00AC77DF">
        <w:rPr>
          <w:color w:val="000000" w:themeColor="text1"/>
        </w:rPr>
        <w:t>查扣贓物責付被害人保管遭遺失案</w:t>
      </w:r>
      <w:r w:rsidRPr="00AC77DF">
        <w:t>。案經監察院調查後，業經主管機關檢討並進行改善與宣導。</w:t>
      </w:r>
    </w:p>
    <w:p w:rsidR="003807A5" w:rsidRPr="00AC77DF" w:rsidRDefault="003807A5" w:rsidP="00450E3B">
      <w:pPr>
        <w:pStyle w:val="1---"/>
        <w:ind w:firstLine="480"/>
      </w:pPr>
      <w:r w:rsidRPr="00AC77DF">
        <w:t>除了制度面違失外，在執行面上亦可能發生主管機關違失情事。</w:t>
      </w:r>
      <w:r w:rsidR="003D5D00">
        <w:rPr>
          <w:rFonts w:hint="eastAsia"/>
        </w:rPr>
        <w:t>國際透明組織（</w:t>
      </w:r>
      <w:r w:rsidR="003D5D00">
        <w:rPr>
          <w:rFonts w:hint="eastAsia"/>
        </w:rPr>
        <w:t>T</w:t>
      </w:r>
      <w:r w:rsidR="003D5D00">
        <w:rPr>
          <w:rFonts w:hint="eastAsia"/>
          <w:lang w:eastAsia="zh-TW"/>
        </w:rPr>
        <w:t>ransparency International</w:t>
      </w:r>
      <w:r w:rsidR="003D5D00">
        <w:rPr>
          <w:rFonts w:hint="eastAsia"/>
        </w:rPr>
        <w:t>）</w:t>
      </w:r>
      <w:r w:rsidR="00736838">
        <w:rPr>
          <w:rFonts w:hint="eastAsia"/>
        </w:rPr>
        <w:t>提出</w:t>
      </w:r>
      <w:r w:rsidR="003D5D00">
        <w:rPr>
          <w:rFonts w:hint="eastAsia"/>
        </w:rPr>
        <w:t>腐敗乃造成一國貧困的主因，且使得海外投資</w:t>
      </w:r>
      <w:r w:rsidR="00A572D2">
        <w:rPr>
          <w:rFonts w:hint="eastAsia"/>
        </w:rPr>
        <w:t>止步。</w:t>
      </w:r>
      <w:r w:rsidR="003D5D00">
        <w:t>1996</w:t>
      </w:r>
      <w:r w:rsidR="003D5D00">
        <w:rPr>
          <w:rFonts w:hint="eastAsia"/>
        </w:rPr>
        <w:t>年聯合國發布「公務員行為國際規範</w:t>
      </w:r>
      <w:r w:rsidR="003D5D00" w:rsidRPr="00F90655">
        <w:rPr>
          <w:rFonts w:hint="eastAsia"/>
          <w:spacing w:val="-28"/>
        </w:rPr>
        <w:t>」</w:t>
      </w:r>
      <w:r w:rsidR="003D5D00">
        <w:rPr>
          <w:rFonts w:hint="eastAsia"/>
        </w:rPr>
        <w:t>，要求公務員不應利用公職權威，謀求本身或家族不當財政利益。</w:t>
      </w:r>
      <w:r w:rsidR="003D5D00">
        <w:rPr>
          <w:rFonts w:hint="eastAsia"/>
        </w:rPr>
        <w:t>2003</w:t>
      </w:r>
      <w:r w:rsidR="003D5D00">
        <w:rPr>
          <w:rFonts w:hint="eastAsia"/>
        </w:rPr>
        <w:t>年聯合國「反貪污公約」更明確規範，政府採購、賄賂、不法致富、侵占、不當挪用、</w:t>
      </w:r>
      <w:r w:rsidR="003D5D00">
        <w:rPr>
          <w:rFonts w:hint="eastAsia"/>
        </w:rPr>
        <w:lastRenderedPageBreak/>
        <w:t>洗錢、保障檢舉人、凍結資產及各國合作等議題之重要性。</w:t>
      </w:r>
      <w:r w:rsidRPr="00AC77DF">
        <w:t>本章摘錄申請變更建造執照遭刁難案、區段徵收涉違失案、臨時攤販集中場建物未善盡管理職責、執照審查未臻嚴謹案、不當處理投信結構債事件及</w:t>
      </w:r>
      <w:r w:rsidRPr="00AC77DF">
        <w:rPr>
          <w:szCs w:val="36"/>
        </w:rPr>
        <w:t>警察投資吸金集團案</w:t>
      </w:r>
      <w:r w:rsidRPr="00AC77DF">
        <w:t>等</w:t>
      </w:r>
      <w:r w:rsidRPr="00AC77DF">
        <w:t>6</w:t>
      </w:r>
      <w:r w:rsidRPr="00AC77DF">
        <w:t>案，顯示主管機關之作為與不作為，或執法人員之違失，皆可能損及人民財產權益。案經監察院調查後，相關機關已提出各種方案或採行改進措施。</w:t>
      </w:r>
    </w:p>
    <w:p w:rsidR="00F90655" w:rsidRDefault="00F90655" w:rsidP="00274413">
      <w:pPr>
        <w:pStyle w:val="1---"/>
        <w:spacing w:after="180"/>
        <w:ind w:firstLine="480"/>
        <w:rPr>
          <w:lang w:eastAsia="zh-TW"/>
        </w:rPr>
      </w:pPr>
    </w:p>
    <w:p w:rsidR="00F90655" w:rsidRDefault="00F90655" w:rsidP="00274413">
      <w:pPr>
        <w:pStyle w:val="1---"/>
        <w:spacing w:after="180"/>
        <w:ind w:firstLine="480"/>
        <w:sectPr w:rsidR="00F90655" w:rsidSect="00037CD1">
          <w:headerReference w:type="default" r:id="rId27"/>
          <w:pgSz w:w="8392" w:h="11907" w:code="11"/>
          <w:pgMar w:top="1701" w:right="794" w:bottom="1134" w:left="964" w:header="624" w:footer="397" w:gutter="0"/>
          <w:cols w:space="425"/>
          <w:docGrid w:type="lines" w:linePitch="360"/>
        </w:sectPr>
      </w:pPr>
    </w:p>
    <w:p w:rsidR="003807A5" w:rsidRPr="00AC77DF" w:rsidRDefault="003807A5" w:rsidP="00B125A4">
      <w:pPr>
        <w:pStyle w:val="1--"/>
        <w:spacing w:after="180"/>
      </w:pPr>
      <w:bookmarkStart w:id="572" w:name="_Toc535228404"/>
      <w:bookmarkStart w:id="573" w:name="_Toc4058815"/>
      <w:r w:rsidRPr="00AC77DF">
        <w:lastRenderedPageBreak/>
        <w:t>第八章</w:t>
      </w:r>
      <w:r w:rsidRPr="00AC77DF">
        <w:rPr>
          <w:rFonts w:ascii="細明體" w:eastAsia="細明體" w:hAnsi="細明體" w:cs="細明體" w:hint="eastAsia"/>
        </w:rPr>
        <w:t xml:space="preserve">　</w:t>
      </w:r>
      <w:r w:rsidRPr="00AC77DF">
        <w:rPr>
          <w:noProof/>
        </w:rPr>
        <mc:AlternateContent>
          <mc:Choice Requires="wps">
            <w:drawing>
              <wp:anchor distT="0" distB="0" distL="114300" distR="114300" simplePos="0" relativeHeight="251895808" behindDoc="0" locked="1" layoutInCell="1" allowOverlap="1" wp14:anchorId="0FDA7CAC" wp14:editId="4BED958B">
                <wp:simplePos x="0" y="0"/>
                <wp:positionH relativeFrom="column">
                  <wp:posOffset>7989570</wp:posOffset>
                </wp:positionH>
                <wp:positionV relativeFrom="paragraph">
                  <wp:posOffset>-773430</wp:posOffset>
                </wp:positionV>
                <wp:extent cx="635000" cy="317500"/>
                <wp:effectExtent l="0" t="0" r="0" b="0"/>
                <wp:wrapNone/>
                <wp:docPr id="51" name="記錄"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832" w:rsidRDefault="00970832" w:rsidP="00435D8C">
                            <w:pPr>
                              <w:jc w:val="center"/>
                              <w:rPr>
                                <w:sz w:val="18"/>
                              </w:rPr>
                            </w:pPr>
                            <w:r>
                              <w:rPr>
                                <w:sz w:val="18"/>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7" type="#_x0000_t202" style="position:absolute;left:0;text-align:left;margin-left:629.1pt;margin-top:-60.9pt;width:50pt;height:25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" stroked="f">
                <v:textbox>
                  <w:txbxContent>
                    <w:p w:rsidR="00895792" w:rsidRDefault="00895792" w:rsidP="00435D8C">
                      <w:pPr>
                        <w:jc w:val="center"/>
                        <w:rPr>
                          <w:sz w:val="18"/>
                        </w:rPr>
                      </w:pPr>
                      <w:r>
                        <w:rPr>
                          <w:sz w:val="18"/>
                        </w:rPr>
                        <w:t>00</w:t>
                      </w:r>
                    </w:p>
                  </w:txbxContent>
                </v:textbox>
                <w10:anchorlock/>
              </v:shape>
            </w:pict>
          </mc:Fallback>
        </mc:AlternateContent>
      </w:r>
      <w:r w:rsidRPr="00AC77DF">
        <w:rPr>
          <w:noProof/>
        </w:rPr>
        <mc:AlternateContent>
          <mc:Choice Requires="wpg">
            <w:drawing>
              <wp:anchor distT="0" distB="0" distL="114300" distR="114300" simplePos="0" relativeHeight="251894784" behindDoc="0" locked="1" layoutInCell="0" allowOverlap="1" wp14:anchorId="748EE523" wp14:editId="28F96248">
                <wp:simplePos x="0" y="0"/>
                <wp:positionH relativeFrom="column">
                  <wp:posOffset>-1941830</wp:posOffset>
                </wp:positionH>
                <wp:positionV relativeFrom="paragraph">
                  <wp:posOffset>-183515</wp:posOffset>
                </wp:positionV>
                <wp:extent cx="149225" cy="8839200"/>
                <wp:effectExtent l="0" t="0" r="3175" b="19050"/>
                <wp:wrapNone/>
                <wp:docPr id="52" name="裝訂線"/>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39200"/>
                          <a:chOff x="745" y="1414"/>
                          <a:chExt cx="235" cy="13920"/>
                        </a:xfrm>
                      </wpg:grpSpPr>
                      <wps:wsp>
                        <wps:cNvPr id="53" name="Line 13"/>
                        <wps:cNvCnPr/>
                        <wps:spPr bwMode="auto">
                          <a:xfrm>
                            <a:off x="851" y="1414"/>
                            <a:ext cx="0" cy="139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 name="Text Box 14"/>
                        <wps:cNvSpPr txBox="1">
                          <a:spLocks noChangeArrowheads="1"/>
                        </wps:cNvSpPr>
                        <wps:spPr bwMode="auto">
                          <a:xfrm>
                            <a:off x="745" y="5523"/>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435D8C">
                              <w:pPr>
                                <w:kinsoku w:val="0"/>
                                <w:wordWrap w:val="0"/>
                                <w:overflowPunct w:val="0"/>
                                <w:rPr>
                                  <w:sz w:val="20"/>
                                </w:rPr>
                              </w:pPr>
                              <w:r>
                                <w:rPr>
                                  <w:rFonts w:hint="eastAsia"/>
                                  <w:sz w:val="20"/>
                                </w:rPr>
                                <w:t>裝</w:t>
                              </w:r>
                            </w:p>
                          </w:txbxContent>
                        </wps:txbx>
                        <wps:bodyPr rot="0" vert="horz" wrap="square" lIns="0" tIns="0" rIns="0" bIns="0" anchor="t" anchorCtr="0" upright="1">
                          <a:noAutofit/>
                        </wps:bodyPr>
                      </wps:wsp>
                      <wps:wsp>
                        <wps:cNvPr id="55" name="Text Box 15"/>
                        <wps:cNvSpPr txBox="1">
                          <a:spLocks noChangeArrowheads="1"/>
                        </wps:cNvSpPr>
                        <wps:spPr bwMode="auto">
                          <a:xfrm>
                            <a:off x="745" y="8312"/>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435D8C">
                              <w:pPr>
                                <w:kinsoku w:val="0"/>
                                <w:wordWrap w:val="0"/>
                                <w:overflowPunct w:val="0"/>
                                <w:rPr>
                                  <w:sz w:val="20"/>
                                </w:rPr>
                              </w:pPr>
                              <w:r>
                                <w:rPr>
                                  <w:rFonts w:hint="eastAsia"/>
                                  <w:sz w:val="20"/>
                                </w:rPr>
                                <w:t>訂</w:t>
                              </w:r>
                            </w:p>
                          </w:txbxContent>
                        </wps:txbx>
                        <wps:bodyPr rot="0" vert="horz" wrap="square" lIns="0" tIns="0" rIns="0" bIns="0" anchor="t" anchorCtr="0" upright="1">
                          <a:noAutofit/>
                        </wps:bodyPr>
                      </wps:wsp>
                      <wps:wsp>
                        <wps:cNvPr id="56" name="Text Box 16"/>
                        <wps:cNvSpPr txBox="1">
                          <a:spLocks noChangeArrowheads="1"/>
                        </wps:cNvSpPr>
                        <wps:spPr bwMode="auto">
                          <a:xfrm>
                            <a:off x="745" y="11127"/>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435D8C">
                              <w:pPr>
                                <w:kinsoku w:val="0"/>
                                <w:wordWrap w:val="0"/>
                                <w:overflowPunct w:val="0"/>
                                <w:rPr>
                                  <w:sz w:val="20"/>
                                </w:rPr>
                              </w:pPr>
                              <w:r>
                                <w:rPr>
                                  <w:rFonts w:hint="eastAsia"/>
                                  <w:sz w:val="20"/>
                                </w:rPr>
                                <w:t>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18" style="position:absolute;left:0;text-align:left;margin-left:-152.9pt;margin-top:-14.45pt;width:11.75pt;height:696pt;z-index:251894784" coordorigin="745,1414" coordsize="235,1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" o:allowincell="f">
                <v:line id="Line 13" o:spid="_x0000_s1119" style="position:absolute;visibility:visible;mso-wrap-style:square" from="851,1414" to="851,1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NmY8UAAADbAAAADwAAAGRycy9kb3ducmV2LnhtbESPT0vDQBTE7wW/w/IEb81Gi9rGbooW&#10;hPrv0LSCx0f2ZTeYfRuyaxu/vSsUehxm5jfMcjW6ThxoCK1nBddZDoK49rplo2C/e57OQYSIrLHz&#10;TAp+KcCqvJgssdD+yFs6VNGIBOFQoAIbY19IGWpLDkPme+LkNX5wGJMcjNQDHhPcdfImz++kw5bT&#10;gsWe1pbq7+rHKXi733Sfhr+q95cmPPnF61Z+GKvU1eX4+AAi0hjP4VN7oxXczuD/S/oBs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qNmY8UAAADbAAAADwAAAAAAAAAA&#10;AAAAAAChAgAAZHJzL2Rvd25yZXYueG1sUEsFBgAAAAAEAAQA+QAAAJMDAAAAAA==&#10;">
                  <v:stroke dashstyle="1 1"/>
                </v:line>
                <v:shape id="Text Box 14" o:spid="_x0000_s1120" type="#_x0000_t202" style="position:absolute;left:745;top:5523;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4dsMA&#10;AADbAAAADwAAAGRycy9kb3ducmV2LnhtbESPQYvCMBSE7wv+h/AEb5oq20WqUVRWdl28qEU8Pppn&#10;W2xeShO1/nsjCHscZuYbZjpvTSVu1LjSsoLhIAJBnFldcq4gPaz7YxDOI2usLJOCBzmYzzofU0y0&#10;vfOObnufiwBhl6CCwvs6kdJlBRl0A1sTB+9sG4M+yCaXusF7gJtKjqLoSxosOSwUWNOqoOyyvxoF&#10;G32UyziNdtnppH++19s4Hf3FSvW67WICwlPr/8Pv9q9WEH/C60v4A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4dsMAAADbAAAADwAAAAAAAAAAAAAAAACYAgAAZHJzL2Rv&#10;d25yZXYueG1sUEsFBgAAAAAEAAQA9QAAAIgDAAAAAA==&#10;" filled="f" stroked="f">
                  <v:stroke dashstyle="1 1"/>
                  <v:textbox inset="0,0,0,0">
                    <w:txbxContent>
                      <w:p w:rsidR="00895792" w:rsidRDefault="00895792" w:rsidP="00435D8C">
                        <w:pPr>
                          <w:kinsoku w:val="0"/>
                          <w:wordWrap w:val="0"/>
                          <w:overflowPunct w:val="0"/>
                          <w:rPr>
                            <w:sz w:val="20"/>
                          </w:rPr>
                        </w:pPr>
                        <w:r>
                          <w:rPr>
                            <w:rFonts w:hint="eastAsia"/>
                            <w:sz w:val="20"/>
                          </w:rPr>
                          <w:t>裝</w:t>
                        </w:r>
                      </w:p>
                    </w:txbxContent>
                  </v:textbox>
                </v:shape>
                <v:shape id="Text Box 15" o:spid="_x0000_s1121" type="#_x0000_t202" style="position:absolute;left:745;top:8312;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zd7cQA&#10;AADbAAAADwAAAGRycy9kb3ducmV2LnhtbESPQWvCQBSE7wX/w/IEb3WjsKWkboKVirb0Eg3F4yP7&#10;TEKzb0N2q/HfdwsFj8PMfMOs8tF24kKDbx1rWMwTEMSVMy3XGsrj9vEZhA/IBjvHpOFGHvJs8rDC&#10;1LgrF3Q5hFpECPsUNTQh9KmUvmrIop+7njh6ZzdYDFEOtTQDXiPcdnKZJE/SYstxocGeNg1V34cf&#10;q+HdfMlXVSZFdTqZ3dv2U5XLD6X1bDquX0AEGsM9/N/eGw1Kwd+X+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s3e3EAAAA2wAAAA8AAAAAAAAAAAAAAAAAmAIAAGRycy9k&#10;b3ducmV2LnhtbFBLBQYAAAAABAAEAPUAAACJAwAAAAA=&#10;" filled="f" stroked="f">
                  <v:stroke dashstyle="1 1"/>
                  <v:textbox inset="0,0,0,0">
                    <w:txbxContent>
                      <w:p w:rsidR="00895792" w:rsidRDefault="00895792" w:rsidP="00435D8C">
                        <w:pPr>
                          <w:kinsoku w:val="0"/>
                          <w:wordWrap w:val="0"/>
                          <w:overflowPunct w:val="0"/>
                          <w:rPr>
                            <w:sz w:val="20"/>
                          </w:rPr>
                        </w:pPr>
                        <w:r>
                          <w:rPr>
                            <w:rFonts w:hint="eastAsia"/>
                            <w:sz w:val="20"/>
                          </w:rPr>
                          <w:t>訂</w:t>
                        </w:r>
                      </w:p>
                    </w:txbxContent>
                  </v:textbox>
                </v:shape>
                <v:shape id="Text Box 16" o:spid="_x0000_s1122" type="#_x0000_t202" style="position:absolute;left:745;top:11127;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5DmsMA&#10;AADbAAAADwAAAGRycy9kb3ducmV2LnhtbESPT4vCMBTE7wt+h/AEb2uqUJFqlFUU/+BFLYvHR/O2&#10;Ldu8lCZq/fZGEDwOM/MbZjpvTSVu1LjSsoJBPwJBnFldcq4gPa+/xyCcR9ZYWSYFD3Iwn3W+ppho&#10;e+cj3U4+FwHCLkEFhfd1IqXLCjLo+rYmDt6fbQz6IJtc6gbvAW4qOYyikTRYclgosKZlQdn/6WoU&#10;7PSvXMRpdMwuF71ZrQ9xOtzHSvW67c8EhKfWf8Lv9lYriEf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5DmsMAAADbAAAADwAAAAAAAAAAAAAAAACYAgAAZHJzL2Rv&#10;d25yZXYueG1sUEsFBgAAAAAEAAQA9QAAAIgDAAAAAA==&#10;" filled="f" stroked="f">
                  <v:stroke dashstyle="1 1"/>
                  <v:textbox inset="0,0,0,0">
                    <w:txbxContent>
                      <w:p w:rsidR="00895792" w:rsidRDefault="00895792" w:rsidP="00435D8C">
                        <w:pPr>
                          <w:kinsoku w:val="0"/>
                          <w:wordWrap w:val="0"/>
                          <w:overflowPunct w:val="0"/>
                          <w:rPr>
                            <w:sz w:val="20"/>
                          </w:rPr>
                        </w:pPr>
                        <w:r>
                          <w:rPr>
                            <w:rFonts w:hint="eastAsia"/>
                            <w:sz w:val="20"/>
                          </w:rPr>
                          <w:t>線</w:t>
                        </w:r>
                      </w:p>
                    </w:txbxContent>
                  </v:textbox>
                </v:shape>
                <w10:anchorlock/>
              </v:group>
            </w:pict>
          </mc:Fallback>
        </mc:AlternateContent>
      </w:r>
      <w:r w:rsidRPr="00AC77DF">
        <w:rPr>
          <w:noProof/>
        </w:rPr>
        <mc:AlternateContent>
          <mc:Choice Requires="wps">
            <w:drawing>
              <wp:anchor distT="0" distB="0" distL="114300" distR="114300" simplePos="0" relativeHeight="251893760" behindDoc="0" locked="1" layoutInCell="0" allowOverlap="1" wp14:anchorId="023C33A9" wp14:editId="5A968327">
                <wp:simplePos x="0" y="0"/>
                <wp:positionH relativeFrom="column">
                  <wp:posOffset>-609600</wp:posOffset>
                </wp:positionH>
                <wp:positionV relativeFrom="page">
                  <wp:posOffset>443230</wp:posOffset>
                </wp:positionV>
                <wp:extent cx="636905" cy="396240"/>
                <wp:effectExtent l="9525" t="5080" r="10795" b="8255"/>
                <wp:wrapNone/>
                <wp:docPr id="57" name="函正本"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832" w:rsidRDefault="00970832" w:rsidP="00435D8C">
                            <w:pPr>
                              <w:jc w:val="center"/>
                              <w:rPr>
                                <w:color w:val="000000"/>
                                <w:sz w:val="36"/>
                              </w:rPr>
                            </w:pPr>
                            <w:r>
                              <w:rPr>
                                <w:rFonts w:hint="eastAsia"/>
                                <w:color w:val="000000"/>
                                <w:sz w:val="36"/>
                              </w:rPr>
                              <w:t>正本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3" type="#_x0000_t202" style="position:absolute;left:0;text-align:left;margin-left:-48pt;margin-top:34.9pt;width:50.15pt;height:31.2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" o:allowincell="f" filled="f">
                <v:textbox inset=".5mm,,.5mm">
                  <w:txbxContent>
                    <w:p w:rsidR="00895792" w:rsidRDefault="00895792" w:rsidP="00435D8C">
                      <w:pPr>
                        <w:jc w:val="center"/>
                        <w:rPr>
                          <w:color w:val="000000"/>
                          <w:sz w:val="36"/>
                        </w:rPr>
                      </w:pPr>
                      <w:r>
                        <w:rPr>
                          <w:rFonts w:hint="eastAsia"/>
                          <w:color w:val="000000"/>
                          <w:sz w:val="36"/>
                        </w:rPr>
                        <w:t>正本</w:t>
                      </w:r>
                    </w:p>
                  </w:txbxContent>
                </v:textbox>
                <w10:wrap anchory="page"/>
                <w10:anchorlock/>
              </v:shape>
            </w:pict>
          </mc:Fallback>
        </mc:AlternateContent>
      </w:r>
      <w:r w:rsidRPr="00AC77DF">
        <w:rPr>
          <w:noProof/>
        </w:rPr>
        <mc:AlternateContent>
          <mc:Choice Requires="wps">
            <w:drawing>
              <wp:anchor distT="0" distB="0" distL="114300" distR="114300" simplePos="0" relativeHeight="251892736" behindDoc="0" locked="1" layoutInCell="0" allowOverlap="1" wp14:anchorId="5B32682E" wp14:editId="37D3849A">
                <wp:simplePos x="0" y="0"/>
                <wp:positionH relativeFrom="column">
                  <wp:posOffset>-609600</wp:posOffset>
                </wp:positionH>
                <wp:positionV relativeFrom="page">
                  <wp:posOffset>442595</wp:posOffset>
                </wp:positionV>
                <wp:extent cx="636905" cy="396240"/>
                <wp:effectExtent l="9525" t="13970" r="10795" b="8890"/>
                <wp:wrapNone/>
                <wp:docPr id="58" name="函副本"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832" w:rsidRDefault="00970832" w:rsidP="00435D8C">
                            <w:pPr>
                              <w:jc w:val="center"/>
                              <w:rPr>
                                <w:color w:val="000000"/>
                                <w:sz w:val="36"/>
                              </w:rPr>
                            </w:pPr>
                            <w:r>
                              <w:rPr>
                                <w:rFonts w:hint="eastAsia"/>
                                <w:color w:val="000000"/>
                                <w:sz w:val="36"/>
                              </w:rPr>
                              <w:t>副本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4" type="#_x0000_t202" style="position:absolute;left:0;text-align:left;margin-left:-48pt;margin-top:34.85pt;width:50.15pt;height:31.2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" o:allowincell="f" filled="f">
                <v:textbox inset=".5mm,,.5mm">
                  <w:txbxContent>
                    <w:p w:rsidR="00895792" w:rsidRDefault="00895792" w:rsidP="00435D8C">
                      <w:pPr>
                        <w:jc w:val="center"/>
                        <w:rPr>
                          <w:color w:val="000000"/>
                          <w:sz w:val="36"/>
                        </w:rPr>
                      </w:pPr>
                      <w:r>
                        <w:rPr>
                          <w:rFonts w:hint="eastAsia"/>
                          <w:color w:val="000000"/>
                          <w:sz w:val="36"/>
                        </w:rPr>
                        <w:t>副本</w:t>
                      </w:r>
                    </w:p>
                  </w:txbxContent>
                </v:textbox>
                <w10:wrap anchory="page"/>
                <w10:anchorlock/>
              </v:shape>
            </w:pict>
          </mc:Fallback>
        </mc:AlternateContent>
      </w:r>
      <w:r w:rsidRPr="00AC77DF">
        <w:rPr>
          <w:noProof/>
        </w:rPr>
        <mc:AlternateContent>
          <mc:Choice Requires="wps">
            <w:drawing>
              <wp:anchor distT="0" distB="0" distL="114300" distR="114300" simplePos="0" relativeHeight="251891712" behindDoc="0" locked="1" layoutInCell="0" allowOverlap="1" wp14:anchorId="4892E442" wp14:editId="464B896C">
                <wp:simplePos x="0" y="0"/>
                <wp:positionH relativeFrom="column">
                  <wp:posOffset>2819400</wp:posOffset>
                </wp:positionH>
                <wp:positionV relativeFrom="page">
                  <wp:posOffset>443230</wp:posOffset>
                </wp:positionV>
                <wp:extent cx="1440180" cy="360045"/>
                <wp:effectExtent l="9525" t="5080" r="7620" b="6350"/>
                <wp:wrapNone/>
                <wp:docPr id="59" name="首長大名"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970832" w:rsidRDefault="00970832" w:rsidP="00435D8C">
                            <w:r>
                              <w:rPr>
                                <w:rFonts w:hint="eastAsia"/>
                              </w:rPr>
                              <w:t>院長王○○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5" type="#_x0000_t202" style="position:absolute;left:0;text-align:left;margin-left:222pt;margin-top:34.9pt;width:113.4pt;height:28.35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" o:allowincell="f">
                <v:textbox>
                  <w:txbxContent>
                    <w:p w:rsidR="00895792" w:rsidRDefault="00895792" w:rsidP="00435D8C">
                      <w:r>
                        <w:rPr>
                          <w:rFonts w:hint="eastAsia"/>
                        </w:rPr>
                        <w:t>院長王○○</w:t>
                      </w:r>
                    </w:p>
                  </w:txbxContent>
                </v:textbox>
                <w10:wrap anchory="page"/>
                <w10:anchorlock/>
              </v:shape>
            </w:pict>
          </mc:Fallback>
        </mc:AlternateContent>
      </w:r>
      <w:r w:rsidRPr="00AC77DF">
        <w:rPr>
          <w:noProof/>
        </w:rPr>
        <mc:AlternateContent>
          <mc:Choice Requires="wps">
            <w:drawing>
              <wp:anchor distT="0" distB="0" distL="114300" distR="114300" simplePos="0" relativeHeight="251890688" behindDoc="0" locked="1" layoutInCell="0" allowOverlap="1" wp14:anchorId="5AE3DF15" wp14:editId="72F20337">
                <wp:simplePos x="0" y="0"/>
                <wp:positionH relativeFrom="column">
                  <wp:posOffset>1381125</wp:posOffset>
                </wp:positionH>
                <wp:positionV relativeFrom="page">
                  <wp:posOffset>443230</wp:posOffset>
                </wp:positionV>
                <wp:extent cx="1440180" cy="360045"/>
                <wp:effectExtent l="9525" t="5080" r="7620" b="6350"/>
                <wp:wrapNone/>
                <wp:docPr id="60" name="文別"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970832" w:rsidRDefault="00970832" w:rsidP="00435D8C">
                            <w:pPr>
                              <w:rPr>
                                <w:rFonts w:ascii="標楷體"/>
                              </w:rPr>
                            </w:pPr>
                            <w:r>
                              <w:rPr>
                                <w:rFonts w:ascii="標楷體" w:hint="eastAsia"/>
                              </w:rPr>
                              <w:t>函;函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6" type="#_x0000_t202" style="position:absolute;left:0;text-align:left;margin-left:108.75pt;margin-top:34.9pt;width:113.4pt;height:28.35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" o:allowincell="f">
                <v:textbox>
                  <w:txbxContent>
                    <w:p w:rsidR="00895792" w:rsidRDefault="00895792" w:rsidP="00435D8C">
                      <w:pPr>
                        <w:rPr>
                          <w:rFonts w:ascii="標楷體"/>
                        </w:rPr>
                      </w:pPr>
                      <w:r>
                        <w:rPr>
                          <w:rFonts w:ascii="標楷體" w:hint="eastAsia"/>
                        </w:rPr>
                        <w:t>函;函</w:t>
                      </w:r>
                    </w:p>
                  </w:txbxContent>
                </v:textbox>
                <w10:wrap anchory="page"/>
                <w10:anchorlock/>
              </v:shape>
            </w:pict>
          </mc:Fallback>
        </mc:AlternateContent>
      </w:r>
      <w:r w:rsidRPr="00AC77DF">
        <w:t>教育權</w:t>
      </w:r>
      <w:bookmarkEnd w:id="572"/>
      <w:bookmarkEnd w:id="573"/>
    </w:p>
    <w:p w:rsidR="003807A5" w:rsidRPr="00AC77DF" w:rsidRDefault="003807A5" w:rsidP="00450E3B">
      <w:pPr>
        <w:pStyle w:val="1---"/>
        <w:ind w:firstLine="480"/>
        <w:rPr>
          <w:lang w:eastAsia="zh-TW"/>
        </w:rPr>
      </w:pPr>
      <w:r w:rsidRPr="00AC77DF">
        <w:t>教育乃人民獲得知識之過程，不僅影響個人人格之健全</w:t>
      </w:r>
      <w:r w:rsidRPr="00AC77DF">
        <w:rPr>
          <w:lang w:eastAsia="zh-TW"/>
        </w:rPr>
        <w:t>，</w:t>
      </w:r>
      <w:r w:rsidRPr="00AC77DF">
        <w:t>也是確保人民充實自身內涵，提升自我能力之憑藉。從人權保障的角度而言</w:t>
      </w:r>
      <w:r w:rsidRPr="00CB79B3">
        <w:rPr>
          <w:spacing w:val="-28"/>
        </w:rPr>
        <w:t>，</w:t>
      </w:r>
      <w:r w:rsidRPr="00AC77DF">
        <w:t>「教育權</w:t>
      </w:r>
      <w:r w:rsidRPr="00CB79B3">
        <w:rPr>
          <w:spacing w:val="-28"/>
        </w:rPr>
        <w:t>」</w:t>
      </w:r>
      <w:r w:rsidRPr="00AC77DF">
        <w:t>（或「教育上之受益權</w:t>
      </w:r>
      <w:r w:rsidRPr="00CB79B3">
        <w:rPr>
          <w:spacing w:val="-28"/>
        </w:rPr>
        <w:t>」</w:t>
      </w:r>
      <w:r w:rsidRPr="00AC77DF">
        <w:t>）乃人民得請求國家給予適當之教育環境與機會，以享受獲得知識、發展人格的權利</w:t>
      </w:r>
      <w:r w:rsidRPr="00AC77DF">
        <w:rPr>
          <w:rStyle w:val="aff2"/>
          <w:kern w:val="0"/>
        </w:rPr>
        <w:footnoteReference w:id="123"/>
      </w:r>
      <w:r w:rsidRPr="00AC77DF">
        <w:t>。</w:t>
      </w:r>
    </w:p>
    <w:p w:rsidR="003807A5" w:rsidRPr="00AC77DF" w:rsidRDefault="003807A5" w:rsidP="00450E3B">
      <w:pPr>
        <w:pStyle w:val="1---"/>
        <w:ind w:firstLine="480"/>
        <w:rPr>
          <w:lang w:eastAsia="zh-TW"/>
        </w:rPr>
      </w:pPr>
      <w:r w:rsidRPr="00AC77DF">
        <w:t>教育權對個人而言，乃落實及保護各項人權的前提。唯有教育權受到保障，人民的自由、安全、經濟利益和政治參與等理念才能受到重視，以真正讓人民獲得、享有或行使各種權利</w:t>
      </w:r>
      <w:r w:rsidRPr="00AC77DF">
        <w:rPr>
          <w:rStyle w:val="aff2"/>
        </w:rPr>
        <w:footnoteReference w:id="124"/>
      </w:r>
      <w:r w:rsidRPr="00AC77DF">
        <w:t>。其對人民之影響，可由三個層面觀之：一是保障生存權，即指藉由教育過程使人民獲得知識與技能，以保障其未來工作與生活的基本能力。二是保障公民權，即藉由教育過程使人民瞭解現代民主政治的意義，並擁有行使權利的基本能力，以具備未來參與政治活動的公民素養。三是保障學習權，乃人生來具有接受教育、自我學習與成長發展的基本權利，為保障此一與生俱來的權利，國家負有積極整備教育環境之義務，以使學習者能享有充分而完整的教育內涵</w:t>
      </w:r>
      <w:r w:rsidRPr="00AC77DF">
        <w:rPr>
          <w:rStyle w:val="aff2"/>
        </w:rPr>
        <w:footnoteReference w:id="125"/>
      </w:r>
      <w:r w:rsidRPr="00AC77DF">
        <w:t>。</w:t>
      </w:r>
    </w:p>
    <w:p w:rsidR="003807A5" w:rsidRPr="00AC77DF" w:rsidRDefault="00FB2C93" w:rsidP="00450E3B">
      <w:pPr>
        <w:pStyle w:val="1---"/>
        <w:ind w:firstLine="480"/>
        <w:rPr>
          <w:b/>
        </w:rPr>
      </w:pPr>
      <w:r>
        <w:t>世界人權宣言</w:t>
      </w:r>
      <w:r w:rsidR="003807A5" w:rsidRPr="00AC77DF">
        <w:t>第</w:t>
      </w:r>
      <w:r w:rsidR="003807A5" w:rsidRPr="00AC77DF">
        <w:t>26</w:t>
      </w:r>
      <w:r w:rsidR="003807A5" w:rsidRPr="00AC77DF">
        <w:t>條第</w:t>
      </w:r>
      <w:r w:rsidR="003807A5" w:rsidRPr="00AC77DF">
        <w:t>1</w:t>
      </w:r>
      <w:r w:rsidR="003807A5" w:rsidRPr="00AC77DF">
        <w:t>項揭示教育權乃「人人都有受教育的權利，教育應當免費，至少在初級和基本階段應如此。初</w:t>
      </w:r>
      <w:r w:rsidR="003807A5" w:rsidRPr="00AC77DF">
        <w:lastRenderedPageBreak/>
        <w:t>級教育應屬義務性質。技術和職業教育應普遍設立。高等教育應根據成績而對一切人平等開放</w:t>
      </w:r>
      <w:r w:rsidR="003807A5" w:rsidRPr="00CB79B3">
        <w:rPr>
          <w:spacing w:val="-28"/>
        </w:rPr>
        <w:t>。</w:t>
      </w:r>
      <w:r w:rsidR="003807A5" w:rsidRPr="00AC77DF">
        <w:t>」同條第</w:t>
      </w:r>
      <w:r w:rsidR="003807A5" w:rsidRPr="00AC77DF">
        <w:t>2</w:t>
      </w:r>
      <w:r w:rsidR="003807A5" w:rsidRPr="00AC77DF">
        <w:t>項揭示教育的目的在於：「充分發展人的個性並加強對人權和基本自由的尊重</w:t>
      </w:r>
      <w:r w:rsidR="003807A5" w:rsidRPr="00CB79B3">
        <w:rPr>
          <w:spacing w:val="-28"/>
        </w:rPr>
        <w:t>」；</w:t>
      </w:r>
      <w:r w:rsidR="003807A5" w:rsidRPr="00AC77DF">
        <w:t>「促進各國、各種族或各宗教集團間的了解、容忍和友誼」，並「促進聯合國維護和平的各項活動</w:t>
      </w:r>
      <w:r w:rsidR="003807A5" w:rsidRPr="00CB79B3">
        <w:rPr>
          <w:spacing w:val="-28"/>
        </w:rPr>
        <w:t>」</w:t>
      </w:r>
      <w:r w:rsidR="003807A5" w:rsidRPr="00AC77DF">
        <w:t>。同條第</w:t>
      </w:r>
      <w:r w:rsidR="003807A5" w:rsidRPr="00AC77DF">
        <w:t>3</w:t>
      </w:r>
      <w:r w:rsidR="003807A5" w:rsidRPr="00AC77DF">
        <w:t>項指出：「父母對其子女所應受的教育的種類，有優先選擇的權利</w:t>
      </w:r>
      <w:r w:rsidR="003807A5" w:rsidRPr="00CB79B3">
        <w:rPr>
          <w:spacing w:val="-28"/>
        </w:rPr>
        <w:t>。</w:t>
      </w:r>
      <w:r w:rsidR="003807A5" w:rsidRPr="00AC77DF">
        <w:t>」經濟社會文化權利國際公約第</w:t>
      </w:r>
      <w:r w:rsidR="003807A5" w:rsidRPr="00AC77DF">
        <w:t>13</w:t>
      </w:r>
      <w:r w:rsidR="003807A5" w:rsidRPr="00AC77DF">
        <w:t>條明確指出：締約國確認人人有受教育之權。第</w:t>
      </w:r>
      <w:r w:rsidR="003807A5" w:rsidRPr="00AC77DF">
        <w:t>14</w:t>
      </w:r>
      <w:r w:rsidR="003807A5" w:rsidRPr="00AC77DF">
        <w:t>條則特別強調國家應對教育平等行使，並投入資源，以落實教育權之制度性保障。</w:t>
      </w:r>
    </w:p>
    <w:p w:rsidR="003807A5" w:rsidRPr="00AC77DF" w:rsidRDefault="003807A5" w:rsidP="00450E3B">
      <w:pPr>
        <w:pStyle w:val="1---"/>
        <w:ind w:firstLine="480"/>
      </w:pPr>
      <w:r w:rsidRPr="00AC77DF">
        <w:t>經濟社會文化權利國際公約第</w:t>
      </w:r>
      <w:r w:rsidRPr="00AC77DF">
        <w:t>13</w:t>
      </w:r>
      <w:r w:rsidRPr="00AC77DF">
        <w:t>條第</w:t>
      </w:r>
      <w:r w:rsidRPr="00AC77DF">
        <w:t>1</w:t>
      </w:r>
      <w:r w:rsidRPr="00AC77DF">
        <w:t>項規定</w:t>
      </w:r>
      <w:r w:rsidRPr="00CB79B3">
        <w:rPr>
          <w:spacing w:val="-28"/>
        </w:rPr>
        <w:t>：</w:t>
      </w:r>
      <w:r w:rsidRPr="00AC77DF">
        <w:t>「本公約締約國確認人人有受教育之權。締約國公認教育應謀人格及人格尊嚴意識之充分發展，增強對人權與基本自由之尊重。締約國又公認教育應使人人均能參加自由社會積極貢獻，應促進各民族間及各種族、人種或宗教團體間之了解、容恕及友好關係，並應推進聯合國維持和平之工作</w:t>
      </w:r>
      <w:r w:rsidRPr="00CB79B3">
        <w:rPr>
          <w:spacing w:val="-28"/>
        </w:rPr>
        <w:t>。</w:t>
      </w:r>
      <w:r w:rsidRPr="00AC77DF">
        <w:t>」</w:t>
      </w:r>
    </w:p>
    <w:p w:rsidR="003807A5" w:rsidRPr="00AC77DF" w:rsidRDefault="003807A5" w:rsidP="00450E3B">
      <w:pPr>
        <w:pStyle w:val="1---"/>
        <w:ind w:firstLine="480"/>
      </w:pPr>
      <w:r w:rsidRPr="00AC77DF">
        <w:t>為求充分實現此種權利，上開公約第</w:t>
      </w:r>
      <w:r w:rsidRPr="00AC77DF">
        <w:t>13</w:t>
      </w:r>
      <w:r w:rsidRPr="00AC77DF">
        <w:t>條第</w:t>
      </w:r>
      <w:r w:rsidRPr="00AC77DF">
        <w:t>2</w:t>
      </w:r>
      <w:r w:rsidRPr="00AC77DF">
        <w:t>項</w:t>
      </w:r>
      <w:r w:rsidRPr="00AC77DF">
        <w:rPr>
          <w:spacing w:val="-4"/>
        </w:rPr>
        <w:t>有如下具體規定</w:t>
      </w:r>
      <w:r w:rsidRPr="00CB79B3">
        <w:rPr>
          <w:spacing w:val="-28"/>
        </w:rPr>
        <w:t>：</w:t>
      </w:r>
      <w:r w:rsidRPr="00AC77DF">
        <w:rPr>
          <w:spacing w:val="-4"/>
        </w:rPr>
        <w:t>（一）初等教育應屬強迫性質，免費普及全民</w:t>
      </w:r>
      <w:r w:rsidRPr="00CB79B3">
        <w:rPr>
          <w:spacing w:val="-28"/>
        </w:rPr>
        <w:t>；</w:t>
      </w:r>
      <w:r w:rsidRPr="00AC77DF">
        <w:t>（二）各種中等教育，包括技術及職業中等教育在內，應以一切適當方法，特別應逐漸採行免費教育制度，廣行舉辦，庶使人人均有接受機會</w:t>
      </w:r>
      <w:r w:rsidRPr="00CB79B3">
        <w:rPr>
          <w:spacing w:val="-28"/>
        </w:rPr>
        <w:t>；</w:t>
      </w:r>
      <w:r w:rsidRPr="00AC77DF">
        <w:t>（三）高等教育應根據能力，以一切適當方法，特別應逐漸採行免費教育制度，使人人有平等接受機會</w:t>
      </w:r>
      <w:r w:rsidRPr="00CB79B3">
        <w:rPr>
          <w:spacing w:val="-28"/>
        </w:rPr>
        <w:t>；</w:t>
      </w:r>
      <w:r w:rsidRPr="00AC77DF">
        <w:t>（四）基本教育應儘量予以鼓勵或加緊辦理，以利未受初等教育或未能完成初等教育之人</w:t>
      </w:r>
      <w:r w:rsidRPr="00CB79B3">
        <w:rPr>
          <w:spacing w:val="-28"/>
        </w:rPr>
        <w:t>；</w:t>
      </w:r>
      <w:r w:rsidRPr="00AC77DF">
        <w:t>（五）各級學校完備之制度應予積極發展，</w:t>
      </w:r>
      <w:r w:rsidRPr="00AC77DF">
        <w:rPr>
          <w:spacing w:val="-4"/>
        </w:rPr>
        <w:t>適當之獎學金制度應予設置，教育人員之物質條件亦應不斷改善</w:t>
      </w:r>
      <w:r w:rsidRPr="00AC77DF">
        <w:t>。</w:t>
      </w:r>
    </w:p>
    <w:p w:rsidR="003807A5" w:rsidRPr="00AC77DF" w:rsidRDefault="003807A5" w:rsidP="00450E3B">
      <w:pPr>
        <w:pStyle w:val="1---"/>
        <w:ind w:firstLine="480"/>
      </w:pPr>
      <w:r w:rsidRPr="00AC77DF">
        <w:lastRenderedPageBreak/>
        <w:t>又為確保</w:t>
      </w:r>
      <w:r w:rsidR="00FB2C93">
        <w:t>世界人權宣言</w:t>
      </w:r>
      <w:r w:rsidRPr="00AC77DF">
        <w:t>第</w:t>
      </w:r>
      <w:r w:rsidRPr="00AC77DF">
        <w:t>26</w:t>
      </w:r>
      <w:r w:rsidRPr="00AC77DF">
        <w:t>條第</w:t>
      </w:r>
      <w:r w:rsidRPr="00AC77DF">
        <w:t>3</w:t>
      </w:r>
      <w:r w:rsidRPr="00AC77DF">
        <w:t>項所揭示的父母對其子女應受教育種類之優先選擇權，上開公約第</w:t>
      </w:r>
      <w:r w:rsidRPr="00AC77DF">
        <w:t>13</w:t>
      </w:r>
      <w:r w:rsidRPr="00AC77DF">
        <w:t>條第</w:t>
      </w:r>
      <w:r w:rsidRPr="00AC77DF">
        <w:t>3</w:t>
      </w:r>
      <w:r w:rsidRPr="00AC77DF">
        <w:t>項規定：「本公約締約國承允尊重父母或法定監護人為子女選擇符合國家所規定或認可最低教育標準之非公立學校，及確保子女接受符合其本人信仰之宗教及道德教育之自由</w:t>
      </w:r>
      <w:r w:rsidRPr="00CB79B3">
        <w:rPr>
          <w:spacing w:val="-28"/>
        </w:rPr>
        <w:t>。</w:t>
      </w:r>
      <w:r w:rsidRPr="00AC77DF">
        <w:t>」</w:t>
      </w:r>
    </w:p>
    <w:p w:rsidR="003807A5" w:rsidRPr="00AC77DF" w:rsidRDefault="003807A5" w:rsidP="00450E3B">
      <w:pPr>
        <w:pStyle w:val="1---"/>
        <w:ind w:firstLine="480"/>
      </w:pPr>
      <w:r w:rsidRPr="00AC77DF">
        <w:t>經濟社會文化權利國際公約第</w:t>
      </w:r>
      <w:r w:rsidRPr="00AC77DF">
        <w:t>14</w:t>
      </w:r>
      <w:r w:rsidRPr="00AC77DF">
        <w:t>條揭櫫教育方向包括：（一）確認權利平等行使，教育之目的在於人之自我實現，及承認多元文化間應相互尊重、寬容對待</w:t>
      </w:r>
      <w:r w:rsidRPr="00CB79B3">
        <w:rPr>
          <w:spacing w:val="-28"/>
        </w:rPr>
        <w:t>。</w:t>
      </w:r>
      <w:r w:rsidRPr="00AC77DF">
        <w:t>（二）國家於具體教育資源之給付，得忖度財政狀況逐步實行免費全階段教育，教育權之制度性保障應予落實</w:t>
      </w:r>
      <w:r w:rsidRPr="00CB79B3">
        <w:rPr>
          <w:spacing w:val="-28"/>
        </w:rPr>
        <w:t>。</w:t>
      </w:r>
      <w:r w:rsidRPr="00AC77DF">
        <w:t>（三）父母等之教育自由選擇權與其他基本權之競合；及（四）教育機構等之受國家干涉程度應遵守該公約原則。</w:t>
      </w:r>
    </w:p>
    <w:p w:rsidR="003807A5" w:rsidRPr="00AC77DF" w:rsidRDefault="003807A5" w:rsidP="00450E3B">
      <w:pPr>
        <w:pStyle w:val="1---"/>
        <w:ind w:firstLine="480"/>
      </w:pPr>
      <w:r w:rsidRPr="00AC77DF">
        <w:t>關於教育及受教育的意義與重要性，上開「公約」第</w:t>
      </w:r>
      <w:r w:rsidRPr="00AC77DF">
        <w:t>13</w:t>
      </w:r>
      <w:r w:rsidRPr="00AC77DF">
        <w:t>號一般性意見第</w:t>
      </w:r>
      <w:r w:rsidRPr="00AC77DF">
        <w:t>1</w:t>
      </w:r>
      <w:r w:rsidRPr="00AC77DF">
        <w:t>點開宗明義指出：受教育本身就是一項人權，也是實現其他人權不可或缺的手段；作為一項增長才能的權利，教育是一個基本工具，在經濟上和在社會上處於邊緣地位的成人和兒童受了教育以後，就能夠脫離貧困，取得充分參與群體生活的</w:t>
      </w:r>
      <w:r w:rsidRPr="00AC77DF">
        <w:rPr>
          <w:spacing w:val="-4"/>
        </w:rPr>
        <w:t>手段；教育的重要性並不只是限於實用的層面，有一顆受過良好教育、能夠自由廣博思考的開悟而且活躍的心靈，是人生在世的</w:t>
      </w:r>
      <w:r w:rsidRPr="00AC77DF">
        <w:t>賞心樂事；因此，人們日益確認，教育是各國所能作的最佳投資。</w:t>
      </w:r>
    </w:p>
    <w:p w:rsidR="003807A5" w:rsidRPr="00AC77DF" w:rsidRDefault="003807A5" w:rsidP="00450E3B">
      <w:pPr>
        <w:pStyle w:val="1---"/>
        <w:ind w:firstLine="480"/>
      </w:pPr>
      <w:r w:rsidRPr="00AC77DF">
        <w:t>針對上開「公約」第</w:t>
      </w:r>
      <w:r w:rsidRPr="00AC77DF">
        <w:t>13</w:t>
      </w:r>
      <w:r w:rsidRPr="00AC77DF">
        <w:t>條第</w:t>
      </w:r>
      <w:r w:rsidRPr="00AC77DF">
        <w:t>1</w:t>
      </w:r>
      <w:r w:rsidRPr="00AC77DF">
        <w:t>項的規定，上開一般性意見第</w:t>
      </w:r>
      <w:r w:rsidRPr="00AC77DF">
        <w:t>49</w:t>
      </w:r>
      <w:r w:rsidRPr="00AC77DF">
        <w:t>點指出：締約國必須確保各級教育系統的課程都著眼於第</w:t>
      </w:r>
      <w:r w:rsidRPr="00AC77DF">
        <w:t>13</w:t>
      </w:r>
      <w:r w:rsidRPr="00AC77DF">
        <w:t>條第</w:t>
      </w:r>
      <w:r w:rsidRPr="00AC77DF">
        <w:t>1</w:t>
      </w:r>
      <w:r w:rsidRPr="00AC77DF">
        <w:t>項規定的目標的實現；必須建立並維持一種有透明度的、確實有效的制度，以核實教育是否的確著眼於第</w:t>
      </w:r>
      <w:r w:rsidRPr="00AC77DF">
        <w:t>13</w:t>
      </w:r>
      <w:r w:rsidRPr="00AC77DF">
        <w:t>條第</w:t>
      </w:r>
      <w:r w:rsidRPr="00AC77DF">
        <w:t>1</w:t>
      </w:r>
      <w:r w:rsidRPr="00AC77DF">
        <w:lastRenderedPageBreak/>
        <w:t>項所載的教育目標的實現。</w:t>
      </w:r>
      <w:r w:rsidRPr="00AC77DF">
        <w:t xml:space="preserve"> </w:t>
      </w:r>
    </w:p>
    <w:p w:rsidR="003807A5" w:rsidRPr="00AC77DF" w:rsidRDefault="003807A5" w:rsidP="00450E3B">
      <w:pPr>
        <w:pStyle w:val="1---"/>
        <w:ind w:firstLine="480"/>
      </w:pPr>
      <w:r w:rsidRPr="00AC77DF">
        <w:t>針對「公約」第</w:t>
      </w:r>
      <w:r w:rsidRPr="00AC77DF">
        <w:t>13</w:t>
      </w:r>
      <w:r w:rsidRPr="00AC77DF">
        <w:t>條第</w:t>
      </w:r>
      <w:r w:rsidRPr="00AC77DF">
        <w:t>2</w:t>
      </w:r>
      <w:r w:rsidRPr="00AC77DF">
        <w:t>項的規定，上開一般性意見第</w:t>
      </w:r>
      <w:r w:rsidRPr="00AC77DF">
        <w:t>50</w:t>
      </w:r>
      <w:r w:rsidRPr="00AC77DF">
        <w:t>點指出：各國有義務尊重、保護並落實受教育權利的可提供性、易取得性、可接受性、可調適性。具體而言，必須尊重教育的可提供性，不關閉私立學校；保護教育的易取得性，確保第三方，包括父母和雇主在內，不阻止女童入學；落實（便利）教育的可接受性，採取積極措施，確保教育在文化上滿足少數民族</w:t>
      </w:r>
      <w:r w:rsidRPr="00AC77DF">
        <w:rPr>
          <w:spacing w:val="-4"/>
        </w:rPr>
        <w:t>和原住民族的需要，並使人人都接受高品質的教育；落實（提供</w:t>
      </w:r>
      <w:r w:rsidRPr="00AC77DF">
        <w:t>）教育的可調適性，針對學生在當前不斷變化的世界中的需要，設計課程，提供這些課程所需的資源；落實（保障）教育的可提供性，積極建立教育體系，包括建造校舍、提出教學大綱、提供教材、培訓師資、向教師支付在國內有吸引力的薪資等。</w:t>
      </w:r>
      <w:r w:rsidRPr="00AC77DF">
        <w:t xml:space="preserve"> </w:t>
      </w:r>
    </w:p>
    <w:p w:rsidR="003807A5" w:rsidRPr="00AC77DF" w:rsidRDefault="003807A5" w:rsidP="00450E3B">
      <w:pPr>
        <w:pStyle w:val="1---"/>
        <w:ind w:firstLine="480"/>
      </w:pPr>
      <w:r w:rsidRPr="00AC77DF">
        <w:t>我國憲法增修條文第</w:t>
      </w:r>
      <w:r w:rsidRPr="00AC77DF">
        <w:t>10</w:t>
      </w:r>
      <w:r w:rsidRPr="00AC77DF">
        <w:t>條第</w:t>
      </w:r>
      <w:r w:rsidRPr="00AC77DF">
        <w:t>10</w:t>
      </w:r>
      <w:r w:rsidRPr="00AC77DF">
        <w:t>項及</w:t>
      </w:r>
      <w:r w:rsidRPr="00AC77DF">
        <w:t>12</w:t>
      </w:r>
      <w:r w:rsidRPr="00AC77DF">
        <w:t>項對教育權也有如下規定：教育、科學、文化之經費，尤其國民教育之經費應優先編列，不受憲法第</w:t>
      </w:r>
      <w:r w:rsidRPr="00AC77DF">
        <w:t>164</w:t>
      </w:r>
      <w:r w:rsidRPr="00AC77DF">
        <w:t>條規定之限制</w:t>
      </w:r>
      <w:r w:rsidRPr="00AC77DF">
        <w:rPr>
          <w:vertAlign w:val="superscript"/>
        </w:rPr>
        <w:footnoteReference w:id="126"/>
      </w:r>
      <w:r w:rsidRPr="00AC77DF">
        <w:t>。憲法第</w:t>
      </w:r>
      <w:r w:rsidRPr="00AC77DF">
        <w:t>21</w:t>
      </w:r>
      <w:r w:rsidRPr="00AC77DF">
        <w:t>條明定「人民有受國民教育之權利與義務</w:t>
      </w:r>
      <w:r w:rsidRPr="00CB79B3">
        <w:rPr>
          <w:spacing w:val="-28"/>
        </w:rPr>
        <w:t>。</w:t>
      </w:r>
      <w:r w:rsidRPr="00AC77DF">
        <w:t>」故受國民教育既屬人民應享的權利，也是人民應盡的義務。另我國憲法將教育與文化並列於第</w:t>
      </w:r>
      <w:r w:rsidRPr="00AC77DF">
        <w:t>13</w:t>
      </w:r>
      <w:r w:rsidRPr="00AC77DF">
        <w:t>章「基本國策」中的第</w:t>
      </w:r>
      <w:r w:rsidRPr="00AC77DF">
        <w:t>5</w:t>
      </w:r>
      <w:r w:rsidRPr="00AC77DF">
        <w:t>節，其中有關教育權規定包括「國民受教育之機會，一律平等</w:t>
      </w:r>
      <w:r w:rsidRPr="00CB79B3">
        <w:rPr>
          <w:spacing w:val="-28"/>
        </w:rPr>
        <w:t>。」</w:t>
      </w:r>
      <w:r w:rsidRPr="00AC77DF">
        <w:t>（第</w:t>
      </w:r>
      <w:r w:rsidRPr="00AC77DF">
        <w:t>159</w:t>
      </w:r>
      <w:r w:rsidRPr="00AC77DF">
        <w:t>條</w:t>
      </w:r>
      <w:r w:rsidRPr="00CB79B3">
        <w:rPr>
          <w:spacing w:val="-28"/>
        </w:rPr>
        <w:t>）；</w:t>
      </w:r>
      <w:r w:rsidRPr="00AC77DF">
        <w:t>「國家應注重各地區教育之均衡發展，並推行社會教育，以提高一般國</w:t>
      </w:r>
      <w:r w:rsidRPr="00AC77DF">
        <w:lastRenderedPageBreak/>
        <w:t>民之文化水準</w:t>
      </w:r>
      <w:r w:rsidRPr="00B125A4">
        <w:rPr>
          <w:rFonts w:ascii="新細明體" w:hAnsi="新細明體"/>
        </w:rPr>
        <w:t>……</w:t>
      </w:r>
      <w:r w:rsidRPr="00CB79B3">
        <w:rPr>
          <w:spacing w:val="-28"/>
        </w:rPr>
        <w:t>。」</w:t>
      </w:r>
      <w:r w:rsidRPr="00AC77DF">
        <w:t>（第</w:t>
      </w:r>
      <w:r w:rsidRPr="00AC77DF">
        <w:t>163</w:t>
      </w:r>
      <w:r w:rsidRPr="00AC77DF">
        <w:t>條</w:t>
      </w:r>
      <w:r w:rsidRPr="00CB79B3">
        <w:rPr>
          <w:spacing w:val="-28"/>
        </w:rPr>
        <w:t>）；</w:t>
      </w:r>
      <w:r w:rsidRPr="00AC77DF">
        <w:t>「國家應保障教育</w:t>
      </w:r>
      <w:r w:rsidRPr="00B125A4">
        <w:rPr>
          <w:rFonts w:asciiTheme="majorEastAsia" w:eastAsiaTheme="majorEastAsia" w:hAnsiTheme="majorEastAsia"/>
        </w:rPr>
        <w:t>……</w:t>
      </w:r>
      <w:r w:rsidRPr="00AC77DF">
        <w:t>工作者之生活，並依國民經濟之進展，隨時提高其待遇</w:t>
      </w:r>
      <w:r w:rsidRPr="00CB79B3">
        <w:rPr>
          <w:spacing w:val="-28"/>
        </w:rPr>
        <w:t>。」</w:t>
      </w:r>
      <w:r w:rsidRPr="00AC77DF">
        <w:t>（第</w:t>
      </w:r>
      <w:r w:rsidRPr="00AC77DF">
        <w:t>165</w:t>
      </w:r>
      <w:r w:rsidRPr="00AC77DF">
        <w:t>條</w:t>
      </w:r>
      <w:r w:rsidRPr="00CB79B3">
        <w:rPr>
          <w:spacing w:val="-28"/>
        </w:rPr>
        <w:t>）</w:t>
      </w:r>
      <w:r w:rsidRPr="00AC77DF">
        <w:t>。</w:t>
      </w:r>
    </w:p>
    <w:p w:rsidR="003807A5" w:rsidRDefault="003807A5" w:rsidP="00450E3B">
      <w:pPr>
        <w:pStyle w:val="1---"/>
        <w:ind w:firstLine="480"/>
        <w:rPr>
          <w:lang w:eastAsia="zh-TW"/>
        </w:rPr>
      </w:pPr>
      <w:r w:rsidRPr="00AC77DF">
        <w:t>綜上，我國憲法對教育權相關規範意旨包括（一）縮減教育資源於地區性之差異分配，此乃教育平等權之展現</w:t>
      </w:r>
      <w:r w:rsidRPr="00CB79B3">
        <w:rPr>
          <w:spacing w:val="-28"/>
        </w:rPr>
        <w:t>。</w:t>
      </w:r>
      <w:r w:rsidRPr="00AC77DF">
        <w:t>（二）教育經費之優先編列</w:t>
      </w:r>
      <w:r w:rsidRPr="00CB79B3">
        <w:rPr>
          <w:spacing w:val="-28"/>
        </w:rPr>
        <w:t>。</w:t>
      </w:r>
      <w:r w:rsidRPr="00AC77DF">
        <w:t>（三）鼓勵對教育卓有貢獻者</w:t>
      </w:r>
      <w:r w:rsidRPr="00CB79B3">
        <w:rPr>
          <w:spacing w:val="-28"/>
        </w:rPr>
        <w:t>。</w:t>
      </w:r>
      <w:r w:rsidRPr="00AC77DF">
        <w:t>（四）對少數民族之教育，應尊重其文化。在動態的憲法解釋方面，則有司法院釋字第</w:t>
      </w:r>
      <w:r w:rsidRPr="00AC77DF">
        <w:t>380</w:t>
      </w:r>
      <w:r w:rsidRPr="00AC77DF">
        <w:t>號、第</w:t>
      </w:r>
      <w:r w:rsidRPr="00AC77DF">
        <w:t>382</w:t>
      </w:r>
      <w:r w:rsidRPr="00AC77DF">
        <w:t>號、第</w:t>
      </w:r>
      <w:r w:rsidRPr="00AC77DF">
        <w:t>563</w:t>
      </w:r>
      <w:r w:rsidRPr="00AC77DF">
        <w:t>號及第</w:t>
      </w:r>
      <w:r w:rsidRPr="00AC77DF">
        <w:t>626</w:t>
      </w:r>
      <w:r w:rsidRPr="00AC77DF">
        <w:t>號等解釋。</w:t>
      </w:r>
    </w:p>
    <w:p w:rsidR="00ED7809" w:rsidRDefault="00ED7809" w:rsidP="00450E3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3284"/>
      </w:tblGrid>
      <w:tr w:rsidR="00ED7809" w:rsidTr="00B50552">
        <w:tc>
          <w:tcPr>
            <w:tcW w:w="3284" w:type="dxa"/>
            <w:shd w:val="clear" w:color="auto" w:fill="D9D9D9" w:themeFill="background1" w:themeFillShade="D9"/>
          </w:tcPr>
          <w:p w:rsidR="00ED7809" w:rsidRDefault="00ED7809" w:rsidP="00ED7809">
            <w:pPr>
              <w:pStyle w:val="11-"/>
              <w:spacing w:before="72" w:after="108"/>
              <w:rPr>
                <w:lang w:eastAsia="zh-TW"/>
              </w:rPr>
            </w:pPr>
            <w:bookmarkStart w:id="574" w:name="_Toc533430341"/>
            <w:bookmarkStart w:id="575" w:name="_Toc535228405"/>
            <w:bookmarkStart w:id="576" w:name="_Toc4058816"/>
            <w:r w:rsidRPr="00AC77DF">
              <w:t>基北區入學制度爭議案</w:t>
            </w:r>
            <w:bookmarkEnd w:id="574"/>
            <w:bookmarkEnd w:id="575"/>
            <w:bookmarkEnd w:id="576"/>
          </w:p>
        </w:tc>
      </w:tr>
    </w:tbl>
    <w:p w:rsidR="003807A5" w:rsidRPr="00AC77DF" w:rsidRDefault="00ED7809" w:rsidP="000B692A">
      <w:pPr>
        <w:pStyle w:val="afff1"/>
        <w:spacing w:before="360" w:after="360"/>
      </w:pPr>
      <w:bookmarkStart w:id="577" w:name="_Toc533430342"/>
      <w:bookmarkStart w:id="578" w:name="_Toc533430326"/>
      <w:r>
        <w:rPr>
          <w:rFonts w:hint="eastAsia"/>
        </w:rPr>
        <w:t>(一)</w:t>
      </w:r>
      <w:r w:rsidR="003807A5" w:rsidRPr="00AC77DF">
        <w:t>案情簡述</w:t>
      </w:r>
      <w:bookmarkEnd w:id="577"/>
    </w:p>
    <w:p w:rsidR="003807A5" w:rsidRPr="00AC77DF" w:rsidRDefault="003807A5" w:rsidP="00450E3B">
      <w:pPr>
        <w:pStyle w:val="1---"/>
        <w:ind w:firstLine="480"/>
      </w:pPr>
      <w:bookmarkStart w:id="579" w:name="_Toc440721482"/>
      <w:bookmarkStart w:id="580" w:name="_Toc440721856"/>
      <w:bookmarkStart w:id="581" w:name="_Toc441409719"/>
      <w:bookmarkStart w:id="582" w:name="_Toc441476648"/>
      <w:bookmarkStart w:id="583" w:name="_Toc442101901"/>
      <w:bookmarkStart w:id="584" w:name="_Toc442196433"/>
      <w:r w:rsidRPr="00AC77DF">
        <w:t>十二年國民基本教育之學區規劃，係以直轄市、縣（市）行政區為基礎，目前全國共分為</w:t>
      </w:r>
      <w:r w:rsidRPr="00AC77DF">
        <w:t>15</w:t>
      </w:r>
      <w:r w:rsidRPr="00AC77DF">
        <w:t>個免試就學區，其中基隆市、臺北市、新北市合稱為「基北（就學）區</w:t>
      </w:r>
      <w:r w:rsidRPr="0011227F">
        <w:rPr>
          <w:spacing w:val="-28"/>
        </w:rPr>
        <w:t>」</w:t>
      </w:r>
      <w:r w:rsidRPr="00AC77DF">
        <w:t>。基北區高中職免試入學係由新北市政府教育局、臺北市政府教育局、基隆市政府教育處輪流主政辦理，</w:t>
      </w:r>
      <w:r w:rsidRPr="00AC77DF">
        <w:t>106</w:t>
      </w:r>
      <w:r w:rsidRPr="00AC77DF">
        <w:t>學年度由新北市政府教育局主政。據訴，該就學區</w:t>
      </w:r>
      <w:r w:rsidRPr="00AC77DF">
        <w:t>106</w:t>
      </w:r>
      <w:r w:rsidRPr="00AC77DF">
        <w:t>學年度入學作業疑有家長團體代表資格及決議程序疑義，為釐清實情並維護學生教育權，監察委員爰立案調查。</w:t>
      </w:r>
      <w:bookmarkEnd w:id="579"/>
      <w:bookmarkEnd w:id="580"/>
      <w:bookmarkEnd w:id="581"/>
      <w:bookmarkEnd w:id="582"/>
      <w:bookmarkEnd w:id="583"/>
      <w:bookmarkEnd w:id="584"/>
    </w:p>
    <w:p w:rsidR="000E6675" w:rsidRDefault="000E6675">
      <w:pPr>
        <w:widowControl/>
        <w:snapToGrid/>
        <w:rPr>
          <w:rFonts w:ascii="華康魏碑體" w:eastAsia="華康魏碑體" w:hAnsi="細明體" w:cs="細明體"/>
          <w:kern w:val="0"/>
          <w:sz w:val="34"/>
          <w:szCs w:val="32"/>
        </w:rPr>
      </w:pPr>
      <w:bookmarkStart w:id="585" w:name="_Toc533430343"/>
      <w:r>
        <w:br w:type="page"/>
      </w:r>
    </w:p>
    <w:p w:rsidR="003807A5" w:rsidRPr="00AC77DF" w:rsidRDefault="00ED7809" w:rsidP="000B692A">
      <w:pPr>
        <w:pStyle w:val="afff1"/>
        <w:spacing w:before="360" w:after="360"/>
      </w:pPr>
      <w:r>
        <w:rPr>
          <w:rFonts w:hint="eastAsia"/>
        </w:rPr>
        <w:lastRenderedPageBreak/>
        <w:t>(二)</w:t>
      </w:r>
      <w:r w:rsidR="003807A5" w:rsidRPr="00AC77DF">
        <w:t>監察院調查發現與建議</w:t>
      </w:r>
      <w:bookmarkEnd w:id="585"/>
    </w:p>
    <w:p w:rsidR="003807A5" w:rsidRPr="00AC77DF" w:rsidRDefault="00597483" w:rsidP="00564517">
      <w:pPr>
        <w:pStyle w:val="1--13"/>
        <w:spacing w:before="180" w:after="180"/>
      </w:pPr>
      <w:bookmarkStart w:id="586" w:name="_Toc421794873"/>
      <w:bookmarkStart w:id="587" w:name="_Toc482795536"/>
      <w:r w:rsidRPr="008E1832">
        <w:rPr>
          <w:rFonts w:hint="eastAsia"/>
        </w:rPr>
        <w:t>˙</w:t>
      </w:r>
      <w:r w:rsidR="003807A5" w:rsidRPr="00AC77DF">
        <w:t>志願序原則未臻明確</w:t>
      </w:r>
    </w:p>
    <w:p w:rsidR="003807A5" w:rsidRPr="00AC77DF" w:rsidRDefault="003807A5" w:rsidP="00450E3B">
      <w:pPr>
        <w:pStyle w:val="1---"/>
        <w:ind w:firstLine="480"/>
      </w:pPr>
      <w:r w:rsidRPr="00AC77DF">
        <w:t>志願序為高中職入學超額比序普遍採用項目，部分就學區之志願序積分甚占總積分</w:t>
      </w:r>
      <w:r w:rsidRPr="00AC77DF">
        <w:t>3</w:t>
      </w:r>
      <w:r w:rsidRPr="00AC77DF">
        <w:t>分之</w:t>
      </w:r>
      <w:r w:rsidRPr="00AC77DF">
        <w:t>1</w:t>
      </w:r>
      <w:r w:rsidRPr="00AC77DF">
        <w:t>。惟志願序之制定原則與備查基準，均不明確。基北區高中職入學超額比序之志願序群組校數</w:t>
      </w:r>
      <w:r w:rsidRPr="0011227F">
        <w:rPr>
          <w:spacing w:val="-28"/>
        </w:rPr>
        <w:t>，</w:t>
      </w:r>
      <w:r w:rsidRPr="00AC77DF">
        <w:t>「</w:t>
      </w:r>
      <w:r w:rsidRPr="00AC77DF">
        <w:t>5</w:t>
      </w:r>
      <w:r w:rsidRPr="00AC77DF">
        <w:t>校一組」或「</w:t>
      </w:r>
      <w:r w:rsidRPr="00AC77DF">
        <w:t>10</w:t>
      </w:r>
      <w:r w:rsidRPr="00AC77DF">
        <w:t>校一組」兩種意見相持不下，最終以投票方式決定，難達共識。宜由教育部引導</w:t>
      </w:r>
      <w:bookmarkEnd w:id="586"/>
      <w:r w:rsidRPr="00AC77DF">
        <w:t>該就學區積極研處，並加強超額比序項目實施情形之評估與研究，以提升各就學區適性入學成效</w:t>
      </w:r>
      <w:bookmarkEnd w:id="587"/>
      <w:r w:rsidRPr="00AC77DF">
        <w:t>。</w:t>
      </w:r>
    </w:p>
    <w:p w:rsidR="003807A5" w:rsidRPr="00AC77DF" w:rsidRDefault="00597483" w:rsidP="00564517">
      <w:pPr>
        <w:pStyle w:val="1--13"/>
        <w:spacing w:before="180" w:after="180"/>
      </w:pPr>
      <w:bookmarkStart w:id="588" w:name="_Toc482795554"/>
      <w:r w:rsidRPr="008E1832">
        <w:rPr>
          <w:rFonts w:hint="eastAsia"/>
        </w:rPr>
        <w:t>˙</w:t>
      </w:r>
      <w:r w:rsidR="003807A5" w:rsidRPr="00AC77DF">
        <w:t>缺額續招仍有改善空間</w:t>
      </w:r>
    </w:p>
    <w:p w:rsidR="003807A5" w:rsidRPr="00AC77DF" w:rsidRDefault="003807A5" w:rsidP="00450E3B">
      <w:pPr>
        <w:pStyle w:val="1---"/>
        <w:ind w:firstLine="480"/>
      </w:pPr>
      <w:r w:rsidRPr="00AC77DF">
        <w:t>免試招生作業核定之招生名額，遠高於報名學生人數，勢必產生缺額，且缺額多集中於私立學校。基北區考量免試招生作業整體穩定性、公平性以及學校教學品質與實務作業需求等因素，未必釋出全數缺額辦理續招，復其以「免試放榜時實際缺額」為續招辦理基準，與家長認知並非一致，致生爭議。未來針對招生缺額變化及具體管理運用情形，實有強化溝通宣導必要</w:t>
      </w:r>
      <w:bookmarkEnd w:id="588"/>
      <w:r w:rsidRPr="00AC77DF">
        <w:t>。</w:t>
      </w:r>
    </w:p>
    <w:p w:rsidR="003807A5" w:rsidRPr="00AC77DF" w:rsidRDefault="00597483" w:rsidP="00564517">
      <w:pPr>
        <w:pStyle w:val="1--13"/>
        <w:spacing w:before="180" w:after="180"/>
      </w:pPr>
      <w:bookmarkStart w:id="589" w:name="_Toc482795803"/>
      <w:r w:rsidRPr="008E1832">
        <w:rPr>
          <w:rFonts w:hint="eastAsia"/>
        </w:rPr>
        <w:t>˙</w:t>
      </w:r>
      <w:r w:rsidR="003807A5" w:rsidRPr="00AC77DF">
        <w:t>掌握生源變化與管理</w:t>
      </w:r>
    </w:p>
    <w:p w:rsidR="003807A5" w:rsidRPr="00AC77DF" w:rsidRDefault="003807A5" w:rsidP="00450E3B">
      <w:pPr>
        <w:pStyle w:val="1---"/>
        <w:ind w:firstLine="480"/>
      </w:pPr>
      <w:r w:rsidRPr="00AC77DF">
        <w:t>本案雖未違法，然入學工作組織成員資格仍牽涉入學工作決議之品質，且實務作業應兼顧國民教育家長參與辦法之立法精神，宜由教育部速謀妥處</w:t>
      </w:r>
      <w:bookmarkEnd w:id="589"/>
      <w:r w:rsidRPr="00AC77DF">
        <w:t>。</w:t>
      </w:r>
    </w:p>
    <w:p w:rsidR="003807A5" w:rsidRPr="00AC77DF" w:rsidRDefault="003807A5" w:rsidP="00450E3B">
      <w:pPr>
        <w:pStyle w:val="1---"/>
        <w:ind w:firstLine="480"/>
      </w:pPr>
      <w:bookmarkStart w:id="590" w:name="_Toc482795812"/>
      <w:r w:rsidRPr="00AC77DF">
        <w:lastRenderedPageBreak/>
        <w:t>高中職班級基準、招生核定名額與免試續招辦理標準等事項，均受少子女化現象牽動。教育部宜審視生源變化趨勢並進行長期推估，儘早因應</w:t>
      </w:r>
      <w:bookmarkEnd w:id="590"/>
      <w:r w:rsidRPr="00AC77DF">
        <w:t>。</w:t>
      </w:r>
    </w:p>
    <w:p w:rsidR="003807A5" w:rsidRPr="00AC77DF" w:rsidRDefault="003807A5" w:rsidP="00450E3B">
      <w:pPr>
        <w:pStyle w:val="1---"/>
        <w:ind w:firstLine="480"/>
      </w:pPr>
      <w:r w:rsidRPr="00AC77DF">
        <w:t>依據本案調查意見</w:t>
      </w:r>
      <w:r w:rsidRPr="00326D27">
        <w:rPr>
          <w:rStyle w:val="aff2"/>
          <w:rFonts w:eastAsiaTheme="majorEastAsia"/>
        </w:rPr>
        <w:footnoteReference w:id="127"/>
      </w:r>
      <w:r w:rsidRPr="00AC77DF">
        <w:t>，監察院函請教育部會商有關機關研處改善。</w:t>
      </w:r>
    </w:p>
    <w:p w:rsidR="003807A5" w:rsidRPr="00AC77DF" w:rsidRDefault="00ED7809" w:rsidP="000B692A">
      <w:pPr>
        <w:pStyle w:val="afff1"/>
        <w:spacing w:before="360" w:after="360"/>
      </w:pPr>
      <w:bookmarkStart w:id="591" w:name="_Toc533430344"/>
      <w:r>
        <w:rPr>
          <w:rFonts w:hint="eastAsia"/>
        </w:rPr>
        <w:t>(三)</w:t>
      </w:r>
      <w:r w:rsidR="003807A5" w:rsidRPr="00AC77DF">
        <w:t>政府機關改善情形</w:t>
      </w:r>
      <w:bookmarkEnd w:id="591"/>
    </w:p>
    <w:p w:rsidR="003807A5" w:rsidRPr="00AC77DF" w:rsidRDefault="003807A5" w:rsidP="00425EE5">
      <w:pPr>
        <w:pStyle w:val="1----"/>
        <w:ind w:left="600" w:hanging="360"/>
      </w:pPr>
      <w:r w:rsidRPr="00AC77DF">
        <w:t>1</w:t>
      </w:r>
      <w:r w:rsidRPr="00AC77DF">
        <w:t>、教育部就志願序之規定及實際執行情形，徵詢各直轄市、縣（市）政府意見，結果顯示，大部分就學區之志願序執行情形已趨穩定。惟部分就學區志願序占總積分之比率達</w:t>
      </w:r>
      <w:r w:rsidRPr="00AC77DF">
        <w:t>1/3</w:t>
      </w:r>
      <w:r w:rsidRPr="00AC77DF">
        <w:t>，影響力不亞於「均衡學習」及「國中教育會考」項目，但志願序設計之規範原則未臻明確，教育部仍應評估處理。該部爰再請各直轄市政府教育局及各縣（市）政府，於規劃免試入學超額比序志願序項目時，宜考量志願序比重、群組數量及積分差距、可選填志願數量等，採客觀科學方法以提升其合理性，並斟酌各就學區特性實施，以維學生就學權益。</w:t>
      </w:r>
    </w:p>
    <w:p w:rsidR="003807A5" w:rsidRPr="00AC77DF" w:rsidRDefault="003807A5" w:rsidP="00425EE5">
      <w:pPr>
        <w:pStyle w:val="1----"/>
        <w:ind w:left="600" w:hanging="360"/>
        <w:rPr>
          <w:b/>
          <w:spacing w:val="-8"/>
        </w:rPr>
      </w:pPr>
      <w:r w:rsidRPr="00AC77DF">
        <w:rPr>
          <w:rFonts w:eastAsiaTheme="minorEastAsia"/>
        </w:rPr>
        <w:t>2</w:t>
      </w:r>
      <w:r w:rsidRPr="00AC77DF">
        <w:rPr>
          <w:rFonts w:eastAsiaTheme="minorEastAsia"/>
        </w:rPr>
        <w:t>、</w:t>
      </w:r>
      <w:r w:rsidRPr="00AC77DF">
        <w:rPr>
          <w:rFonts w:eastAsiaTheme="minorEastAsia"/>
        </w:rPr>
        <w:t>105</w:t>
      </w:r>
      <w:r w:rsidRPr="00AC77DF">
        <w:rPr>
          <w:rFonts w:eastAsiaTheme="minorEastAsia"/>
        </w:rPr>
        <w:t>學年度基北就學區免試入學學生於選填之前五志願即獲錄取者計有</w:t>
      </w:r>
      <w:r w:rsidRPr="00AC77DF">
        <w:rPr>
          <w:rFonts w:eastAsiaTheme="minorEastAsia"/>
        </w:rPr>
        <w:t>94.87%</w:t>
      </w:r>
      <w:r w:rsidRPr="00AC77DF">
        <w:rPr>
          <w:rFonts w:eastAsiaTheme="minorEastAsia"/>
        </w:rPr>
        <w:t>，於第一志願學校即獲錄取</w:t>
      </w:r>
      <w:r w:rsidRPr="00AC77DF">
        <w:t>者計有</w:t>
      </w:r>
      <w:r w:rsidRPr="00AC77DF">
        <w:t>32.23%</w:t>
      </w:r>
      <w:r w:rsidRPr="00AC77DF">
        <w:t>，落榜人數為</w:t>
      </w:r>
      <w:r w:rsidRPr="00AC77DF">
        <w:t>752</w:t>
      </w:r>
      <w:r w:rsidRPr="00AC77DF">
        <w:t>人；至</w:t>
      </w:r>
      <w:r w:rsidRPr="00AC77DF">
        <w:t>106</w:t>
      </w:r>
      <w:r w:rsidRPr="00AC77DF">
        <w:t>學年度，該就學區前五志願獲錄取者之比率為</w:t>
      </w:r>
      <w:r w:rsidRPr="00AC77DF">
        <w:t>97.51%</w:t>
      </w:r>
      <w:r w:rsidRPr="00AC77DF">
        <w:t>，於第一志願即獲錄取者比率為</w:t>
      </w:r>
      <w:r w:rsidRPr="00AC77DF">
        <w:t>35.42%</w:t>
      </w:r>
      <w:r w:rsidRPr="00AC77DF">
        <w:t>，落榜人數降至</w:t>
      </w:r>
      <w:r w:rsidRPr="00AC77DF">
        <w:t>306</w:t>
      </w:r>
      <w:r w:rsidRPr="00AC77DF">
        <w:t>人，已見改善。教</w:t>
      </w:r>
      <w:r w:rsidRPr="00AC77DF">
        <w:lastRenderedPageBreak/>
        <w:t>育部為了解各縣（市</w:t>
      </w:r>
      <w:r w:rsidRPr="0011227F">
        <w:rPr>
          <w:spacing w:val="-28"/>
        </w:rPr>
        <w:t>）</w:t>
      </w:r>
      <w:r w:rsidRPr="00AC77DF">
        <w:t>「續招」實際執行情形，於</w:t>
      </w:r>
      <w:r w:rsidRPr="00AC77DF">
        <w:t>106</w:t>
      </w:r>
      <w:r w:rsidRPr="00AC77DF">
        <w:t>年</w:t>
      </w:r>
      <w:r w:rsidRPr="00AC77DF">
        <w:t>7</w:t>
      </w:r>
      <w:r w:rsidRPr="00AC77DF">
        <w:t>月</w:t>
      </w:r>
      <w:r w:rsidRPr="00AC77DF">
        <w:t>3</w:t>
      </w:r>
      <w:r w:rsidRPr="00AC77DF">
        <w:t>日徵詢新北市、臺北市及基隆市政府等意見。經綜合考量檢討，未來該部與地方政府亦將持續透過各項管道宣傳續招事宜，加強與家長之溝通宣導。</w:t>
      </w:r>
    </w:p>
    <w:p w:rsidR="003807A5" w:rsidRPr="00AC77DF" w:rsidRDefault="003807A5" w:rsidP="00425EE5">
      <w:pPr>
        <w:pStyle w:val="1----"/>
        <w:ind w:left="600" w:hanging="360"/>
        <w:rPr>
          <w:b/>
          <w:spacing w:val="-8"/>
        </w:rPr>
      </w:pPr>
      <w:r w:rsidRPr="00AC77DF">
        <w:t>3</w:t>
      </w:r>
      <w:r w:rsidRPr="00AC77DF">
        <w:t>、教育部於</w:t>
      </w:r>
      <w:r w:rsidRPr="00AC77DF">
        <w:t>106</w:t>
      </w:r>
      <w:r w:rsidRPr="00AC77DF">
        <w:t>年</w:t>
      </w:r>
      <w:r w:rsidRPr="00AC77DF">
        <w:t>7</w:t>
      </w:r>
      <w:r w:rsidRPr="00AC77DF">
        <w:t>月</w:t>
      </w:r>
      <w:r w:rsidRPr="00AC77DF">
        <w:t>18</w:t>
      </w:r>
      <w:r w:rsidRPr="00AC77DF">
        <w:t>日函示各直轄市政府教育局及各縣市政府略以，基於入學推動工作小組召開會議討論議決之標的，主要係國民中學學生入學高級中等學校之相關事項，爰主政機關於聘任家長團體代表之小組委員時，宜優先選任具相關專業或教養經驗並得對討論議案充分表述意見，且具國民教育階段學生家長身分者，請各就學區主政機關於</w:t>
      </w:r>
      <w:r w:rsidRPr="00AC77DF">
        <w:t>108</w:t>
      </w:r>
      <w:r w:rsidRPr="00AC77DF">
        <w:t>學年度起，依上述說明組成入學推動工作小組，以杜爭議。</w:t>
      </w:r>
    </w:p>
    <w:p w:rsidR="003807A5" w:rsidRPr="00AC77DF" w:rsidRDefault="003807A5" w:rsidP="00425EE5">
      <w:pPr>
        <w:pStyle w:val="1----"/>
        <w:ind w:left="600" w:hanging="360"/>
      </w:pPr>
      <w:r w:rsidRPr="00AC77DF">
        <w:t>4</w:t>
      </w:r>
      <w:r w:rsidRPr="00AC77DF">
        <w:t>、教育部國教署已成立因應少子女化高級中等教育組工作小組，後續將依循「科班核減班</w:t>
      </w:r>
      <w:r w:rsidR="0045234D" w:rsidRPr="00AC77DF">
        <w:t>級</w:t>
      </w:r>
      <w:r w:rsidRPr="00AC77DF">
        <w:t>及人數調降之檢討</w:t>
      </w:r>
      <w:r w:rsidRPr="0011227F">
        <w:rPr>
          <w:spacing w:val="-28"/>
        </w:rPr>
        <w:t>」、</w:t>
      </w:r>
      <w:r w:rsidRPr="00AC77DF">
        <w:t>「招生不足超額教師之處置</w:t>
      </w:r>
      <w:r w:rsidRPr="0011227F">
        <w:rPr>
          <w:spacing w:val="-28"/>
        </w:rPr>
        <w:t>」、</w:t>
      </w:r>
      <w:r w:rsidRPr="00AC77DF">
        <w:t>「調整科班及提升學校辦學特色」等面向執行，持續精進因應策略。是以，有關高級中等學校班級人數及申辦免試續招標準，未來將衡酌少子女化趨勢，視生源變化，邀集各直轄市、縣市政府進行研商。</w:t>
      </w:r>
    </w:p>
    <w:p w:rsidR="003807A5" w:rsidRPr="00AC77DF" w:rsidRDefault="00ED7809" w:rsidP="000B692A">
      <w:pPr>
        <w:pStyle w:val="afff1"/>
        <w:spacing w:before="360" w:after="360"/>
        <w:rPr>
          <w:color w:val="000000" w:themeColor="text1"/>
          <w:szCs w:val="28"/>
          <w:lang w:eastAsia="zh-HK"/>
        </w:rPr>
      </w:pPr>
      <w:bookmarkStart w:id="592" w:name="_Toc533430345"/>
      <w:r>
        <w:rPr>
          <w:rFonts w:hint="eastAsia"/>
        </w:rPr>
        <w:t>(四)</w:t>
      </w:r>
      <w:r w:rsidR="003807A5" w:rsidRPr="00AC77DF">
        <w:t>案件進展</w:t>
      </w:r>
      <w:bookmarkEnd w:id="592"/>
    </w:p>
    <w:p w:rsidR="003807A5" w:rsidRDefault="003807A5" w:rsidP="00450E3B">
      <w:pPr>
        <w:pStyle w:val="1---"/>
        <w:ind w:firstLine="480"/>
        <w:rPr>
          <w:lang w:eastAsia="zh-TW"/>
        </w:rPr>
      </w:pPr>
      <w:r w:rsidRPr="00AC77DF">
        <w:t>本案已產生具體成果，並由教育部自行列管。</w:t>
      </w:r>
    </w:p>
    <w:p w:rsidR="00F738E3" w:rsidRDefault="00F738E3">
      <w:bookmarkStart w:id="593" w:name="_Toc535228406"/>
      <w:bookmarkStart w:id="594" w:name="_Toc4058817"/>
      <w:r>
        <w:rPr>
          <w:shadow/>
        </w:rPr>
        <w:br w:type="page"/>
      </w:r>
    </w:p>
    <w:tbl>
      <w:tblPr>
        <w:tblStyle w:val="aff5"/>
        <w:tblW w:w="0" w:type="auto"/>
        <w:tblInd w:w="113" w:type="dxa"/>
        <w:shd w:val="clear" w:color="auto" w:fill="D9D9D9" w:themeFill="background1" w:themeFillShade="D9"/>
        <w:tblLook w:val="04A0" w:firstRow="1" w:lastRow="0" w:firstColumn="1" w:lastColumn="0" w:noHBand="0" w:noVBand="1"/>
      </w:tblPr>
      <w:tblGrid>
        <w:gridCol w:w="3567"/>
      </w:tblGrid>
      <w:tr w:rsidR="00ED7809" w:rsidTr="0011227F">
        <w:tc>
          <w:tcPr>
            <w:tcW w:w="3567" w:type="dxa"/>
            <w:shd w:val="clear" w:color="auto" w:fill="D9D9D9" w:themeFill="background1" w:themeFillShade="D9"/>
          </w:tcPr>
          <w:p w:rsidR="00ED7809" w:rsidRDefault="00ED7809" w:rsidP="00ED7809">
            <w:pPr>
              <w:pStyle w:val="11-"/>
              <w:spacing w:before="72" w:after="108"/>
            </w:pPr>
            <w:r w:rsidRPr="00AC77DF">
              <w:rPr>
                <w:rFonts w:ascii="Times New Roman"/>
              </w:rPr>
              <w:lastRenderedPageBreak/>
              <w:t>繁星計畫</w:t>
            </w:r>
            <w:r w:rsidRPr="00AC77DF">
              <w:rPr>
                <w:rFonts w:ascii="Times New Roman"/>
                <w:lang w:eastAsia="zh-HK"/>
              </w:rPr>
              <w:t>實施成效評估案</w:t>
            </w:r>
          </w:p>
        </w:tc>
      </w:tr>
      <w:bookmarkEnd w:id="578"/>
      <w:bookmarkEnd w:id="593"/>
      <w:bookmarkEnd w:id="594"/>
    </w:tbl>
    <w:p w:rsidR="003807A5" w:rsidRPr="00F738E3" w:rsidRDefault="003807A5" w:rsidP="00F738E3">
      <w:pPr>
        <w:pStyle w:val="1---"/>
        <w:ind w:firstLine="480"/>
      </w:pPr>
    </w:p>
    <w:tbl>
      <w:tblPr>
        <w:tblW w:w="4777" w:type="pct"/>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44"/>
      </w:tblGrid>
      <w:tr w:rsidR="003807A5" w:rsidRPr="00AC77DF" w:rsidTr="0011227F">
        <w:tc>
          <w:tcPr>
            <w:tcW w:w="5000" w:type="pct"/>
          </w:tcPr>
          <w:p w:rsidR="003807A5" w:rsidRPr="00AC77DF" w:rsidRDefault="003807A5" w:rsidP="00A62082">
            <w:pPr>
              <w:spacing w:line="360" w:lineRule="exact"/>
              <w:jc w:val="both"/>
              <w:rPr>
                <w:lang w:val="x-none"/>
              </w:rPr>
            </w:pPr>
            <w:r w:rsidRPr="00AC77DF">
              <w:rPr>
                <w:b/>
                <w:lang w:val="x-none"/>
              </w:rPr>
              <w:t>相關國際人權公約：</w:t>
            </w:r>
            <w:r w:rsidRPr="00AC77DF">
              <w:t>經濟</w:t>
            </w:r>
            <w:r w:rsidRPr="00AC77DF">
              <w:rPr>
                <w:lang w:val="x-none"/>
              </w:rPr>
              <w:t>社會文化權利國際公約第</w:t>
            </w:r>
            <w:r w:rsidRPr="00AC77DF">
              <w:t>13</w:t>
            </w:r>
            <w:r w:rsidRPr="00AC77DF">
              <w:rPr>
                <w:lang w:val="x-none"/>
              </w:rPr>
              <w:t>條</w:t>
            </w:r>
          </w:p>
          <w:p w:rsidR="003807A5" w:rsidRPr="00AC77DF" w:rsidRDefault="003807A5" w:rsidP="00A62082">
            <w:pPr>
              <w:spacing w:line="360" w:lineRule="exact"/>
              <w:jc w:val="both"/>
              <w:rPr>
                <w:b/>
                <w:lang w:val="x-none"/>
              </w:rPr>
            </w:pPr>
            <w:r w:rsidRPr="00AC77DF">
              <w:rPr>
                <w:b/>
              </w:rPr>
              <w:t>經濟</w:t>
            </w:r>
            <w:r w:rsidRPr="00AC77DF">
              <w:rPr>
                <w:b/>
                <w:lang w:val="x-none"/>
              </w:rPr>
              <w:t>社會文化權利國際公約第</w:t>
            </w:r>
            <w:r w:rsidRPr="00AC77DF">
              <w:rPr>
                <w:b/>
              </w:rPr>
              <w:t>13</w:t>
            </w:r>
            <w:r w:rsidRPr="00AC77DF">
              <w:rPr>
                <w:b/>
                <w:lang w:val="x-none"/>
              </w:rPr>
              <w:t>條</w:t>
            </w:r>
          </w:p>
          <w:p w:rsidR="003807A5" w:rsidRPr="00AC77DF" w:rsidRDefault="003807A5" w:rsidP="00A62082">
            <w:pPr>
              <w:spacing w:line="360" w:lineRule="exact"/>
              <w:ind w:left="480" w:hangingChars="200" w:hanging="480"/>
              <w:jc w:val="both"/>
              <w:rPr>
                <w:lang w:val="x-none"/>
              </w:rPr>
            </w:pPr>
            <w:r w:rsidRPr="00AC77DF">
              <w:rPr>
                <w:lang w:val="x-none"/>
              </w:rPr>
              <w:t>一、本公約締約國確認人人有受教育之權。締約國公認教育應謀人格及人格尊嚴意識之充分發展，增強對人權與基本自由之尊重。締約國又公認教育應使人人均能參加自由社會積極貢獻，應促進各民族間及各種族、人種或宗教團體間之了解、容恕及友好關係，並應推進聯合國維持和平之工作。</w:t>
            </w:r>
          </w:p>
          <w:p w:rsidR="003807A5" w:rsidRPr="00AC77DF" w:rsidRDefault="003807A5" w:rsidP="00A62082">
            <w:pPr>
              <w:spacing w:line="360" w:lineRule="exact"/>
              <w:jc w:val="both"/>
              <w:rPr>
                <w:lang w:val="x-none"/>
              </w:rPr>
            </w:pPr>
            <w:r w:rsidRPr="00AC77DF">
              <w:rPr>
                <w:lang w:val="x-none"/>
              </w:rPr>
              <w:t>二、本公約締約國為求充分實現此種權利起見，確認：</w:t>
            </w:r>
          </w:p>
          <w:p w:rsidR="003807A5" w:rsidRPr="00AC77DF" w:rsidRDefault="0011227F" w:rsidP="00A62082">
            <w:pPr>
              <w:spacing w:line="360" w:lineRule="exact"/>
              <w:jc w:val="both"/>
              <w:rPr>
                <w:lang w:val="x-none"/>
              </w:rPr>
            </w:pPr>
            <w:r>
              <w:rPr>
                <w:rFonts w:hint="eastAsia"/>
                <w:lang w:val="x-none"/>
              </w:rPr>
              <w:t xml:space="preserve">　　</w:t>
            </w:r>
            <w:r>
              <w:rPr>
                <w:rFonts w:hint="eastAsia"/>
                <w:lang w:val="x-none"/>
              </w:rPr>
              <w:t>(</w:t>
            </w:r>
            <w:r w:rsidR="003807A5" w:rsidRPr="00AC77DF">
              <w:rPr>
                <w:lang w:val="x-none"/>
              </w:rPr>
              <w:t>一</w:t>
            </w:r>
            <w:r>
              <w:rPr>
                <w:rFonts w:hint="eastAsia"/>
                <w:lang w:val="x-none"/>
              </w:rPr>
              <w:t>)</w:t>
            </w:r>
            <w:r w:rsidR="003807A5" w:rsidRPr="00AC77DF">
              <w:rPr>
                <w:lang w:val="x-none"/>
              </w:rPr>
              <w:t>初等教育應屬強迫性質，免費普及全民；</w:t>
            </w:r>
          </w:p>
          <w:p w:rsidR="003807A5" w:rsidRPr="00AC77DF" w:rsidRDefault="0011227F" w:rsidP="00A62082">
            <w:pPr>
              <w:spacing w:line="360" w:lineRule="exact"/>
              <w:ind w:left="910" w:hangingChars="379" w:hanging="910"/>
              <w:jc w:val="both"/>
              <w:rPr>
                <w:lang w:val="x-none"/>
              </w:rPr>
            </w:pPr>
            <w:r>
              <w:rPr>
                <w:rFonts w:hint="eastAsia"/>
                <w:lang w:val="x-none"/>
              </w:rPr>
              <w:t xml:space="preserve">　　</w:t>
            </w:r>
            <w:r w:rsidR="00A62082">
              <w:rPr>
                <w:rFonts w:hint="eastAsia"/>
                <w:lang w:val="x-none"/>
              </w:rPr>
              <w:t>(</w:t>
            </w:r>
            <w:r w:rsidR="003807A5" w:rsidRPr="00AC77DF">
              <w:rPr>
                <w:lang w:val="x-none"/>
              </w:rPr>
              <w:t>二</w:t>
            </w:r>
            <w:r w:rsidR="00A62082">
              <w:rPr>
                <w:rFonts w:hint="eastAsia"/>
                <w:lang w:val="x-none"/>
              </w:rPr>
              <w:t>)</w:t>
            </w:r>
            <w:r w:rsidR="003807A5" w:rsidRPr="00AC77DF">
              <w:rPr>
                <w:lang w:val="x-none"/>
              </w:rPr>
              <w:t>各種中等教育，包括技術及職業中等教育在內，應以一切適當方法，特別應逐漸採行免費教育制度，廣行舉辦，庶使人人均有接受機會；</w:t>
            </w:r>
          </w:p>
          <w:p w:rsidR="003807A5" w:rsidRPr="00AC77DF" w:rsidRDefault="0011227F" w:rsidP="00A62082">
            <w:pPr>
              <w:spacing w:line="360" w:lineRule="exact"/>
              <w:ind w:left="910" w:hangingChars="379" w:hanging="910"/>
              <w:jc w:val="both"/>
              <w:rPr>
                <w:lang w:val="x-none"/>
              </w:rPr>
            </w:pPr>
            <w:r>
              <w:rPr>
                <w:rFonts w:hint="eastAsia"/>
                <w:lang w:val="x-none"/>
              </w:rPr>
              <w:t xml:space="preserve">　　</w:t>
            </w:r>
            <w:r w:rsidR="00A62082">
              <w:rPr>
                <w:rFonts w:hint="eastAsia"/>
                <w:lang w:val="x-none"/>
              </w:rPr>
              <w:t>(</w:t>
            </w:r>
            <w:r w:rsidR="003807A5" w:rsidRPr="00AC77DF">
              <w:rPr>
                <w:lang w:val="x-none"/>
              </w:rPr>
              <w:t>三</w:t>
            </w:r>
            <w:r w:rsidR="00A62082">
              <w:rPr>
                <w:rFonts w:hint="eastAsia"/>
                <w:lang w:val="x-none"/>
              </w:rPr>
              <w:t>)</w:t>
            </w:r>
            <w:r w:rsidR="003807A5" w:rsidRPr="00AC77DF">
              <w:rPr>
                <w:lang w:val="x-none"/>
              </w:rPr>
              <w:t>高等教育應根據能力，以一切適當方法，特別應逐漸採行免費教育制度，使人人有平等接受機會；</w:t>
            </w:r>
          </w:p>
          <w:p w:rsidR="003807A5" w:rsidRPr="00AC77DF" w:rsidRDefault="0011227F" w:rsidP="00A62082">
            <w:pPr>
              <w:spacing w:line="360" w:lineRule="exact"/>
              <w:ind w:left="910" w:hangingChars="379" w:hanging="910"/>
              <w:jc w:val="both"/>
              <w:rPr>
                <w:lang w:val="x-none"/>
              </w:rPr>
            </w:pPr>
            <w:r>
              <w:rPr>
                <w:rFonts w:hint="eastAsia"/>
                <w:lang w:val="x-none"/>
              </w:rPr>
              <w:t xml:space="preserve">　　</w:t>
            </w:r>
            <w:r w:rsidR="00A62082">
              <w:rPr>
                <w:rFonts w:hint="eastAsia"/>
                <w:lang w:val="x-none"/>
              </w:rPr>
              <w:t>(</w:t>
            </w:r>
            <w:r w:rsidR="003807A5" w:rsidRPr="00AC77DF">
              <w:rPr>
                <w:lang w:val="x-none"/>
              </w:rPr>
              <w:t>四</w:t>
            </w:r>
            <w:r w:rsidR="00A62082">
              <w:rPr>
                <w:rFonts w:hint="eastAsia"/>
                <w:lang w:val="x-none"/>
              </w:rPr>
              <w:t>)</w:t>
            </w:r>
            <w:r w:rsidR="003807A5" w:rsidRPr="00AC77DF">
              <w:rPr>
                <w:lang w:val="x-none"/>
              </w:rPr>
              <w:t>基本教育應儘量予以鼓勵或加緊辦理，以利未受初等教育或未能完成初等教育之人；</w:t>
            </w:r>
          </w:p>
          <w:p w:rsidR="003807A5" w:rsidRPr="00AC77DF" w:rsidRDefault="0011227F" w:rsidP="00A62082">
            <w:pPr>
              <w:spacing w:line="360" w:lineRule="exact"/>
              <w:ind w:left="910" w:hangingChars="379" w:hanging="910"/>
              <w:jc w:val="both"/>
              <w:rPr>
                <w:lang w:val="x-none"/>
              </w:rPr>
            </w:pPr>
            <w:r>
              <w:rPr>
                <w:rFonts w:hint="eastAsia"/>
                <w:lang w:val="x-none"/>
              </w:rPr>
              <w:t xml:space="preserve">　　</w:t>
            </w:r>
            <w:r w:rsidR="00A62082">
              <w:rPr>
                <w:rFonts w:hint="eastAsia"/>
                <w:lang w:val="x-none"/>
              </w:rPr>
              <w:t>(</w:t>
            </w:r>
            <w:r w:rsidR="003807A5" w:rsidRPr="00AC77DF">
              <w:rPr>
                <w:lang w:val="x-none"/>
              </w:rPr>
              <w:t>五</w:t>
            </w:r>
            <w:r w:rsidR="00A62082">
              <w:rPr>
                <w:rFonts w:hint="eastAsia"/>
                <w:lang w:val="x-none"/>
              </w:rPr>
              <w:t>)</w:t>
            </w:r>
            <w:r w:rsidR="003807A5" w:rsidRPr="00AC77DF">
              <w:rPr>
                <w:lang w:val="x-none"/>
              </w:rPr>
              <w:t>各級學校完備之制度應予積極發展，適當之獎學金制度應予設置，教育人員之物質條件亦應不斷改善。</w:t>
            </w:r>
          </w:p>
          <w:p w:rsidR="003807A5" w:rsidRPr="00AC77DF" w:rsidRDefault="003807A5" w:rsidP="00A62082">
            <w:pPr>
              <w:spacing w:line="360" w:lineRule="exact"/>
              <w:ind w:left="480" w:hangingChars="200" w:hanging="480"/>
              <w:jc w:val="both"/>
              <w:rPr>
                <w:lang w:val="x-none"/>
              </w:rPr>
            </w:pPr>
            <w:r w:rsidRPr="00AC77DF">
              <w:rPr>
                <w:lang w:val="x-none"/>
              </w:rPr>
              <w:t>三、本公約締約國承允尊重父母或法定監護人為子女選擇符合國家所規定或認可最低教育標準之非公立學校，及確</w:t>
            </w:r>
            <w:r w:rsidRPr="00AC77DF">
              <w:rPr>
                <w:lang w:val="x-none"/>
              </w:rPr>
              <w:lastRenderedPageBreak/>
              <w:t>保子女接受符合其本人信仰之宗教及道德教育之自由。</w:t>
            </w:r>
          </w:p>
          <w:p w:rsidR="003807A5" w:rsidRPr="00AC77DF" w:rsidRDefault="003807A5" w:rsidP="00F738E3">
            <w:pPr>
              <w:spacing w:afterLines="30" w:after="108" w:line="360" w:lineRule="exact"/>
              <w:ind w:left="480" w:hangingChars="200" w:hanging="480"/>
              <w:jc w:val="both"/>
              <w:rPr>
                <w:lang w:val="x-none"/>
              </w:rPr>
            </w:pPr>
            <w:r w:rsidRPr="00AC77DF">
              <w:rPr>
                <w:lang w:val="x-none"/>
              </w:rPr>
              <w:t>四、本條任何部分不得解釋為干涉個人或團體設立及管理教育機構之自由，但以遵守本條第一項所載原則及此等機構所施教育符合國家所定最低標準為限。</w:t>
            </w:r>
          </w:p>
        </w:tc>
      </w:tr>
    </w:tbl>
    <w:p w:rsidR="003807A5" w:rsidRPr="00AC77DF" w:rsidRDefault="00ED7809" w:rsidP="000B692A">
      <w:pPr>
        <w:pStyle w:val="afff1"/>
        <w:spacing w:before="360" w:after="360"/>
      </w:pPr>
      <w:bookmarkStart w:id="595" w:name="_Toc533430327"/>
      <w:r>
        <w:rPr>
          <w:rFonts w:hint="eastAsia"/>
        </w:rPr>
        <w:lastRenderedPageBreak/>
        <w:t>(一)</w:t>
      </w:r>
      <w:r w:rsidR="003807A5" w:rsidRPr="00AC77DF">
        <w:t>案情簡述</w:t>
      </w:r>
      <w:bookmarkEnd w:id="595"/>
    </w:p>
    <w:p w:rsidR="003807A5" w:rsidRPr="00AC77DF" w:rsidRDefault="003807A5" w:rsidP="00450E3B">
      <w:pPr>
        <w:pStyle w:val="1---"/>
        <w:ind w:firstLine="480"/>
      </w:pPr>
      <w:r w:rsidRPr="00AC77DF">
        <w:t>據悉，據審計部</w:t>
      </w:r>
      <w:r w:rsidRPr="00AC77DF">
        <w:t>104</w:t>
      </w:r>
      <w:r w:rsidRPr="00AC77DF">
        <w:t>年度中央政府總決算審核報告，近年來依繁星計畫錄取學生放棄入學情形日增，有無影響弱勢學生就學權益？究教育部自</w:t>
      </w:r>
      <w:r w:rsidRPr="00AC77DF">
        <w:t>96</w:t>
      </w:r>
      <w:r w:rsidRPr="00AC77DF">
        <w:t>學年度推動「繁星計畫」以來，對於城鄉教育差距以及區域資源分配不均等現象，是否發揮調整和改善的作用？案經教育及文化委員會決議調查。</w:t>
      </w:r>
    </w:p>
    <w:p w:rsidR="003807A5" w:rsidRPr="00AC77DF" w:rsidRDefault="00ED7809" w:rsidP="000B692A">
      <w:pPr>
        <w:pStyle w:val="afff1"/>
        <w:spacing w:before="360" w:after="360"/>
      </w:pPr>
      <w:bookmarkStart w:id="596" w:name="_Toc533430328"/>
      <w:r>
        <w:rPr>
          <w:rFonts w:hint="eastAsia"/>
        </w:rPr>
        <w:t>(二)</w:t>
      </w:r>
      <w:r w:rsidR="003807A5" w:rsidRPr="00AC77DF">
        <w:t>監察院調查發現與建議</w:t>
      </w:r>
      <w:bookmarkEnd w:id="596"/>
    </w:p>
    <w:p w:rsidR="003807A5" w:rsidRPr="00AC77DF" w:rsidRDefault="00597483" w:rsidP="00564517">
      <w:pPr>
        <w:pStyle w:val="1--13"/>
        <w:spacing w:before="180" w:after="180"/>
      </w:pPr>
      <w:r w:rsidRPr="008E1832">
        <w:rPr>
          <w:rFonts w:hint="eastAsia"/>
        </w:rPr>
        <w:t>˙</w:t>
      </w:r>
      <w:r w:rsidR="003807A5" w:rsidRPr="00AC77DF">
        <w:t>城鄉資源不均</w:t>
      </w:r>
    </w:p>
    <w:p w:rsidR="003807A5" w:rsidRPr="00AC77DF" w:rsidRDefault="003807A5" w:rsidP="00450E3B">
      <w:pPr>
        <w:pStyle w:val="1---"/>
        <w:ind w:firstLine="480"/>
      </w:pPr>
      <w:r w:rsidRPr="00AC77DF">
        <w:t>教育部以繁星計畫作為促進城鄉公平競爭教育的機會，但是臺灣教育資源分配原本就存在許多不公平的地方，未見教育部提出相關配套措施來提升鄉間教育資源，增加學習資源弱勢學生之教育程度；反以校校等值制度，讓素質參差不齊之學生再由大學端負起補救教育。實施</w:t>
      </w:r>
      <w:r w:rsidRPr="00AC77DF">
        <w:t>10</w:t>
      </w:r>
      <w:r w:rsidRPr="00AC77DF">
        <w:t>年後，教育部對於繁星生錄取後放棄之原因既未做全面性普查分析，又部分學校未將繁星計畫用來發展學校特色並協助學生適性發展，反操弄繁星作為升學績效之表徵來對外招攬學生。此外，繁星生業為大學招生</w:t>
      </w:r>
      <w:r w:rsidRPr="00AC77DF">
        <w:lastRenderedPageBreak/>
        <w:t>之內含名額，易使外界質疑繁星計畫公平性與其定位。是以，為免繁星計畫無法達到適性揚才及培養人民健全人格之目標，教育部宜致力推動城鄉教育資源均衡。</w:t>
      </w:r>
    </w:p>
    <w:p w:rsidR="003807A5" w:rsidRPr="00AC77DF" w:rsidRDefault="00597483" w:rsidP="00564517">
      <w:pPr>
        <w:pStyle w:val="1--13"/>
        <w:spacing w:before="180" w:after="180"/>
      </w:pPr>
      <w:r w:rsidRPr="008E1832">
        <w:rPr>
          <w:rFonts w:hint="eastAsia"/>
        </w:rPr>
        <w:t>˙</w:t>
      </w:r>
      <w:r w:rsidR="003807A5" w:rsidRPr="00AC77DF">
        <w:t>繁星計畫之成效遭受質疑</w:t>
      </w:r>
    </w:p>
    <w:p w:rsidR="003807A5" w:rsidRPr="00AC77DF" w:rsidRDefault="003807A5" w:rsidP="003D24A9">
      <w:pPr>
        <w:pStyle w:val="1---"/>
        <w:ind w:firstLine="480"/>
      </w:pPr>
      <w:r w:rsidRPr="00AC77DF">
        <w:t>繁星計畫自</w:t>
      </w:r>
      <w:r w:rsidRPr="00AC77DF">
        <w:t>96</w:t>
      </w:r>
      <w:r w:rsidRPr="00AC77DF">
        <w:t>年執行迄今已屆</w:t>
      </w:r>
      <w:r w:rsidRPr="00AC77DF">
        <w:t>10</w:t>
      </w:r>
      <w:r w:rsidRPr="00AC77DF">
        <w:t>年，大學繁星名額已從</w:t>
      </w:r>
      <w:r w:rsidRPr="00AC77DF">
        <w:t>96</w:t>
      </w:r>
      <w:r w:rsidRPr="00AC77DF">
        <w:t>年之</w:t>
      </w:r>
      <w:r w:rsidRPr="00AC77DF">
        <w:t>786</w:t>
      </w:r>
      <w:r w:rsidRPr="00AC77DF">
        <w:t>名大幅增加至</w:t>
      </w:r>
      <w:r w:rsidRPr="00AC77DF">
        <w:t>106</w:t>
      </w:r>
      <w:r w:rsidRPr="00AC77DF">
        <w:t>年之</w:t>
      </w:r>
      <w:r w:rsidRPr="00AC77DF">
        <w:t>1</w:t>
      </w:r>
      <w:r w:rsidRPr="00AC77DF">
        <w:t>萬</w:t>
      </w:r>
      <w:r w:rsidRPr="00AC77DF">
        <w:t>7,566</w:t>
      </w:r>
      <w:r w:rsidRPr="00AC77DF">
        <w:t>名，占總核定招生名額</w:t>
      </w:r>
      <w:r w:rsidRPr="003D24A9">
        <w:rPr>
          <w:spacing w:val="-22"/>
        </w:rPr>
        <w:t>之</w:t>
      </w:r>
      <w:r w:rsidRPr="00AC77DF">
        <w:t>15</w:t>
      </w:r>
      <w:r w:rsidR="00F9266D">
        <w:t>%</w:t>
      </w:r>
      <w:r w:rsidRPr="00AC77DF">
        <w:t>，其為大學多元入學方案管道之一。教育部雖提供相關統計數據分析說明執行成效，惟對繁星升學管道所占比率及其入學後之各面向表現，外界尚有不同質疑聲音或看法。又私立大學與公立大學間本身即存有先天性之不平等及差異，況且目前日益嚴重的少子化問題，使得各大專校院利用繁星招生時間在前之優勢，逐年擴大名額搶先招收學生。</w:t>
      </w:r>
    </w:p>
    <w:p w:rsidR="003807A5" w:rsidRPr="00AC77DF" w:rsidRDefault="00597483" w:rsidP="00564517">
      <w:pPr>
        <w:pStyle w:val="1--13"/>
        <w:spacing w:before="180" w:after="180"/>
      </w:pPr>
      <w:r w:rsidRPr="008E1832">
        <w:rPr>
          <w:rFonts w:hint="eastAsia"/>
        </w:rPr>
        <w:t>˙</w:t>
      </w:r>
      <w:r w:rsidR="003807A5" w:rsidRPr="00AC77DF">
        <w:t>缺乏公費師資培育制度</w:t>
      </w:r>
    </w:p>
    <w:p w:rsidR="003807A5" w:rsidRPr="00AC77DF" w:rsidRDefault="003807A5" w:rsidP="00450E3B">
      <w:pPr>
        <w:pStyle w:val="1---"/>
        <w:ind w:firstLine="480"/>
      </w:pPr>
      <w:r w:rsidRPr="00AC77DF">
        <w:t>案經</w:t>
      </w:r>
      <w:r>
        <w:t>監察院</w:t>
      </w:r>
      <w:r w:rsidRPr="00AC77DF">
        <w:t>諮詢</w:t>
      </w:r>
      <w:r w:rsidRPr="00AC77DF">
        <w:t>3</w:t>
      </w:r>
      <w:r w:rsidRPr="00AC77DF">
        <w:t>所師範大學意見瞭解，目前大學多元入學方案三大招生管道中之「繁星推薦」尚乏公費師資培育制度。繁星推薦學生人格特質兼具有「加強尊重多元差異、族群文化、社會關懷」之意涵，並依其志願興趣選擇多來自社區型或偏遠地區高中，其學習態度良好且動機強烈，學業表現穩定性高，倘能結合公費師資培育制度，對於照顧偏鄉提升當地教育水準，可收相輔相成之效。</w:t>
      </w:r>
    </w:p>
    <w:p w:rsidR="003807A5" w:rsidRPr="00AC77DF" w:rsidRDefault="003807A5" w:rsidP="00450E3B">
      <w:pPr>
        <w:pStyle w:val="1---"/>
        <w:ind w:firstLine="480"/>
      </w:pPr>
      <w:r w:rsidRPr="00AC77DF">
        <w:t>依據本案調查意見</w:t>
      </w:r>
      <w:r w:rsidRPr="00326D27">
        <w:rPr>
          <w:rStyle w:val="aff2"/>
          <w:rFonts w:eastAsiaTheme="majorEastAsia"/>
        </w:rPr>
        <w:footnoteReference w:id="128"/>
      </w:r>
      <w:r w:rsidRPr="00AC77DF">
        <w:t>，監察院函請教育部檢討改進見復及</w:t>
      </w:r>
      <w:r w:rsidRPr="00AC77DF">
        <w:lastRenderedPageBreak/>
        <w:t>參處。</w:t>
      </w:r>
    </w:p>
    <w:p w:rsidR="003807A5" w:rsidRPr="00AC77DF" w:rsidRDefault="00ED7809" w:rsidP="000B692A">
      <w:pPr>
        <w:pStyle w:val="afff1"/>
        <w:spacing w:before="360" w:after="360"/>
      </w:pPr>
      <w:bookmarkStart w:id="597" w:name="_Toc533430329"/>
      <w:r>
        <w:rPr>
          <w:rFonts w:hint="eastAsia"/>
        </w:rPr>
        <w:t>(三)</w:t>
      </w:r>
      <w:r w:rsidR="003807A5" w:rsidRPr="00AC77DF">
        <w:t>政府機關改善情形</w:t>
      </w:r>
      <w:bookmarkEnd w:id="597"/>
    </w:p>
    <w:p w:rsidR="003807A5" w:rsidRPr="00AC77DF" w:rsidRDefault="003807A5" w:rsidP="00425EE5">
      <w:pPr>
        <w:pStyle w:val="1----"/>
        <w:ind w:left="600" w:hanging="360"/>
      </w:pPr>
      <w:r w:rsidRPr="00AC77DF">
        <w:t>1</w:t>
      </w:r>
      <w:r w:rsidRPr="00AC77DF">
        <w:t>、教育部自</w:t>
      </w:r>
      <w:r w:rsidRPr="00AC77DF">
        <w:t>107</w:t>
      </w:r>
      <w:r w:rsidRPr="00AC77DF">
        <w:t>學年度起大學繁星推薦入學及科技校院繁星計畫已針對錄取生聲明放棄原因進行收集</w:t>
      </w:r>
      <w:r w:rsidRPr="003D24A9">
        <w:rPr>
          <w:spacing w:val="-28"/>
        </w:rPr>
        <w:t>，</w:t>
      </w:r>
      <w:r w:rsidRPr="00AC77DF">
        <w:t>「放棄錄取資格聲明書」已增設放棄原因填寫說明，以期作為繁星計畫政策未來修訂參考。</w:t>
      </w:r>
    </w:p>
    <w:p w:rsidR="003807A5" w:rsidRPr="00AC77DF" w:rsidRDefault="003807A5" w:rsidP="00425EE5">
      <w:pPr>
        <w:pStyle w:val="1----"/>
        <w:ind w:left="600" w:hanging="360"/>
      </w:pPr>
      <w:r w:rsidRPr="00AC77DF">
        <w:t>2</w:t>
      </w:r>
      <w:r w:rsidRPr="00AC77DF">
        <w:t>、教育部請大學甄選入學委員會將各界對繁星推薦之看法錄案，作為大學繁星推薦入學檢討會之研討主題，並彙整各校意見。</w:t>
      </w:r>
    </w:p>
    <w:p w:rsidR="003807A5" w:rsidRPr="00AC77DF" w:rsidRDefault="003807A5" w:rsidP="00425EE5">
      <w:pPr>
        <w:pStyle w:val="1----"/>
        <w:ind w:left="600" w:hanging="360"/>
      </w:pPr>
      <w:r w:rsidRPr="00AC77DF">
        <w:t>3</w:t>
      </w:r>
      <w:r w:rsidRPr="00AC77DF">
        <w:t>、有關「繁星推薦」是否結合公費師資培育制度之議題，教育部業錄案研參，並將納入</w:t>
      </w:r>
      <w:r w:rsidRPr="00AC77DF">
        <w:t>108</w:t>
      </w:r>
      <w:r w:rsidRPr="00AC77DF">
        <w:t>學年度規劃師資培育公費名額時一併討論。</w:t>
      </w:r>
    </w:p>
    <w:p w:rsidR="003807A5" w:rsidRPr="00AC77DF" w:rsidRDefault="00ED7809" w:rsidP="000B692A">
      <w:pPr>
        <w:pStyle w:val="afff1"/>
        <w:spacing w:before="360" w:after="360"/>
      </w:pPr>
      <w:bookmarkStart w:id="598" w:name="_Toc533430330"/>
      <w:r>
        <w:rPr>
          <w:rFonts w:hint="eastAsia"/>
        </w:rPr>
        <w:t>(四)</w:t>
      </w:r>
      <w:r w:rsidR="003807A5" w:rsidRPr="00AC77DF">
        <w:t>案件進展</w:t>
      </w:r>
      <w:bookmarkEnd w:id="598"/>
    </w:p>
    <w:p w:rsidR="003807A5" w:rsidRDefault="003807A5" w:rsidP="00450E3B">
      <w:pPr>
        <w:pStyle w:val="1---"/>
        <w:ind w:firstLine="480"/>
        <w:rPr>
          <w:lang w:eastAsia="zh-TW"/>
        </w:rPr>
      </w:pPr>
      <w:r w:rsidRPr="00AC77DF">
        <w:t>本案監察院仍持續追蹤主管機關辦理情形。</w:t>
      </w:r>
    </w:p>
    <w:p w:rsidR="00ED7809" w:rsidRDefault="00ED7809" w:rsidP="00450E3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6392"/>
      </w:tblGrid>
      <w:tr w:rsidR="00ED7809" w:rsidTr="003D24A9">
        <w:tc>
          <w:tcPr>
            <w:tcW w:w="6392" w:type="dxa"/>
            <w:shd w:val="clear" w:color="auto" w:fill="D9D9D9" w:themeFill="background1" w:themeFillShade="D9"/>
          </w:tcPr>
          <w:p w:rsidR="00ED7809" w:rsidRDefault="00ED7809" w:rsidP="00ED7809">
            <w:pPr>
              <w:pStyle w:val="11-"/>
              <w:spacing w:before="72" w:after="108"/>
              <w:rPr>
                <w:lang w:eastAsia="zh-TW"/>
              </w:rPr>
            </w:pPr>
            <w:bookmarkStart w:id="599" w:name="_Toc533430336"/>
            <w:bookmarkStart w:id="600" w:name="_Toc535228407"/>
            <w:bookmarkStart w:id="601" w:name="_Toc4058818"/>
            <w:r w:rsidRPr="00AC77DF">
              <w:t>公立大學整併及私立大專校院退場影響教育品質案</w:t>
            </w:r>
            <w:bookmarkEnd w:id="599"/>
            <w:bookmarkEnd w:id="600"/>
            <w:bookmarkEnd w:id="601"/>
          </w:p>
        </w:tc>
      </w:tr>
    </w:tbl>
    <w:p w:rsidR="003807A5" w:rsidRPr="00AC77DF" w:rsidRDefault="003807A5" w:rsidP="00ED7809">
      <w:pPr>
        <w:pStyle w:val="1---"/>
        <w:ind w:firstLine="480"/>
        <w:rPr>
          <w:i/>
        </w:rPr>
      </w:pPr>
      <w:bookmarkStart w:id="602" w:name="_Toc533430331"/>
    </w:p>
    <w:tbl>
      <w:tblPr>
        <w:tblW w:w="4666" w:type="pct"/>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92"/>
      </w:tblGrid>
      <w:tr w:rsidR="003807A5" w:rsidRPr="00AC77DF" w:rsidTr="00F738E3">
        <w:trPr>
          <w:trHeight w:val="455"/>
        </w:trPr>
        <w:tc>
          <w:tcPr>
            <w:tcW w:w="5000" w:type="pct"/>
          </w:tcPr>
          <w:p w:rsidR="003807A5" w:rsidRPr="00AC77DF" w:rsidRDefault="003807A5" w:rsidP="00F738E3">
            <w:pPr>
              <w:spacing w:line="360" w:lineRule="exact"/>
              <w:rPr>
                <w:lang w:val="x-none"/>
              </w:rPr>
            </w:pPr>
            <w:r w:rsidRPr="00AC77DF">
              <w:rPr>
                <w:b/>
                <w:lang w:val="x-none"/>
              </w:rPr>
              <w:t>相關國際人權公約：</w:t>
            </w:r>
            <w:r w:rsidRPr="00AC77DF">
              <w:t>經濟</w:t>
            </w:r>
            <w:r w:rsidRPr="00AC77DF">
              <w:rPr>
                <w:lang w:val="x-none"/>
              </w:rPr>
              <w:t>社會文化權利國際公約第</w:t>
            </w:r>
            <w:r w:rsidRPr="00AC77DF">
              <w:rPr>
                <w:lang w:val="x-none"/>
              </w:rPr>
              <w:t>13</w:t>
            </w:r>
            <w:r w:rsidRPr="00AC77DF">
              <w:rPr>
                <w:lang w:val="x-none"/>
              </w:rPr>
              <w:t>條</w:t>
            </w:r>
          </w:p>
        </w:tc>
      </w:tr>
    </w:tbl>
    <w:p w:rsidR="003807A5" w:rsidRPr="00AC77DF" w:rsidRDefault="00ED7809" w:rsidP="000B692A">
      <w:pPr>
        <w:pStyle w:val="afff1"/>
        <w:spacing w:before="360" w:after="360"/>
      </w:pPr>
      <w:bookmarkStart w:id="603" w:name="_Toc533430337"/>
      <w:r>
        <w:rPr>
          <w:rFonts w:hint="eastAsia"/>
        </w:rPr>
        <w:lastRenderedPageBreak/>
        <w:t>(一)</w:t>
      </w:r>
      <w:r w:rsidR="003807A5" w:rsidRPr="00AC77DF">
        <w:t>案情簡述</w:t>
      </w:r>
      <w:bookmarkEnd w:id="603"/>
    </w:p>
    <w:p w:rsidR="003807A5" w:rsidRPr="00AC77DF" w:rsidRDefault="003807A5" w:rsidP="00450E3B">
      <w:pPr>
        <w:pStyle w:val="1---"/>
        <w:ind w:firstLine="480"/>
        <w:rPr>
          <w:b/>
        </w:rPr>
      </w:pPr>
      <w:r w:rsidRPr="00AC77DF">
        <w:t>公立大學整併及私立大專校院退場影響教育品質及師生權益甚鉅，為維護重大社會公益，其有關法規、制度及配套措施是否完備？權責機關之監督、執行有無善盡責任？均有深入瞭解之必要，案經監察委員立案調查。</w:t>
      </w:r>
    </w:p>
    <w:p w:rsidR="003807A5" w:rsidRPr="00AC77DF" w:rsidRDefault="00ED7809" w:rsidP="000B692A">
      <w:pPr>
        <w:pStyle w:val="afff1"/>
        <w:spacing w:before="360" w:after="360"/>
      </w:pPr>
      <w:bookmarkStart w:id="604" w:name="_Toc533430338"/>
      <w:r>
        <w:rPr>
          <w:rFonts w:hint="eastAsia"/>
        </w:rPr>
        <w:t>(二)</w:t>
      </w:r>
      <w:r w:rsidR="003807A5" w:rsidRPr="00AC77DF">
        <w:t>監察院調查發現與建議</w:t>
      </w:r>
      <w:bookmarkEnd w:id="604"/>
    </w:p>
    <w:p w:rsidR="003807A5" w:rsidRPr="00AC77DF" w:rsidRDefault="00597483" w:rsidP="00564517">
      <w:pPr>
        <w:pStyle w:val="1--13"/>
        <w:spacing w:before="180" w:after="180"/>
      </w:pPr>
      <w:r w:rsidRPr="008E1832">
        <w:rPr>
          <w:rFonts w:hint="eastAsia"/>
        </w:rPr>
        <w:t>˙</w:t>
      </w:r>
      <w:r w:rsidR="003807A5" w:rsidRPr="00AC77DF">
        <w:t>未善盡政策規劃及學校數量控管職責</w:t>
      </w:r>
    </w:p>
    <w:p w:rsidR="003807A5" w:rsidRPr="00AC77DF" w:rsidRDefault="003807A5" w:rsidP="00450E3B">
      <w:pPr>
        <w:pStyle w:val="1---"/>
        <w:ind w:firstLine="480"/>
      </w:pPr>
      <w:r w:rsidRPr="00AC77DF">
        <w:t>自</w:t>
      </w:r>
      <w:r w:rsidRPr="00AC77DF">
        <w:t>85</w:t>
      </w:r>
      <w:r w:rsidRPr="00AC77DF">
        <w:t>年起，在「廣設大學</w:t>
      </w:r>
      <w:r w:rsidRPr="000E1121">
        <w:rPr>
          <w:spacing w:val="-24"/>
        </w:rPr>
        <w:t>」、</w:t>
      </w:r>
      <w:r w:rsidRPr="00AC77DF">
        <w:t>「一縣市一大學」政策指引下，公私立大專校院數量遽增，從</w:t>
      </w:r>
      <w:r w:rsidRPr="00AC77DF">
        <w:t>85</w:t>
      </w:r>
      <w:r w:rsidRPr="00AC77DF">
        <w:t>學年的</w:t>
      </w:r>
      <w:r w:rsidRPr="00AC77DF">
        <w:t>67</w:t>
      </w:r>
      <w:r w:rsidRPr="00AC77DF">
        <w:t>所增至</w:t>
      </w:r>
      <w:r w:rsidRPr="00AC77DF">
        <w:t>89</w:t>
      </w:r>
      <w:r w:rsidRPr="00AC77DF">
        <w:t>學年的</w:t>
      </w:r>
      <w:r w:rsidRPr="00AC77DF">
        <w:t>150</w:t>
      </w:r>
      <w:r w:rsidRPr="00AC77DF">
        <w:t>所。而於大量專科升格、技職教育大學化的同時，我國高中生人數卻由</w:t>
      </w:r>
      <w:r w:rsidRPr="00AC77DF">
        <w:t>99</w:t>
      </w:r>
      <w:r w:rsidRPr="00AC77DF">
        <w:t>萬餘人逐年下降至</w:t>
      </w:r>
      <w:r w:rsidRPr="00AC77DF">
        <w:t>95</w:t>
      </w:r>
      <w:r w:rsidRPr="00AC77DF">
        <w:t>萬餘人。又大學合併及退場之時程與效益，與「大學法」立法意旨及社會期待相去甚遠，斲傷我國高等教育整體競爭力與資源綜效。</w:t>
      </w:r>
    </w:p>
    <w:p w:rsidR="003807A5" w:rsidRPr="00AC77DF" w:rsidRDefault="00597483" w:rsidP="00564517">
      <w:pPr>
        <w:pStyle w:val="1--13"/>
        <w:spacing w:before="180" w:after="180"/>
      </w:pPr>
      <w:r w:rsidRPr="008E1832">
        <w:rPr>
          <w:rFonts w:hint="eastAsia"/>
        </w:rPr>
        <w:t>˙</w:t>
      </w:r>
      <w:r w:rsidR="003807A5" w:rsidRPr="00AC77DF">
        <w:t>公立大學合併發展導向不明確</w:t>
      </w:r>
    </w:p>
    <w:p w:rsidR="003807A5" w:rsidRPr="00AC77DF" w:rsidRDefault="003807A5" w:rsidP="00450E3B">
      <w:pPr>
        <w:pStyle w:val="1---"/>
        <w:ind w:firstLine="480"/>
      </w:pPr>
      <w:r w:rsidRPr="00AC77DF">
        <w:t>為解決高等教育資源過於分散、學校規模偏小之問題，我國公立大學合併係採擴大規模模式。惟學校規模擴大後，發展導向卻並不明確，且歷經逾</w:t>
      </w:r>
      <w:r w:rsidRPr="00AC77DF">
        <w:t>20</w:t>
      </w:r>
      <w:r w:rsidRPr="00AC77DF">
        <w:t>載之合併政策推動，仍呈「小校林立」</w:t>
      </w:r>
      <w:r w:rsidR="00B4748C">
        <w:rPr>
          <w:rFonts w:hint="eastAsia"/>
        </w:rPr>
        <w:t>狀態</w:t>
      </w:r>
      <w:r w:rsidRPr="00AC77DF">
        <w:t>。政府應採更積極作為，並務實釐清學校未來發展目標及提供對應之配套措施，以提升大學經營效益與教育品</w:t>
      </w:r>
      <w:r w:rsidR="00F738E3">
        <w:rPr>
          <w:rFonts w:hint="eastAsia"/>
          <w:lang w:eastAsia="zh-TW"/>
        </w:rPr>
        <w:t xml:space="preserve">　</w:t>
      </w:r>
      <w:r w:rsidRPr="00AC77DF">
        <w:t>質。</w:t>
      </w:r>
    </w:p>
    <w:p w:rsidR="003807A5" w:rsidRPr="00AC77DF" w:rsidRDefault="00597483" w:rsidP="00564517">
      <w:pPr>
        <w:pStyle w:val="1--13"/>
        <w:spacing w:before="180" w:after="180"/>
      </w:pPr>
      <w:r w:rsidRPr="008E1832">
        <w:rPr>
          <w:rFonts w:hint="eastAsia"/>
        </w:rPr>
        <w:lastRenderedPageBreak/>
        <w:t>˙</w:t>
      </w:r>
      <w:r w:rsidR="003807A5" w:rsidRPr="00AC77DF">
        <w:t>學校合併</w:t>
      </w:r>
      <w:r w:rsidR="00B4748C">
        <w:rPr>
          <w:rFonts w:hint="eastAsia"/>
        </w:rPr>
        <w:t>缺乏自主性</w:t>
      </w:r>
      <w:r w:rsidR="003807A5" w:rsidRPr="00AC77DF">
        <w:t>有違大學法精神</w:t>
      </w:r>
    </w:p>
    <w:p w:rsidR="003807A5" w:rsidRPr="00AC77DF" w:rsidRDefault="003807A5" w:rsidP="00450E3B">
      <w:pPr>
        <w:pStyle w:val="1---"/>
        <w:ind w:firstLine="480"/>
      </w:pPr>
      <w:r w:rsidRPr="00AC77DF">
        <w:t>教育部宣稱為減少合併阻力，鼓勵學校適用「大學法」第</w:t>
      </w:r>
      <w:r w:rsidRPr="00AC77DF">
        <w:t>7</w:t>
      </w:r>
      <w:r w:rsidRPr="00AC77DF">
        <w:t>條第</w:t>
      </w:r>
      <w:r w:rsidRPr="00AC77DF">
        <w:t>1</w:t>
      </w:r>
      <w:r w:rsidRPr="00AC77DF">
        <w:t>項，採取「由下而上」模式合併，此模式之法定程序毋須報經行政院核定，容有別於法定由教育部主導「由上而下」者。然實務上，學校依前開規定推動合併之案件，依行政院函頒之「行政院與所屬機關權責劃分表（個別事項</w:t>
      </w:r>
      <w:r w:rsidRPr="000E1121">
        <w:rPr>
          <w:spacing w:val="-24"/>
        </w:rPr>
        <w:t>）」</w:t>
      </w:r>
      <w:r w:rsidRPr="00AC77DF">
        <w:t>，仍須經行政院核定，不但有違「大學法」第</w:t>
      </w:r>
      <w:r w:rsidRPr="00AC77DF">
        <w:t>7</w:t>
      </w:r>
      <w:r w:rsidRPr="00AC77DF">
        <w:t>條第</w:t>
      </w:r>
      <w:r w:rsidRPr="00AC77DF">
        <w:t>1</w:t>
      </w:r>
      <w:r w:rsidRPr="00AC77DF">
        <w:t>項精神，且因核定期程與決定基準均未具體明確，致大學合併屢屢延宕。</w:t>
      </w:r>
    </w:p>
    <w:p w:rsidR="003807A5" w:rsidRPr="00AC77DF" w:rsidRDefault="00597483" w:rsidP="00564517">
      <w:pPr>
        <w:pStyle w:val="1--13"/>
        <w:spacing w:before="180" w:after="180"/>
      </w:pPr>
      <w:r w:rsidRPr="008E1832">
        <w:rPr>
          <w:rFonts w:hint="eastAsia"/>
        </w:rPr>
        <w:t>˙</w:t>
      </w:r>
      <w:r w:rsidR="003807A5" w:rsidRPr="00AC77DF">
        <w:t>跨部會協調機制作業複雜繁瑣</w:t>
      </w:r>
    </w:p>
    <w:p w:rsidR="003807A5" w:rsidRPr="00AC77DF" w:rsidRDefault="003807A5" w:rsidP="00450E3B">
      <w:pPr>
        <w:pStyle w:val="1---"/>
        <w:ind w:firstLine="480"/>
      </w:pPr>
      <w:r w:rsidRPr="00AC77DF">
        <w:t>於「私立學校法」公共化精神下，</w:t>
      </w:r>
      <w:r w:rsidR="00B4748C">
        <w:rPr>
          <w:rFonts w:hint="eastAsia"/>
        </w:rPr>
        <w:t>私</w:t>
      </w:r>
      <w:r w:rsidRPr="00AC77DF">
        <w:t>校申請改辦文化或社會福利事業，需經新目的事業主管機關同意，如涉地目變更需經內政部、地方政府之協調。由於跨部會協調機制作業複雜繁瑣、程序冗長，迄</w:t>
      </w:r>
      <w:r w:rsidR="00B4748C">
        <w:rPr>
          <w:rFonts w:hint="eastAsia"/>
        </w:rPr>
        <w:t>尚</w:t>
      </w:r>
      <w:r w:rsidRPr="00AC77DF">
        <w:t>無改辦成功案例，實已失立法促進校產活化與再利用之美意。教育部對永達技術學院停辦階段之後續處置略顯消極，宜儘速檢討因應。</w:t>
      </w:r>
    </w:p>
    <w:p w:rsidR="003807A5" w:rsidRPr="00AC77DF" w:rsidRDefault="00597483" w:rsidP="00564517">
      <w:pPr>
        <w:pStyle w:val="1--13"/>
        <w:spacing w:before="180" w:after="180"/>
      </w:pPr>
      <w:r w:rsidRPr="008E1832">
        <w:rPr>
          <w:rFonts w:hint="eastAsia"/>
        </w:rPr>
        <w:t>˙</w:t>
      </w:r>
      <w:r w:rsidR="003807A5" w:rsidRPr="00AC77DF">
        <w:t>私立學校財務收支僵化</w:t>
      </w:r>
    </w:p>
    <w:p w:rsidR="003807A5" w:rsidRDefault="003807A5" w:rsidP="00450E3B">
      <w:pPr>
        <w:pStyle w:val="1---"/>
        <w:ind w:firstLine="480"/>
        <w:rPr>
          <w:lang w:eastAsia="zh-TW"/>
        </w:rPr>
      </w:pPr>
      <w:r w:rsidRPr="00AC77DF">
        <w:t>經由實地履勘及專家學者諮詢，發現多所學校財務收支僵化，難以為繼，其營運模式有待教育部協助輔導，其中不乏認真辦學及轉型中之學校亦遭逢相同困境。教育部宜予正視，並賦予學校經營彈性，以利良性發展</w:t>
      </w:r>
      <w:r w:rsidR="00B4748C" w:rsidRPr="00AC77DF">
        <w:t>其</w:t>
      </w:r>
      <w:r w:rsidR="00B4748C">
        <w:rPr>
          <w:rFonts w:hint="eastAsia"/>
        </w:rPr>
        <w:t>具</w:t>
      </w:r>
      <w:r w:rsidRPr="00AC77DF">
        <w:t>優勢領域。</w:t>
      </w:r>
    </w:p>
    <w:p w:rsidR="000E1121" w:rsidRDefault="000E1121" w:rsidP="00450E3B">
      <w:pPr>
        <w:pStyle w:val="1---"/>
        <w:ind w:firstLine="480"/>
        <w:rPr>
          <w:lang w:eastAsia="zh-TW"/>
        </w:rPr>
      </w:pPr>
    </w:p>
    <w:p w:rsidR="000E1121" w:rsidRPr="00AC77DF" w:rsidRDefault="000E1121" w:rsidP="00450E3B">
      <w:pPr>
        <w:pStyle w:val="1---"/>
        <w:ind w:firstLine="480"/>
        <w:rPr>
          <w:lang w:eastAsia="zh-TW"/>
        </w:rPr>
      </w:pPr>
    </w:p>
    <w:p w:rsidR="003807A5" w:rsidRPr="00AC77DF" w:rsidRDefault="00597483" w:rsidP="00564517">
      <w:pPr>
        <w:pStyle w:val="1--13"/>
        <w:spacing w:before="180" w:after="180"/>
      </w:pPr>
      <w:r w:rsidRPr="008E1832">
        <w:rPr>
          <w:rFonts w:hint="eastAsia"/>
        </w:rPr>
        <w:lastRenderedPageBreak/>
        <w:t>˙</w:t>
      </w:r>
      <w:r w:rsidR="003807A5" w:rsidRPr="00AC77DF">
        <w:t>轉型及退場規範未盡完備</w:t>
      </w:r>
    </w:p>
    <w:p w:rsidR="003807A5" w:rsidRPr="00AC77DF" w:rsidRDefault="003807A5" w:rsidP="00450E3B">
      <w:pPr>
        <w:pStyle w:val="1---"/>
        <w:ind w:firstLine="480"/>
      </w:pPr>
      <w:r w:rsidRPr="00AC77DF">
        <w:t>教育部業於</w:t>
      </w:r>
      <w:r w:rsidRPr="00AC77DF">
        <w:t>106</w:t>
      </w:r>
      <w:r w:rsidRPr="00AC77DF">
        <w:t>年度預算編列「大專校院轉型及退場基金」提供學校融通轉型退場所需周轉金之誘因，惟法制面未盡完備。又該基金金額及誘因有限，不易刺激學校提早規劃及平順處理轉型或退場事宜。</w:t>
      </w:r>
    </w:p>
    <w:p w:rsidR="003807A5" w:rsidRPr="00AC77DF" w:rsidRDefault="003807A5" w:rsidP="00274413">
      <w:pPr>
        <w:pStyle w:val="1---"/>
        <w:spacing w:after="180"/>
        <w:ind w:firstLine="480"/>
      </w:pPr>
      <w:r w:rsidRPr="00AC77DF">
        <w:t>依據本案調查意見</w:t>
      </w:r>
      <w:r w:rsidRPr="00326D27">
        <w:rPr>
          <w:rStyle w:val="aff2"/>
          <w:rFonts w:eastAsiaTheme="majorEastAsia"/>
        </w:rPr>
        <w:footnoteReference w:id="129"/>
      </w:r>
      <w:r w:rsidRPr="00AC77DF">
        <w:t>，監察院函請教育部檢討改進及行政院督飭所屬檢討改進。</w:t>
      </w:r>
    </w:p>
    <w:p w:rsidR="003807A5" w:rsidRPr="00AC77DF" w:rsidRDefault="00751200" w:rsidP="000B692A">
      <w:pPr>
        <w:pStyle w:val="afff1"/>
        <w:spacing w:before="360" w:after="360"/>
      </w:pPr>
      <w:bookmarkStart w:id="605" w:name="_Toc533430339"/>
      <w:r>
        <w:rPr>
          <w:rFonts w:hint="eastAsia"/>
        </w:rPr>
        <w:t>(三)</w:t>
      </w:r>
      <w:r w:rsidR="003807A5" w:rsidRPr="00AC77DF">
        <w:t>政府機關改善情形</w:t>
      </w:r>
      <w:bookmarkEnd w:id="605"/>
    </w:p>
    <w:p w:rsidR="003807A5" w:rsidRPr="00AC77DF" w:rsidRDefault="003807A5" w:rsidP="00425EE5">
      <w:pPr>
        <w:pStyle w:val="1----"/>
        <w:ind w:left="600" w:hanging="360"/>
      </w:pPr>
      <w:r w:rsidRPr="00AC77DF">
        <w:t>1</w:t>
      </w:r>
      <w:r w:rsidRPr="00AC77DF">
        <w:t>、</w:t>
      </w:r>
      <w:r w:rsidR="00CA7526" w:rsidRPr="00AC77DF">
        <w:t>教育部</w:t>
      </w:r>
      <w:r w:rsidRPr="00AC77DF">
        <w:t>除要求東華大學美崙校區等閒置校區進行活化外，另針對</w:t>
      </w:r>
      <w:r w:rsidRPr="00AC77DF">
        <w:t>105</w:t>
      </w:r>
      <w:r w:rsidRPr="00AC77DF">
        <w:t>年以後合併個案，要求學校依據合併計畫提出相對應的合併效益指標，以利後續追蹤。</w:t>
      </w:r>
    </w:p>
    <w:p w:rsidR="003807A5" w:rsidRPr="00AC77DF" w:rsidRDefault="003807A5" w:rsidP="00425EE5">
      <w:pPr>
        <w:pStyle w:val="1----"/>
        <w:ind w:left="600" w:hanging="360"/>
      </w:pPr>
      <w:r w:rsidRPr="00AC77DF">
        <w:t>2</w:t>
      </w:r>
      <w:r w:rsidRPr="00AC77DF">
        <w:t>、教育部已制定「私立大專校院轉型及退場條例</w:t>
      </w:r>
      <w:r w:rsidRPr="000E1121">
        <w:rPr>
          <w:spacing w:val="-28"/>
        </w:rPr>
        <w:t>」</w:t>
      </w:r>
      <w:r w:rsidRPr="00AC77DF">
        <w:t>（草案），經行政院於</w:t>
      </w:r>
      <w:r w:rsidRPr="00AC77DF">
        <w:t>106</w:t>
      </w:r>
      <w:r w:rsidRPr="00AC77DF">
        <w:t>年</w:t>
      </w:r>
      <w:r w:rsidRPr="00AC77DF">
        <w:t>11</w:t>
      </w:r>
      <w:r w:rsidRPr="00AC77DF">
        <w:t>月</w:t>
      </w:r>
      <w:r w:rsidRPr="00AC77DF">
        <w:t>23</w:t>
      </w:r>
      <w:r w:rsidRPr="00AC77DF">
        <w:t>日函送至立法院審議，立法院並於同年</w:t>
      </w:r>
      <w:r w:rsidRPr="00AC77DF">
        <w:t>12</w:t>
      </w:r>
      <w:r w:rsidRPr="00AC77DF">
        <w:t>月</w:t>
      </w:r>
      <w:r w:rsidRPr="00AC77DF">
        <w:t>8</w:t>
      </w:r>
      <w:r w:rsidRPr="00AC77DF">
        <w:t>日交付教育及文化委員會審查。</w:t>
      </w:r>
    </w:p>
    <w:p w:rsidR="003807A5" w:rsidRPr="00AC77DF" w:rsidRDefault="003807A5" w:rsidP="00425EE5">
      <w:pPr>
        <w:pStyle w:val="1----"/>
        <w:ind w:left="600" w:hanging="360"/>
      </w:pPr>
      <w:r w:rsidRPr="00AC77DF">
        <w:t>3</w:t>
      </w:r>
      <w:r w:rsidRPr="00AC77DF">
        <w:t>、針對私校改辦部分，該部指出</w:t>
      </w:r>
      <w:r w:rsidRPr="00AC77DF">
        <w:t>106</w:t>
      </w:r>
      <w:r w:rsidRPr="00AC77DF">
        <w:t>年</w:t>
      </w:r>
      <w:r w:rsidRPr="00AC77DF">
        <w:t>1</w:t>
      </w:r>
      <w:r w:rsidRPr="00AC77DF">
        <w:t>月</w:t>
      </w:r>
      <w:r w:rsidRPr="00AC77DF">
        <w:t>20</w:t>
      </w:r>
      <w:r w:rsidRPr="00AC77DF">
        <w:t>日函請永達技術學院董事會於同年</w:t>
      </w:r>
      <w:r w:rsidRPr="00AC77DF">
        <w:t>12</w:t>
      </w:r>
      <w:r w:rsidRPr="00AC77DF">
        <w:t>月</w:t>
      </w:r>
      <w:r w:rsidRPr="00AC77DF">
        <w:t>31</w:t>
      </w:r>
      <w:r w:rsidRPr="00AC77DF">
        <w:t>日前提出改辦方向及期程，並請其依相關規定於</w:t>
      </w:r>
      <w:r w:rsidRPr="00AC77DF">
        <w:t>109</w:t>
      </w:r>
      <w:r w:rsidRPr="00AC77DF">
        <w:t>年</w:t>
      </w:r>
      <w:r w:rsidRPr="00AC77DF">
        <w:t>1</w:t>
      </w:r>
      <w:r w:rsidRPr="00AC77DF">
        <w:t>月</w:t>
      </w:r>
      <w:r w:rsidRPr="00AC77DF">
        <w:t>5</w:t>
      </w:r>
      <w:r w:rsidRPr="00AC77DF">
        <w:t>日前「完成」轉型改辦。</w:t>
      </w:r>
    </w:p>
    <w:p w:rsidR="003807A5" w:rsidRPr="00AC77DF" w:rsidRDefault="003807A5" w:rsidP="00425EE5">
      <w:pPr>
        <w:pStyle w:val="1----"/>
        <w:ind w:left="600" w:hanging="360"/>
      </w:pPr>
      <w:r w:rsidRPr="00AC77DF">
        <w:t>4</w:t>
      </w:r>
      <w:r w:rsidRPr="00AC77DF">
        <w:t>、教育部後續仍將依私立大專校院轉型及退場實際需求調整基金相關因應作為，以保障學生及教職員工權益。</w:t>
      </w:r>
    </w:p>
    <w:p w:rsidR="003807A5" w:rsidRPr="00AC77DF" w:rsidRDefault="00751200" w:rsidP="000B692A">
      <w:pPr>
        <w:pStyle w:val="afff1"/>
        <w:spacing w:before="360" w:after="360"/>
      </w:pPr>
      <w:bookmarkStart w:id="606" w:name="_Toc533430340"/>
      <w:r>
        <w:rPr>
          <w:rFonts w:hint="eastAsia"/>
        </w:rPr>
        <w:lastRenderedPageBreak/>
        <w:t>(四)</w:t>
      </w:r>
      <w:r w:rsidR="003807A5" w:rsidRPr="00AC77DF">
        <w:t>案件進展</w:t>
      </w:r>
      <w:bookmarkEnd w:id="606"/>
    </w:p>
    <w:p w:rsidR="003807A5" w:rsidRDefault="003807A5" w:rsidP="00450E3B">
      <w:pPr>
        <w:pStyle w:val="1---"/>
        <w:ind w:firstLine="480"/>
        <w:rPr>
          <w:lang w:eastAsia="zh-TW"/>
        </w:rPr>
      </w:pPr>
      <w:r w:rsidRPr="00AC77DF">
        <w:t>本案監察院仍持續追蹤主管機關辦理情形。</w:t>
      </w:r>
    </w:p>
    <w:p w:rsidR="00751200" w:rsidRDefault="00751200" w:rsidP="00450E3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4815"/>
      </w:tblGrid>
      <w:tr w:rsidR="00751200" w:rsidTr="000E1121">
        <w:tc>
          <w:tcPr>
            <w:tcW w:w="4815" w:type="dxa"/>
            <w:shd w:val="clear" w:color="auto" w:fill="D9D9D9" w:themeFill="background1" w:themeFillShade="D9"/>
          </w:tcPr>
          <w:p w:rsidR="00751200" w:rsidRDefault="00751200" w:rsidP="00751200">
            <w:pPr>
              <w:pStyle w:val="11-"/>
              <w:spacing w:before="72" w:after="108"/>
              <w:rPr>
                <w:lang w:eastAsia="zh-TW"/>
              </w:rPr>
            </w:pPr>
            <w:bookmarkStart w:id="607" w:name="_Toc535228408"/>
            <w:bookmarkStart w:id="608" w:name="_Toc4058819"/>
            <w:r w:rsidRPr="00AC77DF">
              <w:t>替代役役男派赴泰北僑校服務檢討</w:t>
            </w:r>
            <w:bookmarkEnd w:id="607"/>
            <w:bookmarkEnd w:id="608"/>
          </w:p>
        </w:tc>
      </w:tr>
    </w:tbl>
    <w:p w:rsidR="003807A5" w:rsidRPr="00AC77DF" w:rsidRDefault="00751200" w:rsidP="000B692A">
      <w:pPr>
        <w:pStyle w:val="afff1"/>
        <w:spacing w:before="360" w:after="360"/>
      </w:pPr>
      <w:bookmarkStart w:id="609" w:name="_Toc533430332"/>
      <w:bookmarkEnd w:id="602"/>
      <w:r>
        <w:rPr>
          <w:rFonts w:hint="eastAsia"/>
        </w:rPr>
        <w:t>(一)</w:t>
      </w:r>
      <w:r w:rsidR="003807A5" w:rsidRPr="00AC77DF">
        <w:t>案情簡述</w:t>
      </w:r>
      <w:bookmarkEnd w:id="609"/>
    </w:p>
    <w:p w:rsidR="003807A5" w:rsidRPr="00AC77DF" w:rsidRDefault="003807A5" w:rsidP="00450E3B">
      <w:pPr>
        <w:pStyle w:val="1---"/>
        <w:ind w:firstLine="480"/>
        <w:rPr>
          <w:b/>
        </w:rPr>
      </w:pPr>
      <w:r w:rsidRPr="00AC77DF">
        <w:t>為協助解決泰北僑校師資缺乏等問題，內政部及僑務委員會</w:t>
      </w:r>
      <w:r w:rsidR="00CA7526">
        <w:t>（</w:t>
      </w:r>
      <w:r w:rsidR="00CA7526">
        <w:rPr>
          <w:rFonts w:hint="eastAsia"/>
        </w:rPr>
        <w:t>簡稱僑委會</w:t>
      </w:r>
      <w:r w:rsidR="00CA7526">
        <w:t>）</w:t>
      </w:r>
      <w:r w:rsidRPr="00AC77DF">
        <w:t>依替代役實施計畫，將部分教育服務替代役役男派赴未立案之泰北僑校服務，引發外界諸多疑慮，究主管機關制定相關政策及執行作為是否周妥，亟待深入瞭解，案經監察院外交及僑政委員會決議調查。</w:t>
      </w:r>
    </w:p>
    <w:p w:rsidR="003807A5" w:rsidRPr="00AC77DF" w:rsidRDefault="00751200" w:rsidP="000B692A">
      <w:pPr>
        <w:pStyle w:val="afff1"/>
        <w:spacing w:before="360" w:after="360"/>
      </w:pPr>
      <w:bookmarkStart w:id="610" w:name="_Toc533430333"/>
      <w:r>
        <w:rPr>
          <w:rFonts w:hint="eastAsia"/>
        </w:rPr>
        <w:t>(二)</w:t>
      </w:r>
      <w:r w:rsidR="003807A5" w:rsidRPr="00AC77DF">
        <w:t>監察院調查發現與建議</w:t>
      </w:r>
      <w:bookmarkEnd w:id="610"/>
    </w:p>
    <w:p w:rsidR="003807A5" w:rsidRPr="00AC77DF" w:rsidRDefault="00597483" w:rsidP="00564517">
      <w:pPr>
        <w:pStyle w:val="1--13"/>
        <w:spacing w:before="180" w:after="180"/>
      </w:pPr>
      <w:r w:rsidRPr="008E1832">
        <w:rPr>
          <w:rFonts w:hint="eastAsia"/>
        </w:rPr>
        <w:t>˙</w:t>
      </w:r>
      <w:r w:rsidR="003807A5" w:rsidRPr="00AC77DF">
        <w:t>僑校志工服務有待檢討</w:t>
      </w:r>
    </w:p>
    <w:p w:rsidR="003807A5" w:rsidRPr="00AC77DF" w:rsidRDefault="003807A5" w:rsidP="00450E3B">
      <w:pPr>
        <w:pStyle w:val="1---"/>
        <w:ind w:firstLine="480"/>
      </w:pPr>
      <w:r w:rsidRPr="00AC77DF">
        <w:t>泰北僑民因特殊背景及歷史因素，與我國向來友好。泰北僑校存在已久，卻因未持有土地權利等因素，多未能向泰國政府申請立案。其利用學生泰校放學後及周末時間教授學生正體字中文，推動華文教育功不可沒，泰國政府對此並未加以禁止或干涉。我國非政府組織（</w:t>
      </w:r>
      <w:r w:rsidRPr="00AC77DF">
        <w:t>NGO</w:t>
      </w:r>
      <w:r w:rsidRPr="00AC77DF">
        <w:t>）團體每年派員前往當地從事僑教輔助工作並提供經費補助，</w:t>
      </w:r>
      <w:r w:rsidR="00CA7526">
        <w:rPr>
          <w:rFonts w:hint="eastAsia"/>
        </w:rPr>
        <w:t>僑委會</w:t>
      </w:r>
      <w:r w:rsidRPr="00AC77DF">
        <w:t>除每年補助大學志工社團於寒暑假期間赴泰北從事僑教志工服務外，自</w:t>
      </w:r>
      <w:r w:rsidRPr="00AC77DF">
        <w:t>103</w:t>
      </w:r>
      <w:r w:rsidRPr="00AC77DF">
        <w:t>年起遴派</w:t>
      </w:r>
      <w:r w:rsidRPr="00AC77DF">
        <w:lastRenderedPageBreak/>
        <w:t>替代役男至</w:t>
      </w:r>
      <w:r w:rsidRPr="00AC77DF">
        <w:t>10</w:t>
      </w:r>
      <w:r w:rsidRPr="00AC77DF">
        <w:t>餘所泰北僑校服勤，對華語教育非常有助益。但替代役男係由已立案學校申請工作證及工作簽證，到未立案學校服務，可能因申請與實際工作地點不符而有違反泰國法令遭受處罰之虞，故</w:t>
      </w:r>
      <w:r w:rsidR="00CA7526">
        <w:rPr>
          <w:rFonts w:hint="eastAsia"/>
        </w:rPr>
        <w:t>僑委會</w:t>
      </w:r>
      <w:r w:rsidRPr="00AC77DF">
        <w:t>於</w:t>
      </w:r>
      <w:r w:rsidRPr="00AC77DF">
        <w:t>105</w:t>
      </w:r>
      <w:r w:rsidRPr="00AC77DF">
        <w:t>年役男投書媒體後，決定自</w:t>
      </w:r>
      <w:r w:rsidRPr="00AC77DF">
        <w:t>106</w:t>
      </w:r>
      <w:r w:rsidRPr="00AC77DF">
        <w:t>年</w:t>
      </w:r>
      <w:r w:rsidRPr="00AC77DF">
        <w:t>169</w:t>
      </w:r>
      <w:r w:rsidRPr="00AC77DF">
        <w:t>梯次起之替代役男，僅在申請簽證之立案學校任教。惟中國大陸在清邁設立總領事館，投入大量人力、物力、師資與金援，企圖鬆動當地僑團及僑校立場，替代役男不再到未立案泰北僑校服務，可能使中國大陸有見縫插針之機會。行政院宜針對此問題，提供外交部、</w:t>
      </w:r>
      <w:r w:rsidR="00CA7526">
        <w:rPr>
          <w:rFonts w:hint="eastAsia"/>
        </w:rPr>
        <w:t>僑委會</w:t>
      </w:r>
      <w:r w:rsidRPr="00AC77DF">
        <w:t>及</w:t>
      </w:r>
      <w:r w:rsidRPr="00AC77DF">
        <w:t>NGO</w:t>
      </w:r>
      <w:r w:rsidRPr="00AC77DF">
        <w:t>團體更多資源，研擬有效對策。</w:t>
      </w:r>
      <w:r w:rsidRPr="00AC77DF">
        <w:t xml:space="preserve"> </w:t>
      </w:r>
    </w:p>
    <w:p w:rsidR="003807A5" w:rsidRPr="00AC77DF" w:rsidRDefault="00597483" w:rsidP="00564517">
      <w:pPr>
        <w:pStyle w:val="1--13"/>
        <w:spacing w:before="180" w:after="180"/>
      </w:pPr>
      <w:r w:rsidRPr="008E1832">
        <w:rPr>
          <w:rFonts w:hint="eastAsia"/>
        </w:rPr>
        <w:t>˙</w:t>
      </w:r>
      <w:r w:rsidR="003807A5" w:rsidRPr="00AC77DF">
        <w:t>強化與當地政府溝通</w:t>
      </w:r>
    </w:p>
    <w:p w:rsidR="003807A5" w:rsidRPr="00AC77DF" w:rsidRDefault="003807A5" w:rsidP="00450E3B">
      <w:pPr>
        <w:pStyle w:val="1---"/>
        <w:ind w:firstLine="480"/>
      </w:pPr>
      <w:r w:rsidRPr="00AC77DF">
        <w:t>依目前泰國之法令及實務，以</w:t>
      </w:r>
      <w:r w:rsidRPr="00AC77DF">
        <w:t>NGO</w:t>
      </w:r>
      <w:r w:rsidRPr="00AC77DF">
        <w:t>團體或外交部辦事處名義申請替代役男再派至未立案僑校協助教學，或以立案及未立案僑校策略聯盟等方式使役男至未立案僑校協助教學，均困難重重。外交部及</w:t>
      </w:r>
      <w:r w:rsidR="00CA7526">
        <w:rPr>
          <w:rFonts w:hint="eastAsia"/>
        </w:rPr>
        <w:t>僑委會</w:t>
      </w:r>
      <w:r w:rsidRPr="00AC77DF">
        <w:t>宜持續與泰國移民、教育、勞工相關部門溝通，使泰國核准簽證等相關法令及實務更為合理、彈性及務實，讓僑教役男或國內其他志工團體可至未立案僑校從事華語教育及志工服務。此外，</w:t>
      </w:r>
      <w:r w:rsidR="00CA7526">
        <w:rPr>
          <w:rFonts w:hint="eastAsia"/>
        </w:rPr>
        <w:t>僑委會</w:t>
      </w:r>
      <w:r w:rsidRPr="00AC77DF">
        <w:t>有全球華文網教育資源平台，國立空中大學、高雄市立空中大學所提供課程，均可作為泰北華語教學之學習輔助工具。教育部、外交部及</w:t>
      </w:r>
      <w:r w:rsidR="00CA7526">
        <w:rPr>
          <w:rFonts w:hint="eastAsia"/>
        </w:rPr>
        <w:t>僑委會</w:t>
      </w:r>
      <w:r w:rsidRPr="00AC77DF">
        <w:t>應共同研議，克服泰北地區通訊環境不發達之困境，積極開展網路教學，提供泰北僑校所需課程，推動華語教育，以解決泰北未立案僑校華語教學之困境。</w:t>
      </w:r>
      <w:r w:rsidRPr="00AC77DF">
        <w:t xml:space="preserve"> </w:t>
      </w:r>
    </w:p>
    <w:p w:rsidR="003807A5" w:rsidRPr="00AC77DF" w:rsidRDefault="00597483" w:rsidP="00564517">
      <w:pPr>
        <w:pStyle w:val="1--13"/>
        <w:spacing w:before="180" w:after="180"/>
      </w:pPr>
      <w:r w:rsidRPr="008E1832">
        <w:rPr>
          <w:rFonts w:hint="eastAsia"/>
        </w:rPr>
        <w:lastRenderedPageBreak/>
        <w:t>˙</w:t>
      </w:r>
      <w:r w:rsidR="003807A5" w:rsidRPr="00AC77DF">
        <w:t>僑校師資缺乏</w:t>
      </w:r>
    </w:p>
    <w:p w:rsidR="003807A5" w:rsidRPr="00AC77DF" w:rsidRDefault="003807A5" w:rsidP="00450E3B">
      <w:pPr>
        <w:pStyle w:val="1---"/>
        <w:ind w:firstLine="480"/>
      </w:pPr>
      <w:r w:rsidRPr="00AC77DF">
        <w:t>已立案泰北僑校所開辦之公費或自費師範班，大多數畢業生因待遇太低而不願回原推薦學校服務，多數選擇從事導遊或旅遊相關行業，導致未立案僑校師資缺乏。</w:t>
      </w:r>
      <w:r w:rsidR="00CA7526">
        <w:rPr>
          <w:rFonts w:hint="eastAsia"/>
        </w:rPr>
        <w:t>僑委會</w:t>
      </w:r>
      <w:r w:rsidRPr="00AC77DF">
        <w:t>宜繼續協助立案僑校成立華語文教師師範班，培訓師資，並積極協輔當地華校聯合會成立教師退休安養基金，以降低當地教師之流動率及離職率。</w:t>
      </w:r>
      <w:r w:rsidRPr="00AC77DF">
        <w:t xml:space="preserve"> </w:t>
      </w:r>
    </w:p>
    <w:p w:rsidR="003807A5" w:rsidRPr="00AC77DF" w:rsidRDefault="00597483" w:rsidP="00564517">
      <w:pPr>
        <w:pStyle w:val="1--13"/>
        <w:spacing w:before="180" w:after="180"/>
      </w:pPr>
      <w:r w:rsidRPr="008E1832">
        <w:rPr>
          <w:rFonts w:hint="eastAsia"/>
        </w:rPr>
        <w:t>˙</w:t>
      </w:r>
      <w:r w:rsidR="003807A5" w:rsidRPr="00AC77DF">
        <w:t>抵免實習之代理期限過長</w:t>
      </w:r>
    </w:p>
    <w:p w:rsidR="003807A5" w:rsidRPr="00AC77DF" w:rsidRDefault="003807A5" w:rsidP="00450E3B">
      <w:pPr>
        <w:pStyle w:val="1---"/>
        <w:ind w:firstLine="480"/>
      </w:pPr>
      <w:r w:rsidRPr="00AC77DF">
        <w:t>106</w:t>
      </w:r>
      <w:r w:rsidRPr="00AC77DF">
        <w:t>年修正之師資培育法規定，選派師資生支援僑校教學及赴海外僑校擔任代理教師，任教年資累計滿</w:t>
      </w:r>
      <w:r w:rsidRPr="00AC77DF">
        <w:t>2</w:t>
      </w:r>
      <w:r w:rsidRPr="00AC77DF">
        <w:t>年方可抵免國內半年教育實習，薪資及代理抵免實習期限差距過大，恐難發揮預期效益。</w:t>
      </w:r>
    </w:p>
    <w:p w:rsidR="003807A5" w:rsidRPr="00AC77DF" w:rsidRDefault="003807A5" w:rsidP="00450E3B">
      <w:pPr>
        <w:pStyle w:val="1---"/>
        <w:ind w:firstLine="480"/>
      </w:pPr>
      <w:r w:rsidRPr="00AC77DF">
        <w:t>依據本案調查意見</w:t>
      </w:r>
      <w:r w:rsidRPr="00AC77DF">
        <w:rPr>
          <w:rStyle w:val="aff2"/>
        </w:rPr>
        <w:footnoteReference w:id="130"/>
      </w:r>
      <w:r w:rsidRPr="00AC77DF">
        <w:t>，監察院函請行政院及所屬主管機關檢討改進。</w:t>
      </w:r>
    </w:p>
    <w:p w:rsidR="003807A5" w:rsidRPr="00AC77DF" w:rsidRDefault="00751200" w:rsidP="000B692A">
      <w:pPr>
        <w:pStyle w:val="afff1"/>
        <w:spacing w:before="360" w:after="360"/>
      </w:pPr>
      <w:bookmarkStart w:id="611" w:name="_Toc533430334"/>
      <w:r>
        <w:rPr>
          <w:rFonts w:hint="eastAsia"/>
        </w:rPr>
        <w:t>(三)</w:t>
      </w:r>
      <w:r w:rsidR="003807A5" w:rsidRPr="00AC77DF">
        <w:t>政府機關改善情形</w:t>
      </w:r>
      <w:bookmarkEnd w:id="611"/>
    </w:p>
    <w:p w:rsidR="003807A5" w:rsidRPr="00AC77DF" w:rsidRDefault="003807A5" w:rsidP="00425EE5">
      <w:pPr>
        <w:pStyle w:val="1----"/>
        <w:ind w:left="600" w:hanging="360"/>
      </w:pPr>
      <w:r w:rsidRPr="00AC77DF">
        <w:t>1</w:t>
      </w:r>
      <w:r w:rsidRPr="00AC77DF">
        <w:t>、僑委會目前補助泰北</w:t>
      </w:r>
      <w:r w:rsidRPr="00AC77DF">
        <w:t>11</w:t>
      </w:r>
      <w:r w:rsidRPr="00AC77DF">
        <w:t>所僑校</w:t>
      </w:r>
      <w:r w:rsidRPr="00AC77DF">
        <w:t>26</w:t>
      </w:r>
      <w:r w:rsidRPr="00AC77DF">
        <w:t>自聘教師協助教學及推動校務，成效良好；</w:t>
      </w:r>
      <w:r w:rsidRPr="00AC77DF">
        <w:t>107</w:t>
      </w:r>
      <w:r w:rsidRPr="00AC77DF">
        <w:t>年已爭取預算擴大補助泰北僑校自聘教師，提升當地教學品質，維持學校營運，並加強</w:t>
      </w:r>
      <w:r w:rsidR="00F738E3">
        <w:rPr>
          <w:rFonts w:hint="eastAsia"/>
          <w:lang w:eastAsia="zh-TW"/>
        </w:rPr>
        <w:t>教師</w:t>
      </w:r>
      <w:r w:rsidRPr="00AC77DF">
        <w:t>與僑委會之聯繫，推展正體華文教育及開拓僑（華）生生源。</w:t>
      </w:r>
    </w:p>
    <w:p w:rsidR="003807A5" w:rsidRPr="00AC77DF" w:rsidRDefault="003807A5" w:rsidP="00425EE5">
      <w:pPr>
        <w:pStyle w:val="1----"/>
        <w:ind w:left="600" w:hanging="360"/>
      </w:pPr>
      <w:r w:rsidRPr="00AC77DF">
        <w:lastRenderedPageBreak/>
        <w:t>2</w:t>
      </w:r>
      <w:r w:rsidRPr="00AC77DF">
        <w:t>、僑委會</w:t>
      </w:r>
      <w:r w:rsidRPr="00AC77DF">
        <w:t>98</w:t>
      </w:r>
      <w:r w:rsidRPr="00AC77DF">
        <w:t>年頒訂「鼓勵緬甸僑生返緬擔任僑校教師經費補助要點</w:t>
      </w:r>
      <w:r w:rsidRPr="000E1121">
        <w:rPr>
          <w:spacing w:val="-28"/>
        </w:rPr>
        <w:t>」</w:t>
      </w:r>
      <w:r w:rsidR="0037019B">
        <w:t>，</w:t>
      </w:r>
      <w:r w:rsidRPr="00AC77DF">
        <w:t>補助緬甸留臺畢業僑生返回緬甸僑校任教，以協助解決當地師資短缺問題，目前補助</w:t>
      </w:r>
      <w:r w:rsidRPr="00AC77DF">
        <w:t>7</w:t>
      </w:r>
      <w:r w:rsidRPr="00AC77DF">
        <w:t>校</w:t>
      </w:r>
      <w:r w:rsidRPr="00AC77DF">
        <w:t>11</w:t>
      </w:r>
      <w:r w:rsidRPr="00AC77DF">
        <w:t>位老師；僑委會擬修改前揭要點將泰北留臺畢業僑生納入補助範圍，有效增加泰北僑校師資來源。</w:t>
      </w:r>
    </w:p>
    <w:p w:rsidR="003807A5" w:rsidRPr="00AC77DF" w:rsidRDefault="003807A5" w:rsidP="00425EE5">
      <w:pPr>
        <w:pStyle w:val="1----"/>
        <w:ind w:left="600" w:hanging="360"/>
      </w:pPr>
      <w:r w:rsidRPr="00AC77DF">
        <w:t>3</w:t>
      </w:r>
      <w:r w:rsidRPr="00AC77DF">
        <w:t>、泰北建華綜合高中自</w:t>
      </w:r>
      <w:r w:rsidRPr="00AC77DF">
        <w:t>91</w:t>
      </w:r>
      <w:r w:rsidRPr="00AC77DF">
        <w:t>年開辦簡易師範班迄今，由學校董事會對外募款，學雜、住宿及伙食費全免並由泰北各華校推薦學生來就讀，後因大環境不景氣，經費募捐困難，不再提供公費就讀。目前每屆招收學生約</w:t>
      </w:r>
      <w:r w:rsidRPr="00AC77DF">
        <w:t>20</w:t>
      </w:r>
      <w:r w:rsidRPr="00AC77DF">
        <w:t>至</w:t>
      </w:r>
      <w:r w:rsidRPr="00AC77DF">
        <w:t>30</w:t>
      </w:r>
      <w:r w:rsidRPr="00AC77DF">
        <w:t>位。僑委會未來將輔導其他較具規模僑校比照開辦師範班，培育當地師資。</w:t>
      </w:r>
    </w:p>
    <w:p w:rsidR="003807A5" w:rsidRPr="00AC77DF" w:rsidRDefault="003807A5" w:rsidP="00425EE5">
      <w:pPr>
        <w:pStyle w:val="1----"/>
        <w:ind w:left="600" w:hanging="360"/>
      </w:pPr>
      <w:r w:rsidRPr="00AC77DF">
        <w:t>4</w:t>
      </w:r>
      <w:r w:rsidRPr="00AC77DF">
        <w:t>、泰北建華綜合高中自</w:t>
      </w:r>
      <w:r w:rsidRPr="00AC77DF">
        <w:t>91</w:t>
      </w:r>
      <w:r w:rsidRPr="00AC77DF">
        <w:t>年開辦簡易師範班迄今培育</w:t>
      </w:r>
      <w:r w:rsidRPr="00AC77DF">
        <w:t>325</w:t>
      </w:r>
      <w:r w:rsidRPr="00AC77DF">
        <w:t>人；惟因僑校薪資微薄難以吸引畢業生至僑校服務，僑委會擬將僑校師範班畢業生返回僑校任者納入「鼓勵緬甸僑生返緬擔任僑校教師經費補助要點」補助範圍，提高畢業生返回僑校服務意願。</w:t>
      </w:r>
    </w:p>
    <w:p w:rsidR="003807A5" w:rsidRPr="00AC77DF" w:rsidRDefault="003807A5" w:rsidP="00425EE5">
      <w:pPr>
        <w:pStyle w:val="1----"/>
        <w:ind w:left="600" w:hanging="360"/>
      </w:pPr>
      <w:r w:rsidRPr="00AC77DF">
        <w:t>5</w:t>
      </w:r>
      <w:r w:rsidRPr="00AC77DF">
        <w:t>、教育部目前委請暨南大學辦理緬甸華校師資培育計畫，由僑校選送學生來臺就讀師資培育課程，所需學雜費、生活津貼等由該部協調國內師資培育大學減免，未來將視該計畫辦理情形擴大適用於泰北僑校。另僑委會將持續與教育部協調結合國內大學資源開設境外華語文專班或遠距學位班，培育當地師資。</w:t>
      </w:r>
    </w:p>
    <w:p w:rsidR="003807A5" w:rsidRPr="00AC77DF" w:rsidRDefault="003807A5" w:rsidP="00425EE5">
      <w:pPr>
        <w:pStyle w:val="1----"/>
        <w:ind w:left="600" w:hanging="360"/>
      </w:pPr>
      <w:r w:rsidRPr="00AC77DF">
        <w:t>6</w:t>
      </w:r>
      <w:r w:rsidRPr="00AC77DF">
        <w:t>、積極於泰北推展華語文網路教學，發揮我國華語文數位教學優勢；加強辦理華文教師研習班及教師研習會，提升當地老師教學技能。</w:t>
      </w:r>
    </w:p>
    <w:p w:rsidR="003807A5" w:rsidRPr="00AC77DF" w:rsidRDefault="003807A5" w:rsidP="00425EE5">
      <w:pPr>
        <w:pStyle w:val="1----"/>
        <w:ind w:left="600" w:hanging="360"/>
      </w:pPr>
      <w:r w:rsidRPr="00AC77DF">
        <w:lastRenderedPageBreak/>
        <w:t>7</w:t>
      </w:r>
      <w:r w:rsidRPr="00AC77DF">
        <w:t>、為鼓勵國內大專院校及民間團體青年赴東南亞僑校進行志願服務支援僑校業務，協助推廣華語文教育，僑委會訂定「輔助國內大專院校及民間團體赴東南亞僑校志願服務作業計畫</w:t>
      </w:r>
      <w:r w:rsidRPr="000E1121">
        <w:rPr>
          <w:spacing w:val="-28"/>
        </w:rPr>
        <w:t>」</w:t>
      </w:r>
      <w:r w:rsidRPr="00AC77DF">
        <w:t>，</w:t>
      </w:r>
      <w:r w:rsidRPr="00AC77DF">
        <w:t>106</w:t>
      </w:r>
      <w:r w:rsidRPr="00AC77DF">
        <w:t>年補助</w:t>
      </w:r>
      <w:r w:rsidRPr="00AC77DF">
        <w:t>14</w:t>
      </w:r>
      <w:r w:rsidRPr="00AC77DF">
        <w:t>個團體赴</w:t>
      </w:r>
      <w:r w:rsidRPr="00AC77DF">
        <w:t>18</w:t>
      </w:r>
      <w:r w:rsidRPr="00AC77DF">
        <w:t>所泰北僑校進行志願服務。</w:t>
      </w:r>
      <w:r w:rsidRPr="00AC77DF">
        <w:t>107</w:t>
      </w:r>
      <w:r w:rsidRPr="00AC77DF">
        <w:t>年將媒合國內志願服務提供端及海外僑校需求端，使志願服務人力資源運用效益最大化，鼓勵國內青年志工團體到該校服務。</w:t>
      </w:r>
    </w:p>
    <w:p w:rsidR="003807A5" w:rsidRPr="00AC77DF" w:rsidRDefault="003807A5" w:rsidP="00425EE5">
      <w:pPr>
        <w:pStyle w:val="1----"/>
        <w:ind w:left="600" w:hanging="360"/>
      </w:pPr>
      <w:r w:rsidRPr="00AC77DF">
        <w:t>8</w:t>
      </w:r>
      <w:r w:rsidRPr="00AC77DF">
        <w:t>、泰北地區原僅光復高中教師享有退休福利，為讓泰北清萊其餘僑校教師亦享有退休福利，在僑委會協輔下，清萊教師聯誼會向當地政府申請登記改為泰北清萊教師公會，籌募</w:t>
      </w:r>
      <w:r w:rsidRPr="00AC77DF">
        <w:t>1,540</w:t>
      </w:r>
      <w:r w:rsidRPr="00AC77DF">
        <w:t>餘萬泰銖成立基金並向泰國政府購買債券，一年利息約</w:t>
      </w:r>
      <w:r w:rsidRPr="00AC77DF">
        <w:t>40</w:t>
      </w:r>
      <w:r w:rsidRPr="00AC77DF">
        <w:t>餘萬泰銖，教師任教滿</w:t>
      </w:r>
      <w:r w:rsidRPr="00AC77DF">
        <w:t>5</w:t>
      </w:r>
      <w:r w:rsidRPr="00AC77DF">
        <w:t>年退休即可領退休基金。</w:t>
      </w:r>
    </w:p>
    <w:p w:rsidR="003807A5" w:rsidRPr="00AC77DF" w:rsidRDefault="00751200" w:rsidP="000B692A">
      <w:pPr>
        <w:pStyle w:val="afff1"/>
        <w:spacing w:before="360" w:after="360"/>
        <w:rPr>
          <w:lang w:eastAsia="zh-HK"/>
        </w:rPr>
      </w:pPr>
      <w:bookmarkStart w:id="612" w:name="_Toc533430335"/>
      <w:r>
        <w:rPr>
          <w:rFonts w:hint="eastAsia"/>
        </w:rPr>
        <w:t>(四)</w:t>
      </w:r>
      <w:r w:rsidR="003807A5" w:rsidRPr="00AC77DF">
        <w:t>案件進展</w:t>
      </w:r>
      <w:bookmarkEnd w:id="612"/>
    </w:p>
    <w:p w:rsidR="003807A5" w:rsidRDefault="003807A5" w:rsidP="00450E3B">
      <w:pPr>
        <w:pStyle w:val="1---"/>
        <w:ind w:firstLine="480"/>
        <w:rPr>
          <w:lang w:eastAsia="zh-TW"/>
        </w:rPr>
      </w:pPr>
      <w:r w:rsidRPr="00AC77DF">
        <w:t>本案監察院仍持續追蹤中。</w:t>
      </w:r>
    </w:p>
    <w:p w:rsidR="00751200" w:rsidRDefault="00751200" w:rsidP="00450E3B">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3936"/>
      </w:tblGrid>
      <w:tr w:rsidR="00751200" w:rsidTr="000E1121">
        <w:tc>
          <w:tcPr>
            <w:tcW w:w="3936" w:type="dxa"/>
            <w:shd w:val="clear" w:color="auto" w:fill="D9D9D9" w:themeFill="background1" w:themeFillShade="D9"/>
          </w:tcPr>
          <w:p w:rsidR="00751200" w:rsidRDefault="00751200" w:rsidP="00751200">
            <w:pPr>
              <w:pStyle w:val="11-"/>
              <w:spacing w:before="72" w:after="108"/>
              <w:rPr>
                <w:lang w:eastAsia="zh-TW"/>
              </w:rPr>
            </w:pPr>
            <w:bookmarkStart w:id="613" w:name="_Toc533430346"/>
            <w:bookmarkStart w:id="614" w:name="_Toc535228409"/>
            <w:bookmarkStart w:id="615" w:name="_Toc4058820"/>
            <w:r w:rsidRPr="00AC77DF">
              <w:t>家庭教育法相關問題及成效</w:t>
            </w:r>
            <w:bookmarkEnd w:id="613"/>
            <w:bookmarkEnd w:id="614"/>
            <w:bookmarkEnd w:id="615"/>
          </w:p>
        </w:tc>
      </w:tr>
    </w:tbl>
    <w:p w:rsidR="003807A5" w:rsidRPr="00AC77DF" w:rsidRDefault="003807A5" w:rsidP="00751200">
      <w:pPr>
        <w:pStyle w:val="1---"/>
        <w:ind w:firstLine="480"/>
        <w:rPr>
          <w:i/>
        </w:rPr>
      </w:pPr>
    </w:p>
    <w:tbl>
      <w:tblPr>
        <w:tblW w:w="4756" w:type="pct"/>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16"/>
      </w:tblGrid>
      <w:tr w:rsidR="003807A5" w:rsidRPr="00AC77DF" w:rsidTr="000E1121">
        <w:tc>
          <w:tcPr>
            <w:tcW w:w="5000" w:type="pct"/>
          </w:tcPr>
          <w:p w:rsidR="003807A5" w:rsidRPr="00AC77DF" w:rsidRDefault="003807A5" w:rsidP="000E1121">
            <w:pPr>
              <w:spacing w:line="360" w:lineRule="exact"/>
              <w:jc w:val="both"/>
              <w:rPr>
                <w:lang w:val="x-none"/>
              </w:rPr>
            </w:pPr>
            <w:r w:rsidRPr="00AC77DF">
              <w:rPr>
                <w:b/>
                <w:lang w:val="x-none"/>
              </w:rPr>
              <w:t>相關國際人權公約：</w:t>
            </w:r>
            <w:r w:rsidRPr="00AC77DF">
              <w:t>經濟</w:t>
            </w:r>
            <w:r w:rsidRPr="00AC77DF">
              <w:rPr>
                <w:lang w:val="x-none"/>
              </w:rPr>
              <w:t>社會文化權利國際公約第</w:t>
            </w:r>
            <w:r w:rsidRPr="00AC77DF">
              <w:rPr>
                <w:lang w:val="x-none"/>
              </w:rPr>
              <w:t>10</w:t>
            </w:r>
            <w:r w:rsidRPr="00AC77DF">
              <w:rPr>
                <w:lang w:val="x-none"/>
              </w:rPr>
              <w:t>條、公民與政治權利國際公約第</w:t>
            </w:r>
            <w:r w:rsidRPr="00AC77DF">
              <w:rPr>
                <w:lang w:val="x-none"/>
              </w:rPr>
              <w:t>23</w:t>
            </w:r>
            <w:r w:rsidRPr="00AC77DF">
              <w:rPr>
                <w:lang w:val="x-none"/>
              </w:rPr>
              <w:t>條、兒童權利公約前言</w:t>
            </w:r>
          </w:p>
          <w:p w:rsidR="003807A5" w:rsidRPr="00AC77DF" w:rsidRDefault="003807A5" w:rsidP="000E1121">
            <w:pPr>
              <w:spacing w:line="360" w:lineRule="exact"/>
              <w:jc w:val="both"/>
              <w:rPr>
                <w:b/>
                <w:lang w:val="x-none"/>
              </w:rPr>
            </w:pPr>
            <w:r w:rsidRPr="00AC77DF">
              <w:rPr>
                <w:b/>
              </w:rPr>
              <w:t>經濟</w:t>
            </w:r>
            <w:r w:rsidRPr="00AC77DF">
              <w:rPr>
                <w:b/>
                <w:lang w:val="x-none"/>
              </w:rPr>
              <w:t>社會文化權利國際公約第</w:t>
            </w:r>
            <w:r w:rsidRPr="00AC77DF">
              <w:rPr>
                <w:b/>
                <w:lang w:val="x-none"/>
              </w:rPr>
              <w:t>10</w:t>
            </w:r>
            <w:r w:rsidRPr="00AC77DF">
              <w:rPr>
                <w:b/>
                <w:lang w:val="x-none"/>
              </w:rPr>
              <w:t>條</w:t>
            </w:r>
          </w:p>
          <w:p w:rsidR="003807A5" w:rsidRPr="00AC77DF" w:rsidRDefault="003807A5" w:rsidP="000E1121">
            <w:pPr>
              <w:spacing w:line="360" w:lineRule="exact"/>
              <w:jc w:val="both"/>
              <w:rPr>
                <w:lang w:val="x-none"/>
              </w:rPr>
            </w:pPr>
            <w:r w:rsidRPr="00AC77DF">
              <w:rPr>
                <w:lang w:val="x-none"/>
              </w:rPr>
              <w:t>本公約締約國確認：</w:t>
            </w:r>
          </w:p>
          <w:p w:rsidR="003807A5" w:rsidRPr="00AC77DF" w:rsidRDefault="003807A5" w:rsidP="000E1121">
            <w:pPr>
              <w:kinsoku w:val="0"/>
              <w:spacing w:line="360" w:lineRule="exact"/>
              <w:ind w:left="480" w:hangingChars="200" w:hanging="480"/>
              <w:jc w:val="distribute"/>
              <w:rPr>
                <w:lang w:val="x-none"/>
              </w:rPr>
            </w:pPr>
            <w:r w:rsidRPr="00AC77DF">
              <w:rPr>
                <w:lang w:val="x-none"/>
              </w:rPr>
              <w:lastRenderedPageBreak/>
              <w:t>一、家庭為社會之自然基本團體單位，應儘力廣予保護與協助，其成立及當其負責養護教育受扶養之兒童時，尤應</w:t>
            </w:r>
            <w:r w:rsidRPr="000E1121">
              <w:rPr>
                <w:spacing w:val="-4"/>
                <w:lang w:val="x-none"/>
              </w:rPr>
              <w:t>予以保護與協助。婚姻必須婚嫁雙方自由同意方得締結。</w:t>
            </w:r>
          </w:p>
          <w:p w:rsidR="003807A5" w:rsidRPr="00AC77DF" w:rsidRDefault="003807A5" w:rsidP="000E1121">
            <w:pPr>
              <w:spacing w:line="360" w:lineRule="exact"/>
              <w:ind w:left="480" w:hangingChars="200" w:hanging="480"/>
              <w:jc w:val="both"/>
              <w:rPr>
                <w:lang w:val="x-none"/>
              </w:rPr>
            </w:pPr>
            <w:r w:rsidRPr="00AC77DF">
              <w:rPr>
                <w:lang w:val="x-none"/>
              </w:rPr>
              <w:t>二、母親於分娩前後相當期間內應受特別保護。工作之母親在此期間應享受照給薪資或有適當社會保障福利之休假。</w:t>
            </w:r>
          </w:p>
          <w:p w:rsidR="003807A5" w:rsidRPr="00AC77DF" w:rsidRDefault="003807A5" w:rsidP="003D2C0C">
            <w:pPr>
              <w:spacing w:afterLines="30" w:after="108" w:line="360" w:lineRule="exact"/>
              <w:ind w:left="480" w:hangingChars="200" w:hanging="480"/>
              <w:jc w:val="both"/>
              <w:rPr>
                <w:lang w:val="x-none"/>
              </w:rPr>
            </w:pPr>
            <w:r w:rsidRPr="00AC77DF">
              <w:rPr>
                <w:lang w:val="x-none"/>
              </w:rPr>
              <w:t>三、所有兒童及少年應有特種措施予以保護與協助，不得因出生或其他關係而受任何歧視。兒童及青年應有保障、免受經濟及社會剝削。凡僱用兒童及少年從事對其道德或健康有害、或有生命危險、或可能妨礙正常發育之工作者均應依法懲罰。國家亦應訂定年齡限制，凡出資僱用未及齡之童工，均應禁止並應依法懲罰。</w:t>
            </w:r>
          </w:p>
        </w:tc>
      </w:tr>
    </w:tbl>
    <w:p w:rsidR="003807A5" w:rsidRPr="00AC77DF" w:rsidRDefault="007E7E08" w:rsidP="000B692A">
      <w:pPr>
        <w:pStyle w:val="afff1"/>
        <w:spacing w:before="360" w:after="360"/>
      </w:pPr>
      <w:bookmarkStart w:id="616" w:name="_Toc533430347"/>
      <w:r>
        <w:rPr>
          <w:rFonts w:hint="eastAsia"/>
        </w:rPr>
        <w:lastRenderedPageBreak/>
        <w:t>(一)</w:t>
      </w:r>
      <w:r w:rsidR="003807A5" w:rsidRPr="00AC77DF">
        <w:t>案情簡述</w:t>
      </w:r>
      <w:bookmarkEnd w:id="616"/>
    </w:p>
    <w:p w:rsidR="003807A5" w:rsidRPr="00AC77DF" w:rsidRDefault="003807A5" w:rsidP="00450E3B">
      <w:pPr>
        <w:pStyle w:val="1---"/>
        <w:ind w:firstLine="480"/>
      </w:pPr>
      <w:r w:rsidRPr="00AC77DF">
        <w:t>我國於</w:t>
      </w:r>
      <w:r w:rsidRPr="00AC77DF">
        <w:t>92</w:t>
      </w:r>
      <w:r w:rsidRPr="00AC77DF">
        <w:t>年</w:t>
      </w:r>
      <w:r w:rsidRPr="00AC77DF">
        <w:t>2</w:t>
      </w:r>
      <w:r w:rsidRPr="00AC77DF">
        <w:t>月</w:t>
      </w:r>
      <w:r w:rsidRPr="00AC77DF">
        <w:t>6</w:t>
      </w:r>
      <w:r w:rsidRPr="00AC77DF">
        <w:t>日公布施行家庭教育法，首開全球家庭教育專法之先河，惟近年來我國面臨家庭結構急速變化及家庭功能日漸弱化等問題。究政府相關機關如何推展家庭教育？能否切合各類型家庭需求與獲得適當之支持與協助？政府相關機關有無橫向聯繫、合作機制及因應措施？均有深入瞭解之必要，案經監察委員立案調查。</w:t>
      </w:r>
    </w:p>
    <w:p w:rsidR="000E1121" w:rsidRDefault="000E1121" w:rsidP="000B692A">
      <w:pPr>
        <w:pStyle w:val="afff1"/>
        <w:spacing w:before="360" w:after="360"/>
      </w:pPr>
      <w:bookmarkStart w:id="617" w:name="_Toc533430348"/>
    </w:p>
    <w:p w:rsidR="003807A5" w:rsidRPr="00AC77DF" w:rsidRDefault="007E7E08" w:rsidP="000B692A">
      <w:pPr>
        <w:pStyle w:val="afff1"/>
        <w:spacing w:before="360" w:after="360"/>
      </w:pPr>
      <w:r>
        <w:rPr>
          <w:rFonts w:hint="eastAsia"/>
        </w:rPr>
        <w:lastRenderedPageBreak/>
        <w:t>(二)</w:t>
      </w:r>
      <w:r w:rsidR="003807A5" w:rsidRPr="00AC77DF">
        <w:t>監察院調查發現與建議</w:t>
      </w:r>
      <w:bookmarkEnd w:id="617"/>
    </w:p>
    <w:p w:rsidR="003807A5" w:rsidRPr="00AC77DF" w:rsidRDefault="00597483" w:rsidP="00564517">
      <w:pPr>
        <w:pStyle w:val="1--13"/>
        <w:spacing w:before="180" w:after="180"/>
      </w:pPr>
      <w:r w:rsidRPr="008E1832">
        <w:rPr>
          <w:rFonts w:hint="eastAsia"/>
        </w:rPr>
        <w:t>˙</w:t>
      </w:r>
      <w:r w:rsidR="003807A5" w:rsidRPr="00AC77DF">
        <w:t>未能依法積極寬籌經費</w:t>
      </w:r>
    </w:p>
    <w:p w:rsidR="003807A5" w:rsidRPr="00AC77DF" w:rsidRDefault="003807A5" w:rsidP="00450E3B">
      <w:pPr>
        <w:pStyle w:val="1---"/>
        <w:ind w:firstLine="480"/>
        <w:rPr>
          <w:lang w:eastAsia="zh-TW"/>
        </w:rPr>
      </w:pPr>
      <w:r w:rsidRPr="00AC77DF">
        <w:t>家庭教育法於</w:t>
      </w:r>
      <w:r w:rsidRPr="00AC77DF">
        <w:t>92</w:t>
      </w:r>
      <w:r w:rsidRPr="00AC77DF">
        <w:t>年</w:t>
      </w:r>
      <w:r w:rsidRPr="00AC77DF">
        <w:t>2</w:t>
      </w:r>
      <w:r w:rsidRPr="00AC77DF">
        <w:t>月</w:t>
      </w:r>
      <w:r w:rsidRPr="00AC77DF">
        <w:t>6</w:t>
      </w:r>
      <w:r w:rsidRPr="00AC77DF">
        <w:t>日公布施行，要求各級主管機關應寬籌家庭教育經費，積極推展家庭教育，而教育部自</w:t>
      </w:r>
      <w:r w:rsidRPr="00AC77DF">
        <w:t>92</w:t>
      </w:r>
      <w:r w:rsidRPr="00AC77DF">
        <w:t>年迄今每年所編列之家庭教育經費，各年度雖互有增減，惟整體而言並未有顯著成長之趨勢，即使該部自</w:t>
      </w:r>
      <w:r w:rsidRPr="00AC77DF">
        <w:t>102</w:t>
      </w:r>
      <w:r w:rsidRPr="00AC77DF">
        <w:t>年實施</w:t>
      </w:r>
      <w:r w:rsidRPr="00AC77DF">
        <w:t>4</w:t>
      </w:r>
      <w:r w:rsidRPr="00AC77DF">
        <w:t>年期程的「推展家庭教育中程計畫</w:t>
      </w:r>
      <w:r w:rsidRPr="000E1121">
        <w:rPr>
          <w:spacing w:val="-28"/>
        </w:rPr>
        <w:t>」</w:t>
      </w:r>
      <w:r w:rsidRPr="00AC77DF">
        <w:t>，每年家庭教育經費占該部所主管經費之比率，卻仍未超過</w:t>
      </w:r>
      <w:r w:rsidRPr="00AC77DF">
        <w:t>0.1</w:t>
      </w:r>
      <w:r w:rsidR="00F9266D">
        <w:t>%</w:t>
      </w:r>
      <w:r w:rsidRPr="00AC77DF">
        <w:t>，顯見該部未能依法積極寬籌經費。</w:t>
      </w:r>
    </w:p>
    <w:p w:rsidR="003807A5" w:rsidRPr="00AC77DF" w:rsidRDefault="003807A5" w:rsidP="00450E3B">
      <w:pPr>
        <w:pStyle w:val="1---"/>
        <w:ind w:firstLine="480"/>
        <w:rPr>
          <w:b/>
        </w:rPr>
      </w:pPr>
      <w:r w:rsidRPr="00AC77DF">
        <w:t>22</w:t>
      </w:r>
      <w:r w:rsidRPr="00AC77DF">
        <w:t>個縣市家庭教育中心推展家庭教育之經費來自地方政府公務預算之占比，不增反降，從</w:t>
      </w:r>
      <w:r w:rsidRPr="00AC77DF">
        <w:t>101</w:t>
      </w:r>
      <w:r w:rsidRPr="00AC77DF">
        <w:t>年之</w:t>
      </w:r>
      <w:r w:rsidRPr="00AC77DF">
        <w:t>63.67</w:t>
      </w:r>
      <w:r w:rsidR="00F9266D">
        <w:t>%</w:t>
      </w:r>
      <w:r w:rsidRPr="00AC77DF">
        <w:t>，逐年降低至</w:t>
      </w:r>
      <w:r w:rsidRPr="00AC77DF">
        <w:t>105</w:t>
      </w:r>
      <w:r w:rsidRPr="00AC77DF">
        <w:t>年之</w:t>
      </w:r>
      <w:r w:rsidRPr="00AC77DF">
        <w:t>58.29</w:t>
      </w:r>
      <w:r w:rsidR="00F9266D">
        <w:t>%</w:t>
      </w:r>
      <w:r w:rsidRPr="00AC77DF">
        <w:t>及</w:t>
      </w:r>
      <w:r w:rsidRPr="00AC77DF">
        <w:t>106</w:t>
      </w:r>
      <w:r w:rsidRPr="00AC77DF">
        <w:t>年之</w:t>
      </w:r>
      <w:r w:rsidRPr="00AC77DF">
        <w:t>59.17</w:t>
      </w:r>
      <w:r w:rsidR="00F9266D">
        <w:t>%</w:t>
      </w:r>
      <w:r w:rsidRPr="00AC77DF">
        <w:t>，部分縣市占比甚至未達</w:t>
      </w:r>
      <w:r w:rsidRPr="00AC77DF">
        <w:t>3</w:t>
      </w:r>
      <w:r w:rsidRPr="00AC77DF">
        <w:t>成，顯見地方政府未能寬籌家庭教育經費以落實推展家庭教育，教育部應促其檢討改進。</w:t>
      </w:r>
    </w:p>
    <w:p w:rsidR="003807A5" w:rsidRPr="00AC77DF" w:rsidRDefault="00597483" w:rsidP="00564517">
      <w:pPr>
        <w:pStyle w:val="1--13"/>
        <w:spacing w:before="180" w:after="180"/>
      </w:pPr>
      <w:r w:rsidRPr="008E1832">
        <w:rPr>
          <w:rFonts w:hint="eastAsia"/>
        </w:rPr>
        <w:t>˙</w:t>
      </w:r>
      <w:r w:rsidR="003807A5" w:rsidRPr="00AC77DF">
        <w:t>跨部門未能協調整合</w:t>
      </w:r>
    </w:p>
    <w:p w:rsidR="003807A5" w:rsidRDefault="003807A5" w:rsidP="00450E3B">
      <w:pPr>
        <w:pStyle w:val="1---"/>
        <w:ind w:firstLine="480"/>
        <w:rPr>
          <w:lang w:eastAsia="zh-TW"/>
        </w:rPr>
      </w:pPr>
      <w:r w:rsidRPr="00AC77DF">
        <w:t>各地方政府雖依法成立家庭教育諮詢委員會，惟實際運作多未能發揮跨部門協調整合之功能及有效統籌家庭教育政策規劃與策略發展之方向。主任委員（召集人）或副主任委員（副召集人）多未能出席主持會議，甚至由外聘委員或未具委員身分者擔任主席，委員代理出席情況普遍，以致會議流於形式，協調整合功能無從落實。</w:t>
      </w:r>
    </w:p>
    <w:p w:rsidR="000E1121" w:rsidRPr="00AC77DF" w:rsidRDefault="000E1121" w:rsidP="00450E3B">
      <w:pPr>
        <w:pStyle w:val="1---"/>
        <w:ind w:firstLine="480"/>
        <w:rPr>
          <w:b/>
          <w:lang w:eastAsia="zh-TW"/>
        </w:rPr>
      </w:pPr>
    </w:p>
    <w:p w:rsidR="003807A5" w:rsidRPr="00AC77DF" w:rsidRDefault="00597483" w:rsidP="00564517">
      <w:pPr>
        <w:pStyle w:val="1--13"/>
        <w:spacing w:before="180" w:after="180"/>
      </w:pPr>
      <w:r w:rsidRPr="008E1832">
        <w:rPr>
          <w:rFonts w:hint="eastAsia"/>
        </w:rPr>
        <w:lastRenderedPageBreak/>
        <w:t>˙</w:t>
      </w:r>
      <w:r w:rsidR="003807A5" w:rsidRPr="00AC77DF">
        <w:t>地方政府對家庭教育之關注仍待提升</w:t>
      </w:r>
    </w:p>
    <w:p w:rsidR="003807A5" w:rsidRPr="00AC77DF" w:rsidRDefault="003807A5" w:rsidP="00450E3B">
      <w:pPr>
        <w:pStyle w:val="1---"/>
        <w:ind w:firstLine="480"/>
        <w:rPr>
          <w:lang w:eastAsia="zh-TW"/>
        </w:rPr>
      </w:pPr>
      <w:r w:rsidRPr="00AC77DF">
        <w:t>教育部雖於</w:t>
      </w:r>
      <w:r w:rsidRPr="00AC77DF">
        <w:t>102</w:t>
      </w:r>
      <w:r w:rsidRPr="00AC77DF">
        <w:t>年實施「推展家庭教育中程計畫</w:t>
      </w:r>
      <w:r w:rsidRPr="000E1121">
        <w:rPr>
          <w:spacing w:val="-28"/>
        </w:rPr>
        <w:t>」</w:t>
      </w:r>
      <w:r w:rsidRPr="00AC77DF">
        <w:t>，以整合各機關家庭工作資源，惟目前地方政府及其所屬機關對於家庭教育之關注仍有不足，且定位及分工不清，服務資源欠缺整合，阻礙家庭教育之推展成效。</w:t>
      </w:r>
    </w:p>
    <w:p w:rsidR="003807A5" w:rsidRPr="00AC77DF" w:rsidRDefault="003807A5" w:rsidP="00450E3B">
      <w:pPr>
        <w:pStyle w:val="1---"/>
        <w:ind w:firstLine="480"/>
        <w:rPr>
          <w:b/>
          <w:lang w:eastAsia="zh-TW"/>
        </w:rPr>
      </w:pPr>
      <w:r w:rsidRPr="00AC77DF">
        <w:t>各縣市家庭教育中心為地方推展家庭教育工作之專責機關，惟普遍未受重視，組織定位及功能不明，業務範圍擴增，亦難以協調跨局處及整合各方資源，影響整體家庭教育推展之成效，亟待教育部研謀有效解決對策。</w:t>
      </w:r>
    </w:p>
    <w:p w:rsidR="003807A5" w:rsidRPr="00AC77DF" w:rsidRDefault="00597483" w:rsidP="00564517">
      <w:pPr>
        <w:pStyle w:val="1--13"/>
        <w:spacing w:before="180" w:after="180"/>
      </w:pPr>
      <w:r w:rsidRPr="008E1832">
        <w:rPr>
          <w:rFonts w:hint="eastAsia"/>
        </w:rPr>
        <w:t>˙</w:t>
      </w:r>
      <w:r w:rsidR="003807A5" w:rsidRPr="00AC77DF">
        <w:t>家庭教育中心進用人員多未具專業資格</w:t>
      </w:r>
    </w:p>
    <w:p w:rsidR="003807A5" w:rsidRPr="00AC77DF" w:rsidRDefault="003807A5" w:rsidP="00274413">
      <w:pPr>
        <w:pStyle w:val="1---"/>
        <w:spacing w:after="180"/>
        <w:ind w:firstLine="480"/>
        <w:rPr>
          <w:b/>
        </w:rPr>
      </w:pPr>
      <w:r w:rsidRPr="00AC77DF">
        <w:t>家庭教育法於</w:t>
      </w:r>
      <w:r w:rsidRPr="00AC77DF">
        <w:t>92</w:t>
      </w:r>
      <w:r w:rsidRPr="00AC77DF">
        <w:t>年施行迄今已逾</w:t>
      </w:r>
      <w:r w:rsidRPr="00AC77DF">
        <w:t>14</w:t>
      </w:r>
      <w:r w:rsidRPr="00AC77DF">
        <w:t>年，惟全國各縣市家庭教育中心進用人員仍有將近</w:t>
      </w:r>
      <w:r w:rsidRPr="00AC77DF">
        <w:t>8</w:t>
      </w:r>
      <w:r w:rsidRPr="00AC77DF">
        <w:t>成者未具專業資格，又各縣市家庭教育中心人力長期不足，且仍有超過半數中心之主任為兼任，不利於家庭教育推展之質與量。</w:t>
      </w:r>
    </w:p>
    <w:p w:rsidR="003807A5" w:rsidRPr="00AC77DF" w:rsidRDefault="003807A5" w:rsidP="000910B4">
      <w:pPr>
        <w:pStyle w:val="1---"/>
        <w:ind w:firstLine="480"/>
        <w:jc w:val="distribute"/>
        <w:rPr>
          <w:b/>
        </w:rPr>
      </w:pPr>
      <w:r w:rsidRPr="00AC77DF">
        <w:rPr>
          <w:rStyle w:val="1---0"/>
        </w:rPr>
        <w:t>教育部雖</w:t>
      </w:r>
      <w:r w:rsidRPr="00AC77DF">
        <w:t>於</w:t>
      </w:r>
      <w:r w:rsidRPr="00AC77DF">
        <w:rPr>
          <w:rStyle w:val="1---0"/>
        </w:rPr>
        <w:t>102</w:t>
      </w:r>
      <w:r w:rsidRPr="00AC77DF">
        <w:rPr>
          <w:rStyle w:val="1---0"/>
        </w:rPr>
        <w:t>年整合建立全國家庭教育諮詢專線單一碼「</w:t>
      </w:r>
      <w:r w:rsidRPr="00AC77DF">
        <w:rPr>
          <w:rStyle w:val="1---0"/>
        </w:rPr>
        <w:t>412-8185</w:t>
      </w:r>
      <w:r w:rsidRPr="000910B4">
        <w:rPr>
          <w:rStyle w:val="1---0"/>
          <w:spacing w:val="-28"/>
        </w:rPr>
        <w:t>」</w:t>
      </w:r>
      <w:r w:rsidRPr="00AC77DF">
        <w:rPr>
          <w:rStyle w:val="1---0"/>
        </w:rPr>
        <w:t>，惟目前接線量仍低，部分縣市平均每日接線量甚</w:t>
      </w:r>
      <w:r w:rsidRPr="000910B4">
        <w:rPr>
          <w:rStyle w:val="1---0"/>
          <w:spacing w:val="-2"/>
        </w:rPr>
        <w:t>至未達</w:t>
      </w:r>
      <w:r w:rsidRPr="000910B4">
        <w:rPr>
          <w:rStyle w:val="1---0"/>
          <w:spacing w:val="-2"/>
        </w:rPr>
        <w:t>1</w:t>
      </w:r>
      <w:r w:rsidRPr="000910B4">
        <w:rPr>
          <w:rStyle w:val="1---0"/>
          <w:spacing w:val="-2"/>
        </w:rPr>
        <w:t>通，應積極研謀改善對策，提升該諮詢專線服</w:t>
      </w:r>
      <w:r w:rsidRPr="000910B4">
        <w:rPr>
          <w:spacing w:val="-2"/>
        </w:rPr>
        <w:t>務效能。</w:t>
      </w:r>
    </w:p>
    <w:p w:rsidR="003807A5" w:rsidRPr="00AC77DF" w:rsidRDefault="003807A5" w:rsidP="00234F21">
      <w:pPr>
        <w:pStyle w:val="1---"/>
        <w:ind w:firstLine="480"/>
        <w:rPr>
          <w:b/>
        </w:rPr>
      </w:pPr>
      <w:r w:rsidRPr="00AC77DF">
        <w:t>家庭教育法施行迄今已逾</w:t>
      </w:r>
      <w:r w:rsidRPr="00AC77DF">
        <w:t>14</w:t>
      </w:r>
      <w:r w:rsidRPr="00AC77DF">
        <w:t>年，期間雖歷經</w:t>
      </w:r>
      <w:r w:rsidRPr="00AC77DF">
        <w:t>4</w:t>
      </w:r>
      <w:r w:rsidRPr="00AC77DF">
        <w:t>次修正，惟係微幅調整；鑑於社會時空變遷及家庭結構改變，家庭面對更為嚴峻之挑戰，教育部宜通盤澈底檢討，針對目前家庭教育推展之困境與阻礙，聚焦於家庭教育之預防性功能，因應不同家庭之差異需求，妥善提出完整配套，以提升家庭教育服務之品質，俾達成該法之立法目的。</w:t>
      </w:r>
    </w:p>
    <w:p w:rsidR="003807A5" w:rsidRPr="00AC77DF" w:rsidRDefault="003807A5" w:rsidP="00234F21">
      <w:pPr>
        <w:pStyle w:val="1---"/>
        <w:ind w:firstLine="480"/>
        <w:rPr>
          <w:b/>
        </w:rPr>
      </w:pPr>
      <w:r w:rsidRPr="00AC77DF">
        <w:lastRenderedPageBreak/>
        <w:t>依據本案調查意見</w:t>
      </w:r>
      <w:r w:rsidRPr="00AC77DF">
        <w:rPr>
          <w:rStyle w:val="aff2"/>
        </w:rPr>
        <w:footnoteReference w:id="131"/>
      </w:r>
      <w:r w:rsidRPr="00AC77DF">
        <w:t>，監察院糾正教育部，並函請該部確實檢討改進見復。</w:t>
      </w:r>
    </w:p>
    <w:p w:rsidR="003807A5" w:rsidRPr="00AC77DF" w:rsidRDefault="007E7E08" w:rsidP="000B692A">
      <w:pPr>
        <w:pStyle w:val="afff1"/>
        <w:spacing w:before="360" w:after="360"/>
      </w:pPr>
      <w:bookmarkStart w:id="618" w:name="_Toc533430349"/>
      <w:r>
        <w:rPr>
          <w:rFonts w:hint="eastAsia"/>
        </w:rPr>
        <w:t>(三)</w:t>
      </w:r>
      <w:r w:rsidR="003807A5" w:rsidRPr="00AC77DF">
        <w:t>政府機關改善情形</w:t>
      </w:r>
      <w:bookmarkEnd w:id="618"/>
    </w:p>
    <w:p w:rsidR="003807A5" w:rsidRPr="00AC77DF" w:rsidRDefault="003807A5" w:rsidP="00425EE5">
      <w:pPr>
        <w:pStyle w:val="1----"/>
        <w:ind w:left="600" w:hanging="360"/>
        <w:rPr>
          <w:b/>
        </w:rPr>
      </w:pPr>
      <w:r w:rsidRPr="00AC77DF">
        <w:t>1</w:t>
      </w:r>
      <w:r w:rsidRPr="00AC77DF">
        <w:t>、教育部為持續整合資源推動家庭教育，續擬訂「第二期推展家庭教育中程計畫（</w:t>
      </w:r>
      <w:r w:rsidRPr="00AC77DF">
        <w:t>107-110</w:t>
      </w:r>
      <w:r w:rsidRPr="00AC77DF">
        <w:t>年</w:t>
      </w:r>
      <w:r w:rsidRPr="000910B4">
        <w:rPr>
          <w:spacing w:val="-24"/>
        </w:rPr>
        <w:t>）</w:t>
      </w:r>
      <w:r w:rsidRPr="00AC77DF">
        <w:t>」草案，以跨部會協調合作、提升家庭教育專業，以及回應社會家庭發展趨勢與議題為關鍵考量，規劃整</w:t>
      </w:r>
      <w:r w:rsidRPr="000910B4">
        <w:rPr>
          <w:spacing w:val="-12"/>
        </w:rPr>
        <w:t>合</w:t>
      </w:r>
      <w:r w:rsidRPr="00AC77DF">
        <w:t>1</w:t>
      </w:r>
      <w:r w:rsidRPr="000910B4">
        <w:rPr>
          <w:spacing w:val="-12"/>
        </w:rPr>
        <w:t>2</w:t>
      </w:r>
      <w:r w:rsidRPr="00AC77DF">
        <w:t>個相關部會、地方政府與學校共同推動家庭教育，分由</w:t>
      </w:r>
      <w:r w:rsidRPr="00AC77DF">
        <w:t>4</w:t>
      </w:r>
      <w:r w:rsidRPr="00AC77DF">
        <w:t>大主軸、</w:t>
      </w:r>
      <w:r w:rsidRPr="00AC77DF">
        <w:t>12</w:t>
      </w:r>
      <w:r w:rsidRPr="00AC77DF">
        <w:t>項策略重點</w:t>
      </w:r>
      <w:r w:rsidRPr="000910B4">
        <w:rPr>
          <w:spacing w:val="-12"/>
        </w:rPr>
        <w:t>及</w:t>
      </w:r>
      <w:r w:rsidRPr="00AC77DF">
        <w:t>7</w:t>
      </w:r>
      <w:r w:rsidRPr="000910B4">
        <w:rPr>
          <w:spacing w:val="-12"/>
        </w:rPr>
        <w:t>2</w:t>
      </w:r>
      <w:r w:rsidRPr="00AC77DF">
        <w:t>項執行策略與內容，協同各級政府相關家庭教育資源及推動策略。另該部為擴大家庭教育服務與整合資源，已於家庭教育法部分條文修正草案責請各級主管機關組成之家庭教育推展會（原家庭教育諮詢委員會</w:t>
      </w:r>
      <w:r w:rsidRPr="000910B4">
        <w:rPr>
          <w:spacing w:val="-24"/>
        </w:rPr>
        <w:t>）</w:t>
      </w:r>
      <w:r w:rsidRPr="00AC77DF">
        <w:t>，由首長擔任召集人，並納入民政（含戶政</w:t>
      </w:r>
      <w:r w:rsidRPr="000910B4">
        <w:rPr>
          <w:spacing w:val="-24"/>
        </w:rPr>
        <w:t>）</w:t>
      </w:r>
      <w:r w:rsidRPr="00AC77DF">
        <w:t>、社政與衛生機關等相關機關代表，強化橫向聯繫及共同推展家庭教育。</w:t>
      </w:r>
    </w:p>
    <w:p w:rsidR="003807A5" w:rsidRPr="00AC77DF" w:rsidRDefault="003807A5" w:rsidP="00425EE5">
      <w:pPr>
        <w:pStyle w:val="1----"/>
        <w:ind w:left="582" w:hanging="342"/>
        <w:rPr>
          <w:b/>
        </w:rPr>
      </w:pPr>
      <w:r w:rsidRPr="00AC77DF">
        <w:rPr>
          <w:spacing w:val="-6"/>
        </w:rPr>
        <w:t>2</w:t>
      </w:r>
      <w:r w:rsidRPr="00AC77DF">
        <w:rPr>
          <w:spacing w:val="-6"/>
        </w:rPr>
        <w:t>、針對</w:t>
      </w:r>
      <w:r w:rsidRPr="00AC77DF">
        <w:t>各縣市家庭教育諮詢委員會實際運作功能不彰之問題，教育部已研議相關策進作為，包括召開工作圈聯繫會報，列入年度補助各地方政府推展家庭教育計畫參考依據，列入「第二期推展家庭教育中程計畫」執行策略以強化與追蹤辦理情形及研修家庭教育法。</w:t>
      </w:r>
    </w:p>
    <w:p w:rsidR="003807A5" w:rsidRPr="00AC77DF" w:rsidRDefault="003807A5" w:rsidP="00425EE5">
      <w:pPr>
        <w:pStyle w:val="1----"/>
        <w:ind w:left="600" w:hanging="360"/>
        <w:rPr>
          <w:b/>
        </w:rPr>
      </w:pPr>
      <w:r w:rsidRPr="00AC77DF">
        <w:t>3</w:t>
      </w:r>
      <w:r w:rsidRPr="00AC77DF">
        <w:t>、為改善特殊需求家庭或優先接受家庭教育服務對象參與情形相對偏低之情況，教育部於「家庭教育法部分條文修正</w:t>
      </w:r>
      <w:r w:rsidRPr="00AC77DF">
        <w:lastRenderedPageBreak/>
        <w:t>草案」與「第二期推展家庭教育中程計畫（</w:t>
      </w:r>
      <w:r w:rsidRPr="00AC77DF">
        <w:t>107-110</w:t>
      </w:r>
      <w:r w:rsidRPr="00AC77DF">
        <w:t>年）</w:t>
      </w:r>
      <w:r w:rsidRPr="000910B4">
        <w:rPr>
          <w:spacing w:val="-20"/>
        </w:rPr>
        <w:t>」</w:t>
      </w:r>
      <w:r w:rsidRPr="00AC77DF">
        <w:t>，新增各地方家庭教育中心結合社區資源推展家庭教育之核心任務和執行策略。另該部</w:t>
      </w:r>
      <w:r w:rsidRPr="00AC77DF">
        <w:t>107</w:t>
      </w:r>
      <w:r w:rsidRPr="00AC77DF">
        <w:t>年籌劃並輔導各地方政府辦理串連社區深入村（里）鄰的家庭教育服務方案，透過策略聯盟推動家庭教育，有效及主動提供民眾各類服務。另請各地方家庭教育中心應就如何普及縣（市）民眾知悉全國家庭教育諮詢專線服務，列為</w:t>
      </w:r>
      <w:r w:rsidRPr="00AC77DF">
        <w:t>107</w:t>
      </w:r>
      <w:r w:rsidRPr="00AC77DF">
        <w:t>年度重點規劃家庭教育宣導計畫。</w:t>
      </w:r>
    </w:p>
    <w:p w:rsidR="003807A5" w:rsidRPr="00AC77DF" w:rsidRDefault="003807A5" w:rsidP="00425EE5">
      <w:pPr>
        <w:pStyle w:val="1----"/>
        <w:ind w:left="600" w:hanging="360"/>
      </w:pPr>
      <w:r w:rsidRPr="00AC77DF">
        <w:t>4</w:t>
      </w:r>
      <w:r w:rsidRPr="00AC77DF">
        <w:t>、為改善各縣市家庭教育中心專業人力不足之問題，已先於審核「</w:t>
      </w:r>
      <w:r w:rsidRPr="00AC77DF">
        <w:t>107</w:t>
      </w:r>
      <w:r w:rsidRPr="00AC77DF">
        <w:t>年度補助各直轄市、縣（市）政府推展家庭教育實施計畫」時，配合教育部家庭教育法修法方向及依縣市所提未來</w:t>
      </w:r>
      <w:r w:rsidRPr="00AC77DF">
        <w:t>5</w:t>
      </w:r>
      <w:r w:rsidRPr="00AC77DF">
        <w:t>年充實人力規劃，核定「家庭教育專業人員</w:t>
      </w:r>
      <w:r w:rsidRPr="000910B4">
        <w:rPr>
          <w:spacing w:val="-20"/>
        </w:rPr>
        <w:t>」</w:t>
      </w:r>
      <w:r w:rsidRPr="00AC77DF">
        <w:t>。</w:t>
      </w:r>
      <w:r w:rsidRPr="00AC77DF">
        <w:t>107</w:t>
      </w:r>
      <w:r w:rsidRPr="00AC77DF">
        <w:t>年教育部核定</w:t>
      </w:r>
      <w:r w:rsidRPr="00AC77DF">
        <w:t>17</w:t>
      </w:r>
      <w:r w:rsidRPr="00AC77DF">
        <w:t>縣市、計</w:t>
      </w:r>
      <w:r w:rsidRPr="00AC77DF">
        <w:t>18</w:t>
      </w:r>
      <w:r w:rsidRPr="00AC77DF">
        <w:t>名「家庭教育專業人員</w:t>
      </w:r>
      <w:r w:rsidRPr="000910B4">
        <w:rPr>
          <w:spacing w:val="-20"/>
        </w:rPr>
        <w:t>」</w:t>
      </w:r>
      <w:r w:rsidRPr="00AC77DF">
        <w:t>，專責執行家庭教育業務推展工作（前述人力經費並依地方政府財力級次酌予補助</w:t>
      </w:r>
      <w:r w:rsidRPr="000910B4">
        <w:rPr>
          <w:spacing w:val="-20"/>
        </w:rPr>
        <w:t>）</w:t>
      </w:r>
      <w:r w:rsidRPr="00AC77DF">
        <w:t>。另該部於家庭教育法部分條文修正草案明文規定應置主任，並明文規定各家庭教育中心工作人員配置基準，促使中心依法配置人力。</w:t>
      </w:r>
    </w:p>
    <w:p w:rsidR="003807A5" w:rsidRPr="00AC77DF" w:rsidRDefault="007E7E08" w:rsidP="000B692A">
      <w:pPr>
        <w:pStyle w:val="afff1"/>
        <w:spacing w:before="360" w:after="360"/>
      </w:pPr>
      <w:bookmarkStart w:id="619" w:name="_Toc533430350"/>
      <w:r>
        <w:rPr>
          <w:rFonts w:hint="eastAsia"/>
        </w:rPr>
        <w:t>(四)</w:t>
      </w:r>
      <w:r w:rsidR="003807A5" w:rsidRPr="00AC77DF">
        <w:t>案件進展</w:t>
      </w:r>
      <w:bookmarkEnd w:id="619"/>
    </w:p>
    <w:p w:rsidR="003807A5" w:rsidRPr="00AC77DF" w:rsidRDefault="003807A5" w:rsidP="00234F21">
      <w:pPr>
        <w:pStyle w:val="1---"/>
        <w:ind w:firstLine="480"/>
        <w:rPr>
          <w:lang w:eastAsia="zh-TW"/>
        </w:rPr>
      </w:pPr>
      <w:r w:rsidRPr="00AC77DF">
        <w:t>監察院仍持續列管追蹤教育部檢討改善辦理情形，並關注後續修法情形。</w:t>
      </w:r>
    </w:p>
    <w:p w:rsidR="003807A5" w:rsidRPr="00AC77DF" w:rsidRDefault="007E7E08" w:rsidP="007E7E08">
      <w:pPr>
        <w:pStyle w:val="1--16"/>
        <w:spacing w:before="180" w:after="180"/>
      </w:pPr>
      <w:bookmarkStart w:id="620" w:name="_Toc533430351"/>
      <w:bookmarkStart w:id="621" w:name="_Toc535228410"/>
      <w:bookmarkStart w:id="622" w:name="_Toc4058821"/>
      <w:r>
        <w:rPr>
          <w:rFonts w:hint="eastAsia"/>
        </w:rPr>
        <w:t>◆</w:t>
      </w:r>
      <w:r w:rsidR="003807A5" w:rsidRPr="00AC77DF">
        <w:t>評析</w:t>
      </w:r>
      <w:bookmarkEnd w:id="620"/>
      <w:bookmarkEnd w:id="621"/>
      <w:bookmarkEnd w:id="622"/>
    </w:p>
    <w:p w:rsidR="003807A5" w:rsidRPr="00AC77DF" w:rsidRDefault="003807A5" w:rsidP="00234F21">
      <w:pPr>
        <w:pStyle w:val="1---"/>
        <w:ind w:firstLine="480"/>
        <w:rPr>
          <w:lang w:eastAsia="zh-TW"/>
        </w:rPr>
      </w:pPr>
      <w:r w:rsidRPr="00AC77DF">
        <w:rPr>
          <w:kern w:val="0"/>
        </w:rPr>
        <w:t>教育對國家社會發展具有重要性，各國政府均將教育視</w:t>
      </w:r>
      <w:r w:rsidRPr="00AC77DF">
        <w:rPr>
          <w:spacing w:val="-4"/>
          <w:kern w:val="0"/>
        </w:rPr>
        <w:t>為</w:t>
      </w:r>
      <w:r w:rsidRPr="00AC77DF">
        <w:rPr>
          <w:spacing w:val="-4"/>
          <w:kern w:val="0"/>
        </w:rPr>
        <w:lastRenderedPageBreak/>
        <w:t>提升國力之重要施政項目</w:t>
      </w:r>
      <w:r w:rsidRPr="00AC77DF">
        <w:rPr>
          <w:rStyle w:val="aff2"/>
          <w:spacing w:val="-4"/>
          <w:kern w:val="0"/>
        </w:rPr>
        <w:footnoteReference w:id="132"/>
      </w:r>
      <w:r w:rsidRPr="00AC77DF">
        <w:rPr>
          <w:spacing w:val="-4"/>
          <w:kern w:val="0"/>
        </w:rPr>
        <w:t>。</w:t>
      </w:r>
      <w:r w:rsidRPr="00AC77DF">
        <w:t>一般而言，教育可依階段分為初等教育、中等教育及高等教育，因不同教育階段所欲達成之目的不同，故應透過不同的政策落實教育的目的。</w:t>
      </w:r>
    </w:p>
    <w:p w:rsidR="003807A5" w:rsidRPr="00AC77DF" w:rsidRDefault="003807A5" w:rsidP="00234F21">
      <w:pPr>
        <w:pStyle w:val="1---"/>
        <w:ind w:firstLine="480"/>
        <w:rPr>
          <w:lang w:eastAsia="zh-TW"/>
        </w:rPr>
      </w:pPr>
      <w:r w:rsidRPr="00AC77DF">
        <w:t>鑑於我國推動十二年國教後，高中及大學仍有入學門檻限制，如何讓入學制度公平有效，實屬一大挑戰。監察院歷年有許多針對入學條件與限制之法令面與執行面之調查案，本章亦摘錄</w:t>
      </w:r>
      <w:r w:rsidRPr="00AC77DF">
        <w:t>2017</w:t>
      </w:r>
      <w:r w:rsidRPr="00AC77DF">
        <w:t>年針對基北區志願序原則未臻明確及繁星計畫成效未如預期等</w:t>
      </w:r>
      <w:r w:rsidRPr="00AC77DF">
        <w:t>2</w:t>
      </w:r>
      <w:r w:rsidRPr="00AC77DF">
        <w:t>件調查案。案經監察院調查後，相關主管機關均</w:t>
      </w:r>
      <w:r w:rsidR="0034261A">
        <w:rPr>
          <w:rFonts w:hint="eastAsia"/>
        </w:rPr>
        <w:t>已</w:t>
      </w:r>
      <w:r w:rsidRPr="00AC77DF">
        <w:t>進行改善作為。</w:t>
      </w:r>
    </w:p>
    <w:p w:rsidR="003807A5" w:rsidRPr="00AC77DF" w:rsidRDefault="003807A5" w:rsidP="00234F21">
      <w:pPr>
        <w:pStyle w:val="1---"/>
        <w:ind w:firstLine="480"/>
        <w:rPr>
          <w:lang w:val="en-US" w:eastAsia="zh-TW"/>
        </w:rPr>
      </w:pPr>
      <w:r w:rsidRPr="00AC77DF">
        <w:t>由於近十多年我國生育率持續降低，造成大專院校面臨生源不足等困境。另在僑校方面，亦面臨泰北僑校師資缺乏等問題。上開兩案經監察院調查後，</w:t>
      </w:r>
      <w:r w:rsidR="00C2768C" w:rsidRPr="00AC77DF">
        <w:t>主管機關</w:t>
      </w:r>
      <w:r w:rsidR="00C2768C">
        <w:rPr>
          <w:rFonts w:hint="eastAsia"/>
        </w:rPr>
        <w:t>已</w:t>
      </w:r>
      <w:r w:rsidR="00C2768C" w:rsidRPr="00AC77DF">
        <w:t>積極處理</w:t>
      </w:r>
      <w:r w:rsidR="00C2768C">
        <w:rPr>
          <w:rFonts w:hint="eastAsia"/>
        </w:rPr>
        <w:t>並</w:t>
      </w:r>
      <w:r w:rsidRPr="00AC77DF">
        <w:t>提出改善建議。針對我國近年面臨家庭結構急速變化及家庭功能日漸弱化等問題，主管機關</w:t>
      </w:r>
      <w:r w:rsidRPr="000910B4">
        <w:rPr>
          <w:spacing w:val="-12"/>
        </w:rPr>
        <w:t>自</w:t>
      </w:r>
      <w:r w:rsidRPr="00AC77DF">
        <w:t>9</w:t>
      </w:r>
      <w:r w:rsidRPr="000910B4">
        <w:rPr>
          <w:spacing w:val="-12"/>
        </w:rPr>
        <w:t>2</w:t>
      </w:r>
      <w:r w:rsidRPr="00AC77DF">
        <w:t>年施行家庭教育法，迄今已</w:t>
      </w:r>
      <w:r w:rsidRPr="000910B4">
        <w:rPr>
          <w:spacing w:val="-16"/>
        </w:rPr>
        <w:t>逾</w:t>
      </w:r>
      <w:r w:rsidRPr="00AC77DF">
        <w:t>1</w:t>
      </w:r>
      <w:r w:rsidRPr="000910B4">
        <w:rPr>
          <w:spacing w:val="-16"/>
        </w:rPr>
        <w:t>4</w:t>
      </w:r>
      <w:r w:rsidRPr="00AC77DF">
        <w:t>年，卻存有諸多制度與執行面缺失，案經監察院調查後，主管機關亦</w:t>
      </w:r>
      <w:r w:rsidR="00C2768C">
        <w:rPr>
          <w:rFonts w:hint="eastAsia"/>
        </w:rPr>
        <w:t>修正相關</w:t>
      </w:r>
      <w:r w:rsidRPr="00AC77DF">
        <w:t>法規，並改善</w:t>
      </w:r>
      <w:r w:rsidR="00C2768C">
        <w:rPr>
          <w:rFonts w:hint="eastAsia"/>
        </w:rPr>
        <w:t>作業缺失</w:t>
      </w:r>
      <w:r w:rsidRPr="00AC77DF">
        <w:t>。期望透過充足有效的教育資源，</w:t>
      </w:r>
      <w:r w:rsidR="003D2C0C">
        <w:rPr>
          <w:rFonts w:hint="eastAsia"/>
          <w:lang w:eastAsia="zh-TW"/>
        </w:rPr>
        <w:t>讓</w:t>
      </w:r>
      <w:r w:rsidRPr="00AC77DF">
        <w:t>受教者</w:t>
      </w:r>
      <w:r w:rsidR="003D2C0C">
        <w:rPr>
          <w:rFonts w:hint="eastAsia"/>
          <w:lang w:eastAsia="zh-TW"/>
        </w:rPr>
        <w:t>獲</w:t>
      </w:r>
      <w:r w:rsidRPr="00AC77DF">
        <w:t>得優質教育，進而提升</w:t>
      </w:r>
      <w:r w:rsidR="00C2768C">
        <w:rPr>
          <w:rFonts w:hint="eastAsia"/>
        </w:rPr>
        <w:t>國家</w:t>
      </w:r>
      <w:r w:rsidRPr="00AC77DF">
        <w:t>競爭力。</w:t>
      </w:r>
    </w:p>
    <w:p w:rsidR="003807A5" w:rsidRPr="00AC77DF" w:rsidRDefault="003807A5" w:rsidP="00435D8C"/>
    <w:p w:rsidR="000910B4" w:rsidRDefault="000910B4" w:rsidP="00274413">
      <w:pPr>
        <w:pStyle w:val="1---"/>
        <w:spacing w:after="180"/>
        <w:ind w:firstLine="480"/>
        <w:rPr>
          <w:lang w:eastAsia="zh-TW"/>
        </w:rPr>
        <w:sectPr w:rsidR="000910B4" w:rsidSect="00037CD1">
          <w:headerReference w:type="default" r:id="rId28"/>
          <w:pgSz w:w="8392" w:h="11907" w:code="11"/>
          <w:pgMar w:top="1701" w:right="794" w:bottom="1134" w:left="964" w:header="624" w:footer="397" w:gutter="0"/>
          <w:cols w:space="425"/>
          <w:docGrid w:type="lines" w:linePitch="360"/>
        </w:sectPr>
      </w:pPr>
    </w:p>
    <w:p w:rsidR="003807A5" w:rsidRPr="00AC77DF" w:rsidRDefault="003807A5" w:rsidP="0033180C">
      <w:pPr>
        <w:pStyle w:val="1--"/>
        <w:spacing w:after="180"/>
      </w:pPr>
      <w:bookmarkStart w:id="623" w:name="_Toc535228411"/>
      <w:bookmarkStart w:id="624" w:name="_Toc4058822"/>
      <w:r w:rsidRPr="00AC77DF">
        <w:lastRenderedPageBreak/>
        <w:t>第九章</w:t>
      </w:r>
      <w:r w:rsidRPr="00AC77DF">
        <w:rPr>
          <w:rFonts w:ascii="細明體" w:eastAsia="細明體" w:hAnsi="細明體" w:cs="細明體" w:hint="eastAsia"/>
        </w:rPr>
        <w:t xml:space="preserve">　</w:t>
      </w:r>
      <w:r w:rsidRPr="00AC77DF">
        <w:rPr>
          <w:rFonts w:hAnsi="華康粗黑體" w:cs="華康粗黑體" w:hint="eastAsia"/>
        </w:rPr>
        <w:t>環境</w:t>
      </w:r>
      <w:r w:rsidRPr="00AC77DF">
        <w:t>權</w:t>
      </w:r>
      <w:bookmarkEnd w:id="623"/>
      <w:bookmarkEnd w:id="624"/>
    </w:p>
    <w:p w:rsidR="003807A5" w:rsidRPr="00AC77DF" w:rsidRDefault="003807A5" w:rsidP="00234F21">
      <w:pPr>
        <w:pStyle w:val="1---"/>
        <w:ind w:firstLine="480"/>
      </w:pPr>
      <w:r w:rsidRPr="00AC77DF">
        <w:t>環境人權（</w:t>
      </w:r>
      <w:r w:rsidRPr="00AC77DF">
        <w:t>Environmental Human Rights</w:t>
      </w:r>
      <w:r w:rsidRPr="00164199">
        <w:rPr>
          <w:spacing w:val="-28"/>
        </w:rPr>
        <w:t>）</w:t>
      </w:r>
      <w:r w:rsidRPr="00AC77DF">
        <w:t>，又稱為「環境權</w:t>
      </w:r>
      <w:r w:rsidRPr="00164199">
        <w:rPr>
          <w:spacing w:val="-28"/>
        </w:rPr>
        <w:t>」</w:t>
      </w:r>
      <w:r w:rsidRPr="00AC77DF">
        <w:t>，是現代人權理論新興的概念，其有別於第一代消極的個人人權、第二代積極的個人人權，而屬於第三代「共同人權」範疇。</w:t>
      </w:r>
      <w:r w:rsidR="00DB067A">
        <w:rPr>
          <w:rFonts w:hint="eastAsia"/>
        </w:rPr>
        <w:t>地球已是人類命運共同體，然各國因國家主權原則，往往各行其事，如</w:t>
      </w:r>
      <w:r w:rsidRPr="00AC77DF">
        <w:t>過度發展經濟，而使環境遭到難以回復之破壞，進而影響</w:t>
      </w:r>
      <w:r w:rsidR="00DB067A">
        <w:rPr>
          <w:rFonts w:hint="eastAsia"/>
        </w:rPr>
        <w:t>整個地球</w:t>
      </w:r>
      <w:r w:rsidRPr="00AC77DF">
        <w:t>人民追求健康等福祉</w:t>
      </w:r>
      <w:r w:rsidR="00DB067A">
        <w:rPr>
          <w:rStyle w:val="aff2"/>
        </w:rPr>
        <w:footnoteReference w:id="133"/>
      </w:r>
      <w:r w:rsidRPr="00AC77DF">
        <w:t>。</w:t>
      </w:r>
    </w:p>
    <w:p w:rsidR="003C4310" w:rsidRPr="003C4310" w:rsidRDefault="003C4310" w:rsidP="00234F21">
      <w:pPr>
        <w:pStyle w:val="1---"/>
        <w:ind w:firstLine="480"/>
      </w:pPr>
      <w:r w:rsidRPr="003C4310">
        <w:rPr>
          <w:rFonts w:hint="eastAsia"/>
        </w:rPr>
        <w:t>環境權</w:t>
      </w:r>
      <w:r>
        <w:rPr>
          <w:rFonts w:hint="eastAsia"/>
        </w:rPr>
        <w:t>可謂</w:t>
      </w:r>
      <w:r w:rsidRPr="003C4310">
        <w:rPr>
          <w:rFonts w:hint="eastAsia"/>
        </w:rPr>
        <w:t>人類與社會和自然的契約</w:t>
      </w:r>
      <w:r>
        <w:t>，</w:t>
      </w:r>
      <w:r>
        <w:rPr>
          <w:rFonts w:hint="eastAsia"/>
        </w:rPr>
        <w:t>主要包含四大部分</w:t>
      </w:r>
      <w:r w:rsidRPr="003C4310">
        <w:rPr>
          <w:rFonts w:hint="eastAsia"/>
        </w:rPr>
        <w:t>：一是優良環境享有權，即公民有要求享受優良（即健康、安全和舒適）環境的權利；二是惡化環境拒絕權，即公民有拒絕惡化環境（</w:t>
      </w:r>
      <w:r w:rsidR="000E210E">
        <w:rPr>
          <w:rFonts w:hint="eastAsia"/>
          <w:lang w:eastAsia="zh-TW"/>
        </w:rPr>
        <w:t>如</w:t>
      </w:r>
      <w:r w:rsidRPr="003C4310">
        <w:rPr>
          <w:rFonts w:hint="eastAsia"/>
        </w:rPr>
        <w:t>水</w:t>
      </w:r>
      <w:r w:rsidR="000E210E">
        <w:rPr>
          <w:rFonts w:hint="eastAsia"/>
          <w:lang w:eastAsia="zh-TW"/>
        </w:rPr>
        <w:t>、空</w:t>
      </w:r>
      <w:r w:rsidRPr="003C4310">
        <w:rPr>
          <w:rFonts w:hint="eastAsia"/>
        </w:rPr>
        <w:t>氣污染、噪音、自然景觀受損等）的權利；三是環境知情權，即公民有知曉環境資源生態狀況的權利；四是環境參與權，即公民有參與環境保護的權利</w:t>
      </w:r>
      <w:r>
        <w:rPr>
          <w:rStyle w:val="aff2"/>
        </w:rPr>
        <w:footnoteReference w:id="134"/>
      </w:r>
      <w:r w:rsidRPr="003C4310">
        <w:rPr>
          <w:rFonts w:hint="eastAsia"/>
        </w:rPr>
        <w:t>。</w:t>
      </w:r>
    </w:p>
    <w:p w:rsidR="003807A5" w:rsidRPr="00AC77DF" w:rsidRDefault="003C4310" w:rsidP="00234F21">
      <w:pPr>
        <w:pStyle w:val="1---"/>
        <w:ind w:firstLine="480"/>
        <w:rPr>
          <w:b/>
        </w:rPr>
      </w:pPr>
      <w:r w:rsidRPr="003C4310">
        <w:t xml:space="preserve"> </w:t>
      </w:r>
      <w:r w:rsidR="003807A5" w:rsidRPr="00AC77DF">
        <w:t>環境是屬於全體國民的，所以環境權的核心理念為「共有財、公共財」之自然權思想，意即共有者的其中一人，若沒有獲得其他共有者之同意，是無法獨占支配及利用，也沒有消耗及污損財產的權利。唯有每個人都盡到維護環境的責任時，自己本身、其他人及後代子孫才能繼續享有優良的生存環境。因此，人人有義務維持、促進環境永續發展；而環境的破壞者如有損害大家共同的財產，應由公權力裁罰，並對於環境受害者</w:t>
      </w:r>
      <w:r w:rsidR="003807A5" w:rsidRPr="00AC77DF">
        <w:lastRenderedPageBreak/>
        <w:t>給予適當的補償。人民有要求政府公權力介入的權利，而政府則有義務制定相關政策及措施，除消極保護環境，使眾人免受環境破壞之惡果，更能積極促進並創造理想的環境。</w:t>
      </w:r>
    </w:p>
    <w:p w:rsidR="003807A5" w:rsidRPr="00AC77DF" w:rsidRDefault="003807A5" w:rsidP="00234F21">
      <w:pPr>
        <w:pStyle w:val="1---"/>
        <w:ind w:firstLine="480"/>
      </w:pPr>
      <w:r w:rsidRPr="00AC77DF">
        <w:t>環境權最早可追溯到</w:t>
      </w:r>
      <w:r w:rsidRPr="00AC77DF">
        <w:t>1948</w:t>
      </w:r>
      <w:r w:rsidRPr="00AC77DF">
        <w:t>年聯合國大會通過的</w:t>
      </w:r>
      <w:r w:rsidR="00FB2C93">
        <w:t>世界人權宣言</w:t>
      </w:r>
      <w:r w:rsidRPr="00AC77DF">
        <w:t>第</w:t>
      </w:r>
      <w:r w:rsidRPr="00AC77DF">
        <w:t>3</w:t>
      </w:r>
      <w:r w:rsidRPr="00AC77DF">
        <w:t>條的揭示</w:t>
      </w:r>
      <w:r w:rsidRPr="00164199">
        <w:rPr>
          <w:spacing w:val="-28"/>
        </w:rPr>
        <w:t>：</w:t>
      </w:r>
      <w:r w:rsidRPr="00AC77DF">
        <w:t>「人人有權享有生命、自由和人身安全</w:t>
      </w:r>
      <w:r w:rsidRPr="00164199">
        <w:rPr>
          <w:spacing w:val="-28"/>
        </w:rPr>
        <w:t>。</w:t>
      </w:r>
      <w:r w:rsidRPr="00AC77DF">
        <w:t>」蓋為確保人民之生命及人身安全，不僅人民有權利要求最適合居住與成長的健康環境，國家亦有義務做好環境規劃、保護與防制工作。</w:t>
      </w:r>
    </w:p>
    <w:p w:rsidR="003807A5" w:rsidRPr="00AC77DF" w:rsidRDefault="003807A5" w:rsidP="00234F21">
      <w:pPr>
        <w:pStyle w:val="1---"/>
        <w:ind w:firstLine="480"/>
      </w:pPr>
      <w:r w:rsidRPr="00AC77DF">
        <w:t>1966</w:t>
      </w:r>
      <w:r w:rsidRPr="00AC77DF">
        <w:t>年聯合國大會通過的</w:t>
      </w:r>
      <w:r w:rsidR="003B029E">
        <w:t>經濟社會文化權利國際公約</w:t>
      </w:r>
      <w:r w:rsidRPr="00AC77DF">
        <w:t>第</w:t>
      </w:r>
      <w:r w:rsidRPr="00AC77DF">
        <w:t>25</w:t>
      </w:r>
      <w:r w:rsidRPr="00AC77DF">
        <w:t>條更將「所有民族充分與自由享受及利用其天然財富與資源」定位為不得損害的「天賦權利</w:t>
      </w:r>
      <w:r w:rsidRPr="00164199">
        <w:rPr>
          <w:spacing w:val="-28"/>
        </w:rPr>
        <w:t>」</w:t>
      </w:r>
      <w:r w:rsidRPr="00AC77DF">
        <w:t>。</w:t>
      </w:r>
      <w:r w:rsidR="003B029E">
        <w:t>公民與政治權利國際公約</w:t>
      </w:r>
      <w:r w:rsidRPr="00AC77DF">
        <w:t>第</w:t>
      </w:r>
      <w:r w:rsidRPr="00AC77DF">
        <w:t>47</w:t>
      </w:r>
      <w:r w:rsidRPr="00AC77DF">
        <w:t>條提及</w:t>
      </w:r>
      <w:r w:rsidRPr="00164199">
        <w:rPr>
          <w:spacing w:val="-28"/>
        </w:rPr>
        <w:t>：</w:t>
      </w:r>
      <w:r w:rsidRPr="00AC77DF">
        <w:t>「本公約之解釋，不得損害所有民族充分與自由享受及利用其天然財富與資源之天賦權利</w:t>
      </w:r>
      <w:r w:rsidRPr="00164199">
        <w:rPr>
          <w:spacing w:val="-28"/>
        </w:rPr>
        <w:t>。</w:t>
      </w:r>
      <w:r w:rsidRPr="00AC77DF">
        <w:t>」此與</w:t>
      </w:r>
      <w:r w:rsidR="003B029E">
        <w:t>經濟社會文化權利國際公約</w:t>
      </w:r>
      <w:r w:rsidRPr="00AC77DF">
        <w:t>第</w:t>
      </w:r>
      <w:r w:rsidRPr="00AC77DF">
        <w:t>25</w:t>
      </w:r>
      <w:r w:rsidRPr="00AC77DF">
        <w:t>條規定完全一致，意即所有人民享有自由處置其自然資源的權利，主權國家的政府或負責管理非自治和托管領土國家的政府，不得浪費原材料而損害有關人民的利益；或將自然資源的控制權轉讓給其他國家或外國公司，而不對這些人民的利益作出相應的賠償。</w:t>
      </w:r>
      <w:r w:rsidR="003B029E">
        <w:t>經濟社會文化權利國際公約</w:t>
      </w:r>
      <w:r w:rsidRPr="00AC77DF">
        <w:t>第</w:t>
      </w:r>
      <w:r w:rsidRPr="00AC77DF">
        <w:t>1</w:t>
      </w:r>
      <w:r w:rsidRPr="00164199">
        <w:rPr>
          <w:spacing w:val="-28"/>
        </w:rPr>
        <w:t>2</w:t>
      </w:r>
      <w:r w:rsidRPr="00AC77DF">
        <w:t>條規定：本公約締約國確認，人人有權享受可能達到之最高標準之身體與精神健康。為求充分實現此種權利，必須於改良環境及工業衛生之所有方面，採取「必要之措施</w:t>
      </w:r>
      <w:r w:rsidRPr="00164199">
        <w:rPr>
          <w:spacing w:val="-28"/>
        </w:rPr>
        <w:t>」</w:t>
      </w:r>
      <w:r w:rsidRPr="00AC77DF">
        <w:t>。</w:t>
      </w:r>
    </w:p>
    <w:p w:rsidR="003807A5" w:rsidRPr="00AC77DF" w:rsidRDefault="003807A5" w:rsidP="00234F21">
      <w:pPr>
        <w:pStyle w:val="1---"/>
        <w:ind w:firstLine="480"/>
      </w:pPr>
      <w:r w:rsidRPr="00AC77DF">
        <w:t>1970</w:t>
      </w:r>
      <w:r w:rsidRPr="00AC77DF">
        <w:t>年國際社會科學評議會發表「東京宣言</w:t>
      </w:r>
      <w:r w:rsidRPr="00164199">
        <w:rPr>
          <w:spacing w:val="-28"/>
        </w:rPr>
        <w:t>」</w:t>
      </w:r>
      <w:r w:rsidRPr="00AC77DF">
        <w:t>，揭櫫「享受環境、維護自然資源之權利，為基本人權之一</w:t>
      </w:r>
      <w:r w:rsidRPr="00164199">
        <w:rPr>
          <w:spacing w:val="-28"/>
        </w:rPr>
        <w:t>」</w:t>
      </w:r>
      <w:r w:rsidRPr="00AC77DF">
        <w:t>，此一宣言揭開保障環境人權之序幕。</w:t>
      </w:r>
      <w:r w:rsidRPr="00AC77DF">
        <w:t>1972</w:t>
      </w:r>
      <w:r w:rsidRPr="00AC77DF">
        <w:t>年聯合國於瑞典斯德哥爾摩所舉辦的第一屆人類環境會議上，通過「聯合國人類環境會議宣</w:t>
      </w:r>
      <w:r w:rsidRPr="00AC77DF">
        <w:lastRenderedPageBreak/>
        <w:t>言</w:t>
      </w:r>
      <w:r w:rsidRPr="00164199">
        <w:rPr>
          <w:spacing w:val="-28"/>
        </w:rPr>
        <w:t>」</w:t>
      </w:r>
      <w:r w:rsidRPr="00AC77DF">
        <w:t>，以「個人權利</w:t>
      </w:r>
      <w:r w:rsidRPr="00164199">
        <w:rPr>
          <w:spacing w:val="-28"/>
        </w:rPr>
        <w:t>」、</w:t>
      </w:r>
      <w:r w:rsidRPr="00AC77DF">
        <w:t>「環境保護</w:t>
      </w:r>
      <w:r w:rsidRPr="00164199">
        <w:rPr>
          <w:spacing w:val="-28"/>
        </w:rPr>
        <w:t>」、</w:t>
      </w:r>
      <w:r w:rsidRPr="00AC77DF">
        <w:t>「公平正義」等三項基本要素做出以下宣示</w:t>
      </w:r>
      <w:r w:rsidRPr="00164199">
        <w:rPr>
          <w:spacing w:val="-28"/>
        </w:rPr>
        <w:t>：</w:t>
      </w:r>
      <w:r w:rsidRPr="00AC77DF">
        <w:t>「人類有權在可保持尊嚴和福祉的環境中，享有自由、安全及充足生活條件的基本權利；並且負有保護和改善這一代和將來世世代代環境的嚴肅責任</w:t>
      </w:r>
      <w:r w:rsidRPr="00164199">
        <w:rPr>
          <w:spacing w:val="-28"/>
        </w:rPr>
        <w:t>。</w:t>
      </w:r>
      <w:r w:rsidRPr="00AC77DF">
        <w:t>」此宣言奠定國際社會「環境權」的觀念，及環境問題是全人類的普遍認識。此外，聯合國人類環境會議同年通過「人類環境宣言</w:t>
      </w:r>
      <w:r w:rsidRPr="00164199">
        <w:rPr>
          <w:spacing w:val="-28"/>
        </w:rPr>
        <w:t>」</w:t>
      </w:r>
      <w:r w:rsidRPr="00AC77DF">
        <w:t>，特別強調</w:t>
      </w:r>
      <w:r w:rsidRPr="00164199">
        <w:rPr>
          <w:spacing w:val="-28"/>
        </w:rPr>
        <w:t>：</w:t>
      </w:r>
      <w:r w:rsidRPr="00AC77DF">
        <w:t>「人類環境的保護和改善為影響全人類福祉和經濟發展的重要議題，此為全世界人類的迫切期待，和所有政府當局的責任</w:t>
      </w:r>
      <w:r w:rsidRPr="00164199">
        <w:rPr>
          <w:spacing w:val="-28"/>
        </w:rPr>
        <w:t>」</w:t>
      </w:r>
      <w:r w:rsidRPr="00AC77DF">
        <w:t>；「人類擁有自由、平等與足夠生活條件之基本權利，其所處環境之品質必須容許生活之尊嚴與福祉</w:t>
      </w:r>
      <w:r w:rsidRPr="00164199">
        <w:rPr>
          <w:spacing w:val="-28"/>
        </w:rPr>
        <w:t>」</w:t>
      </w:r>
      <w:r w:rsidRPr="00AC77DF">
        <w:t>。因此，要求「所有政府與人民，為維護與增進人類環境並為全人類與其子孫的福祉而共同努力</w:t>
      </w:r>
      <w:r w:rsidRPr="00164199">
        <w:rPr>
          <w:spacing w:val="-28"/>
        </w:rPr>
        <w:t>。</w:t>
      </w:r>
      <w:r w:rsidRPr="00AC77DF">
        <w:t>」強調國家負有責任去保證在其管轄或控制範圍內的活動，不會對其他國家或不在其管轄範圍內之區域的環境造成侵害。</w:t>
      </w:r>
    </w:p>
    <w:p w:rsidR="003807A5" w:rsidRPr="00AC77DF" w:rsidRDefault="003807A5" w:rsidP="00234F21">
      <w:pPr>
        <w:pStyle w:val="1---"/>
        <w:ind w:firstLine="480"/>
      </w:pPr>
      <w:r w:rsidRPr="00AC77DF">
        <w:t>由於地球並未如人類劃分國境般將自己分割，污染也無法止步於國境，許多環境問題並非一個國家能夠處理，必須全球一起面對，像是海洋污染及保育、溫室效應、酸雨等。</w:t>
      </w:r>
      <w:r w:rsidRPr="00AC77DF">
        <w:t>1962</w:t>
      </w:r>
      <w:r w:rsidRPr="00AC77DF">
        <w:t>年「寂寞的春天</w:t>
      </w:r>
      <w:r w:rsidRPr="00164199">
        <w:rPr>
          <w:spacing w:val="-28"/>
        </w:rPr>
        <w:t>」</w:t>
      </w:r>
      <w:r w:rsidRPr="00AC77DF">
        <w:t>（</w:t>
      </w:r>
      <w:r w:rsidRPr="00AC77DF">
        <w:t>Silent Spring, Rachel Carson</w:t>
      </w:r>
      <w:r w:rsidRPr="00AC77DF">
        <w:t>）及</w:t>
      </w:r>
      <w:r w:rsidRPr="00AC77DF">
        <w:t>1970</w:t>
      </w:r>
      <w:r w:rsidRPr="00AC77DF">
        <w:t>年「地球日」引發先進國家一系列的全球性環境運動，在國際法層級下的國際環境公約也陸續出現，目的就是為了讓世界各國能共同合作面對全球性環境問題。重要的國際環境公約包括：</w:t>
      </w:r>
    </w:p>
    <w:p w:rsidR="003807A5" w:rsidRPr="00AC77DF" w:rsidRDefault="00EB048E" w:rsidP="00EB048E">
      <w:pPr>
        <w:pStyle w:val="1---"/>
        <w:ind w:left="240" w:hangingChars="100" w:hanging="240"/>
      </w:pPr>
      <w:r>
        <w:rPr>
          <w:rFonts w:hint="eastAsia"/>
        </w:rPr>
        <w:sym w:font="Wingdings 2" w:char="F0B1"/>
      </w:r>
      <w:r w:rsidR="003807A5" w:rsidRPr="00AC77DF">
        <w:t>瀕臨絕種野生動植物國際貿易公約（</w:t>
      </w:r>
      <w:r w:rsidR="003807A5" w:rsidRPr="00AC77DF">
        <w:t>1973</w:t>
      </w:r>
      <w:r w:rsidR="003807A5" w:rsidRPr="00AC77DF">
        <w:t>，簡稱華盛頓公約</w:t>
      </w:r>
      <w:r w:rsidR="003807A5" w:rsidRPr="00EB048E">
        <w:rPr>
          <w:spacing w:val="-26"/>
        </w:rPr>
        <w:t>）</w:t>
      </w:r>
      <w:r w:rsidR="003807A5" w:rsidRPr="00AC77DF">
        <w:t>：管制野生物的國際貿易，用物種分級與許可證的方式，期達成野生物市場的永續利用性；</w:t>
      </w:r>
    </w:p>
    <w:p w:rsidR="003807A5" w:rsidRPr="00AC77DF" w:rsidRDefault="00EB048E" w:rsidP="00EB048E">
      <w:pPr>
        <w:pStyle w:val="1---"/>
        <w:ind w:left="240" w:hangingChars="100" w:hanging="240"/>
      </w:pPr>
      <w:r>
        <w:rPr>
          <w:rFonts w:hint="eastAsia"/>
        </w:rPr>
        <w:sym w:font="Wingdings 2" w:char="F0B1"/>
      </w:r>
      <w:r w:rsidR="003807A5" w:rsidRPr="00AC77DF">
        <w:t>聯合國海洋法公約（</w:t>
      </w:r>
      <w:r w:rsidR="003807A5" w:rsidRPr="00AC77DF">
        <w:t>1982</w:t>
      </w:r>
      <w:r w:rsidR="003807A5" w:rsidRPr="00EB048E">
        <w:rPr>
          <w:spacing w:val="-26"/>
        </w:rPr>
        <w:t>）</w:t>
      </w:r>
      <w:r w:rsidR="003807A5" w:rsidRPr="00AC77DF">
        <w:t>：對內水、領海、臨接海域、大</w:t>
      </w:r>
      <w:r w:rsidR="003807A5" w:rsidRPr="00AC77DF">
        <w:lastRenderedPageBreak/>
        <w:t>陸架、專屬經濟區、公海等重要概念做了界定，對當前全球各處的領海主權爭端、海上天然資源管理、污染處理等具有重要的指導和裁決作用；</w:t>
      </w:r>
    </w:p>
    <w:p w:rsidR="003807A5" w:rsidRPr="00AC77DF" w:rsidRDefault="00EB048E" w:rsidP="00EB048E">
      <w:pPr>
        <w:pStyle w:val="1---"/>
        <w:ind w:left="240" w:hangingChars="100" w:hanging="240"/>
      </w:pPr>
      <w:r>
        <w:rPr>
          <w:rFonts w:hint="eastAsia"/>
        </w:rPr>
        <w:sym w:font="Wingdings 2" w:char="F0B1"/>
      </w:r>
      <w:r w:rsidR="003807A5" w:rsidRPr="00AC77DF">
        <w:t>維也納公約（</w:t>
      </w:r>
      <w:r w:rsidR="003807A5" w:rsidRPr="00AC77DF">
        <w:t>1985</w:t>
      </w:r>
      <w:r w:rsidR="003807A5" w:rsidRPr="00EB048E">
        <w:rPr>
          <w:spacing w:val="-26"/>
        </w:rPr>
        <w:t>）</w:t>
      </w:r>
      <w:r w:rsidR="003807A5" w:rsidRPr="00AC77DF">
        <w:t>、蒙特婁議定書（</w:t>
      </w:r>
      <w:r w:rsidR="003807A5" w:rsidRPr="00AC77DF">
        <w:t>1987</w:t>
      </w:r>
      <w:r w:rsidR="003807A5" w:rsidRPr="00EB048E">
        <w:rPr>
          <w:spacing w:val="-26"/>
        </w:rPr>
        <w:t>）</w:t>
      </w:r>
      <w:r w:rsidR="003807A5" w:rsidRPr="00AC77DF">
        <w:t>：管制破壞臭氧層物質之生產與使用；</w:t>
      </w:r>
    </w:p>
    <w:p w:rsidR="003807A5" w:rsidRPr="00AC77DF" w:rsidRDefault="00EB048E" w:rsidP="00EB048E">
      <w:pPr>
        <w:pStyle w:val="1---"/>
        <w:ind w:left="240" w:hangingChars="100" w:hanging="240"/>
      </w:pPr>
      <w:r>
        <w:rPr>
          <w:rFonts w:hint="eastAsia"/>
        </w:rPr>
        <w:sym w:font="Wingdings 2" w:char="F0B1"/>
      </w:r>
      <w:r w:rsidR="003807A5" w:rsidRPr="00AC77DF">
        <w:t>巴賽爾公約（</w:t>
      </w:r>
      <w:r w:rsidR="003807A5" w:rsidRPr="00AC77DF">
        <w:t>1989</w:t>
      </w:r>
      <w:r w:rsidR="003807A5" w:rsidRPr="00EB048E">
        <w:rPr>
          <w:spacing w:val="-26"/>
        </w:rPr>
        <w:t>）</w:t>
      </w:r>
      <w:r w:rsidR="003807A5" w:rsidRPr="00AC77DF">
        <w:t>、巴賽爾議定書：規範有害廢棄物之跨國運送，為第一個國際環境法機制中，針對有害廢棄物運送所造成之損害賠償所建立之責任法則，被認為是國際環境法的一大突破；</w:t>
      </w:r>
    </w:p>
    <w:p w:rsidR="003807A5" w:rsidRPr="00AC77DF" w:rsidRDefault="00EB048E" w:rsidP="00EB048E">
      <w:pPr>
        <w:pStyle w:val="1---"/>
        <w:ind w:left="240" w:hangingChars="100" w:hanging="240"/>
      </w:pPr>
      <w:r>
        <w:rPr>
          <w:rFonts w:hint="eastAsia"/>
        </w:rPr>
        <w:sym w:font="Wingdings 2" w:char="F0B1"/>
      </w:r>
      <w:r w:rsidR="003807A5" w:rsidRPr="00AC77DF">
        <w:t>21</w:t>
      </w:r>
      <w:r w:rsidR="003807A5" w:rsidRPr="00AC77DF">
        <w:t>世紀議程（</w:t>
      </w:r>
      <w:r w:rsidR="003807A5" w:rsidRPr="00AC77DF">
        <w:t>1992</w:t>
      </w:r>
      <w:r w:rsidR="003807A5" w:rsidRPr="00EB048E">
        <w:rPr>
          <w:spacing w:val="-26"/>
        </w:rPr>
        <w:t>）</w:t>
      </w:r>
      <w:r w:rsidR="003807A5" w:rsidRPr="00AC77DF">
        <w:t>：以「永續發展」做為努力方向，呼籲各國制定並實施永續發展策略的同時加強國際合作，其「保育和資源管理以促進發展」一部也成為國際合作面對環境問題的重要基礎；</w:t>
      </w:r>
    </w:p>
    <w:p w:rsidR="003807A5" w:rsidRPr="00AC77DF" w:rsidRDefault="00EB048E" w:rsidP="00EB048E">
      <w:pPr>
        <w:pStyle w:val="1---"/>
        <w:ind w:left="240" w:hangingChars="100" w:hanging="240"/>
      </w:pPr>
      <w:r>
        <w:rPr>
          <w:rFonts w:hint="eastAsia"/>
        </w:rPr>
        <w:sym w:font="Wingdings 2" w:char="F0B1"/>
      </w:r>
      <w:r w:rsidR="003807A5" w:rsidRPr="00AC77DF">
        <w:t>生物多樣性公約（</w:t>
      </w:r>
      <w:r w:rsidR="003807A5" w:rsidRPr="00AC77DF">
        <w:t>1992</w:t>
      </w:r>
      <w:r w:rsidR="003807A5" w:rsidRPr="00EB048E">
        <w:rPr>
          <w:spacing w:val="-26"/>
        </w:rPr>
        <w:t>）</w:t>
      </w:r>
      <w:r w:rsidR="003807A5" w:rsidRPr="00AC77DF">
        <w:t>：全球最大的保育公約，有別於華盛頓公約對少數瀕危物種的關注，將保育的範圍擴大到了生態系與基因；</w:t>
      </w:r>
    </w:p>
    <w:p w:rsidR="003807A5" w:rsidRPr="00AC77DF" w:rsidRDefault="00EB048E" w:rsidP="00EB048E">
      <w:pPr>
        <w:pStyle w:val="1---"/>
        <w:ind w:left="240" w:hangingChars="100" w:hanging="240"/>
      </w:pPr>
      <w:r>
        <w:rPr>
          <w:rFonts w:hint="eastAsia"/>
        </w:rPr>
        <w:sym w:font="Wingdings 2" w:char="F0B1"/>
      </w:r>
      <w:r w:rsidR="003807A5" w:rsidRPr="00AC77DF">
        <w:t>聯合國氣候變化綱要公約（</w:t>
      </w:r>
      <w:r w:rsidR="003807A5" w:rsidRPr="00AC77DF">
        <w:t>1992</w:t>
      </w:r>
      <w:r w:rsidR="003807A5" w:rsidRPr="00EB048E">
        <w:rPr>
          <w:spacing w:val="-26"/>
        </w:rPr>
        <w:t>）</w:t>
      </w:r>
      <w:r w:rsidR="003807A5" w:rsidRPr="00AC77DF">
        <w:t>：第一個為全面控制二氧化碳等溫室氣體排放，以因應對全球氣候變暖給人類經濟和社會帶來不利影響的國際公約，也是國際社會在對付全球氣候變化問題上進行國際合作的一個基本框架；</w:t>
      </w:r>
      <w:r w:rsidR="003807A5" w:rsidRPr="00AC77DF">
        <w:t>1997</w:t>
      </w:r>
      <w:r w:rsidR="003807A5" w:rsidRPr="00AC77DF">
        <w:t>年制定、</w:t>
      </w:r>
      <w:r w:rsidR="003807A5" w:rsidRPr="00AC77DF">
        <w:t>2005</w:t>
      </w:r>
      <w:r w:rsidR="003807A5" w:rsidRPr="00AC77DF">
        <w:t>年生效之「京都議定書」規定工業化國家到</w:t>
      </w:r>
      <w:r w:rsidR="003807A5" w:rsidRPr="00AC77DF">
        <w:t>2008</w:t>
      </w:r>
      <w:r w:rsidR="003807A5" w:rsidRPr="00AC77DF">
        <w:t>年至</w:t>
      </w:r>
      <w:r w:rsidR="003807A5" w:rsidRPr="00AC77DF">
        <w:t>2012</w:t>
      </w:r>
      <w:r w:rsidR="003807A5" w:rsidRPr="00AC77DF">
        <w:t>年之間使它們的全部溫室氣體排放量與</w:t>
      </w:r>
      <w:r w:rsidR="003807A5" w:rsidRPr="00AC77DF">
        <w:t>1990</w:t>
      </w:r>
      <w:r w:rsidR="003807A5" w:rsidRPr="00AC77DF">
        <w:t>年相比至少削減</w:t>
      </w:r>
      <w:r w:rsidR="003807A5" w:rsidRPr="00AC77DF">
        <w:t>5</w:t>
      </w:r>
      <w:r w:rsidR="00F9266D">
        <w:t>%</w:t>
      </w:r>
      <w:r w:rsidR="003807A5" w:rsidRPr="00AC77DF">
        <w:t>，以法律約束工業化國家溫室氣體排放量；</w:t>
      </w:r>
      <w:r w:rsidR="003807A5" w:rsidRPr="00AC77DF">
        <w:t>2012</w:t>
      </w:r>
      <w:r w:rsidR="003807A5" w:rsidRPr="00AC77DF">
        <w:t>年後則由</w:t>
      </w:r>
      <w:r w:rsidR="003807A5" w:rsidRPr="00AC77DF">
        <w:t>2009</w:t>
      </w:r>
      <w:r w:rsidR="003807A5" w:rsidRPr="00AC77DF">
        <w:t>年通過的「哥本哈根議定書」接續，規定</w:t>
      </w:r>
      <w:r w:rsidR="003807A5" w:rsidRPr="00AC77DF">
        <w:t>2020</w:t>
      </w:r>
      <w:r w:rsidR="003807A5" w:rsidRPr="00AC77DF">
        <w:t>年前的溫室氣體減量目標與相關作法；</w:t>
      </w:r>
    </w:p>
    <w:p w:rsidR="003807A5" w:rsidRPr="00AC77DF" w:rsidRDefault="00EB048E" w:rsidP="00EB048E">
      <w:pPr>
        <w:pStyle w:val="1---"/>
        <w:ind w:left="240" w:hangingChars="100" w:hanging="240"/>
      </w:pPr>
      <w:r>
        <w:rPr>
          <w:rFonts w:hint="eastAsia"/>
        </w:rPr>
        <w:lastRenderedPageBreak/>
        <w:sym w:font="Wingdings 2" w:char="F0B1"/>
      </w:r>
      <w:r w:rsidR="003807A5" w:rsidRPr="00AC77DF">
        <w:t>聯合國防治沙漠化公約（</w:t>
      </w:r>
      <w:r w:rsidR="003807A5" w:rsidRPr="00AC77DF">
        <w:t>1994</w:t>
      </w:r>
      <w:r w:rsidR="003807A5" w:rsidRPr="00EB048E">
        <w:rPr>
          <w:spacing w:val="-26"/>
        </w:rPr>
        <w:t>）</w:t>
      </w:r>
      <w:r w:rsidR="003807A5" w:rsidRPr="00AC77DF">
        <w:t>：逆轉及防止沙漠化、緩和旱災對災區的衝擊，以支持減少貧困的努力和維繫環境的永續性；</w:t>
      </w:r>
    </w:p>
    <w:p w:rsidR="003807A5" w:rsidRPr="00AC77DF" w:rsidRDefault="00EB048E" w:rsidP="00EB048E">
      <w:pPr>
        <w:pStyle w:val="1---"/>
        <w:ind w:left="240" w:hangingChars="100" w:hanging="240"/>
      </w:pPr>
      <w:r>
        <w:rPr>
          <w:rFonts w:hint="eastAsia"/>
        </w:rPr>
        <w:sym w:font="Wingdings 2" w:char="F0B1"/>
      </w:r>
      <w:r w:rsidR="003807A5" w:rsidRPr="00AC77DF">
        <w:t>鹿特丹公約（</w:t>
      </w:r>
      <w:r w:rsidR="003807A5" w:rsidRPr="00AC77DF">
        <w:t>1998</w:t>
      </w:r>
      <w:r w:rsidR="003807A5" w:rsidRPr="00EB048E">
        <w:rPr>
          <w:spacing w:val="-26"/>
        </w:rPr>
        <w:t>）</w:t>
      </w:r>
      <w:r w:rsidR="003807A5" w:rsidRPr="00AC77DF">
        <w:t>：管制的化學品及農藥（共計</w:t>
      </w:r>
      <w:r w:rsidR="003807A5" w:rsidRPr="00AC77DF">
        <w:t>31</w:t>
      </w:r>
      <w:r w:rsidR="003807A5" w:rsidRPr="00AC77DF">
        <w:t>項</w:t>
      </w:r>
      <w:r w:rsidR="003807A5" w:rsidRPr="00EB048E">
        <w:rPr>
          <w:spacing w:val="-26"/>
        </w:rPr>
        <w:t>）</w:t>
      </w:r>
      <w:r w:rsidR="003807A5" w:rsidRPr="00AC77DF">
        <w:t>。</w:t>
      </w:r>
    </w:p>
    <w:p w:rsidR="003807A5" w:rsidRPr="00AC77DF" w:rsidRDefault="00EB048E" w:rsidP="00EB048E">
      <w:pPr>
        <w:pStyle w:val="1---"/>
        <w:ind w:left="240" w:hangingChars="100" w:hanging="240"/>
      </w:pPr>
      <w:r>
        <w:rPr>
          <w:rFonts w:hint="eastAsia"/>
        </w:rPr>
        <w:sym w:font="Wingdings 2" w:char="F0B1"/>
      </w:r>
      <w:r w:rsidR="003807A5" w:rsidRPr="00AC77DF">
        <w:t>斯德哥爾摩公約（</w:t>
      </w:r>
      <w:r w:rsidR="003807A5" w:rsidRPr="00AC77DF">
        <w:t>2001</w:t>
      </w:r>
      <w:r w:rsidR="003807A5" w:rsidRPr="00EB048E">
        <w:rPr>
          <w:spacing w:val="-26"/>
        </w:rPr>
        <w:t>）</w:t>
      </w:r>
      <w:r w:rsidR="003807A5" w:rsidRPr="00AC77DF">
        <w:t>：禁止戴奧辛（</w:t>
      </w:r>
      <w:r w:rsidR="003807A5" w:rsidRPr="00AC77DF">
        <w:t>Dioxins</w:t>
      </w:r>
      <w:r w:rsidR="003807A5" w:rsidRPr="00EB048E">
        <w:rPr>
          <w:spacing w:val="-26"/>
        </w:rPr>
        <w:t>）</w:t>
      </w:r>
      <w:r w:rsidR="003807A5" w:rsidRPr="00AC77DF">
        <w:t>、</w:t>
      </w:r>
      <w:r w:rsidR="003807A5" w:rsidRPr="00AC77DF">
        <w:t>DDT</w:t>
      </w:r>
      <w:r w:rsidR="003807A5" w:rsidRPr="00AC77DF">
        <w:t>等</w:t>
      </w:r>
      <w:r w:rsidR="003807A5" w:rsidRPr="00AC77DF">
        <w:t>12</w:t>
      </w:r>
      <w:r w:rsidR="003807A5" w:rsidRPr="00AC77DF">
        <w:t>種具慢性毒性與生物累積性之持久性有機污染物的生產與使用（現追加至</w:t>
      </w:r>
      <w:r w:rsidR="003807A5" w:rsidRPr="00AC77DF">
        <w:t>21</w:t>
      </w:r>
      <w:r w:rsidR="003807A5" w:rsidRPr="00AC77DF">
        <w:t>種</w:t>
      </w:r>
      <w:r w:rsidR="003807A5" w:rsidRPr="00EB048E">
        <w:rPr>
          <w:spacing w:val="-26"/>
        </w:rPr>
        <w:t>）</w:t>
      </w:r>
      <w:r w:rsidR="003807A5" w:rsidRPr="00AC77DF">
        <w:t>。</w:t>
      </w:r>
    </w:p>
    <w:p w:rsidR="003807A5" w:rsidRPr="00AC77DF" w:rsidRDefault="003807A5" w:rsidP="00234F21">
      <w:pPr>
        <w:pStyle w:val="1---"/>
        <w:ind w:firstLine="480"/>
      </w:pPr>
      <w:r w:rsidRPr="00AC77DF">
        <w:t>我國憲法增修條文第</w:t>
      </w:r>
      <w:r w:rsidRPr="00AC77DF">
        <w:t>18</w:t>
      </w:r>
      <w:r w:rsidRPr="00AC77DF">
        <w:t>條第</w:t>
      </w:r>
      <w:r w:rsidRPr="00AC77DF">
        <w:t>2</w:t>
      </w:r>
      <w:r w:rsidRPr="00AC77DF">
        <w:t>項規定</w:t>
      </w:r>
      <w:r w:rsidRPr="00EB048E">
        <w:rPr>
          <w:spacing w:val="-26"/>
        </w:rPr>
        <w:t>：</w:t>
      </w:r>
      <w:r w:rsidRPr="00AC77DF">
        <w:t>「經濟及科學技術發展，應與環境及生態保護兼籌並顧</w:t>
      </w:r>
      <w:r w:rsidRPr="00EB048E">
        <w:rPr>
          <w:spacing w:val="-26"/>
        </w:rPr>
        <w:t>。</w:t>
      </w:r>
      <w:r w:rsidRPr="00AC77DF">
        <w:t>」此乃我國制憲史上首次將環境及生態保護議題入憲。</w:t>
      </w:r>
      <w:r w:rsidRPr="00AC77DF">
        <w:t>2002</w:t>
      </w:r>
      <w:r w:rsidRPr="00AC77DF">
        <w:t>年我國公布施行的「環境基本法</w:t>
      </w:r>
      <w:r w:rsidRPr="00EB048E">
        <w:rPr>
          <w:spacing w:val="-26"/>
        </w:rPr>
        <w:t>」</w:t>
      </w:r>
      <w:r w:rsidRPr="00AC77DF">
        <w:t>，以「提升環境品質，增進國民健康與福祉，維護環境資源，追求永續發展」為立法宗旨。該法第</w:t>
      </w:r>
      <w:r w:rsidRPr="00AC77DF">
        <w:t>2</w:t>
      </w:r>
      <w:r w:rsidRPr="00AC77DF">
        <w:t>條將「環境」定義為：影響人類生存與發展之各種天然資源及經過人為影響之自然因素的總稱，包括：陽光、空氣、水、土壤、陸地、礦產、森林、野生生物、景觀及遊憩、社會經濟、文化、人文史蹟、自然遺蹟及自然生態系統等。為維護國土環境，該法定有保護、防制、救濟、輔導、監督及獎懲相關條文。相關規定包括「基於國家長期利益，經濟、科技及社會發展均應兼顧環境保護。但經濟、科技及社會發展對環境有嚴重不良影響或有危害之虞者，應環境保護優先</w:t>
      </w:r>
      <w:r w:rsidRPr="00EB048E">
        <w:rPr>
          <w:spacing w:val="-26"/>
        </w:rPr>
        <w:t>。」</w:t>
      </w:r>
      <w:r w:rsidRPr="00AC77DF">
        <w:t>（第</w:t>
      </w:r>
      <w:r w:rsidRPr="00AC77DF">
        <w:t>3</w:t>
      </w:r>
      <w:r w:rsidRPr="00AC77DF">
        <w:t>條</w:t>
      </w:r>
      <w:r w:rsidRPr="00EB048E">
        <w:rPr>
          <w:spacing w:val="-26"/>
        </w:rPr>
        <w:t>）；</w:t>
      </w:r>
      <w:r w:rsidRPr="00AC77DF">
        <w:t>「各級政府施政應納入環境保護優先、永續發展理念，並應發展相關科學及技術，建立環境生命週期管理及綠色消費型態之經濟效率系統，以處理環境相關問題</w:t>
      </w:r>
      <w:r w:rsidRPr="00EB048E">
        <w:rPr>
          <w:spacing w:val="-26"/>
        </w:rPr>
        <w:t>。」</w:t>
      </w:r>
      <w:r w:rsidRPr="00AC77DF">
        <w:t>（第</w:t>
      </w:r>
      <w:r w:rsidRPr="00AC77DF">
        <w:t>8</w:t>
      </w:r>
      <w:r w:rsidRPr="00AC77DF">
        <w:t>條</w:t>
      </w:r>
      <w:r w:rsidRPr="00EB048E">
        <w:rPr>
          <w:spacing w:val="-26"/>
        </w:rPr>
        <w:t>）；</w:t>
      </w:r>
      <w:r w:rsidRPr="00AC77DF">
        <w:t>「各級政府應由專責機關或單位規劃、推動辦理及輔導有關環境保護事務。各級政府應寬列環境保護經費，並視實際需要合理分配之</w:t>
      </w:r>
      <w:r w:rsidRPr="00EB048E">
        <w:rPr>
          <w:spacing w:val="-26"/>
        </w:rPr>
        <w:t>。」</w:t>
      </w:r>
      <w:r w:rsidRPr="00AC77DF">
        <w:t>（第</w:t>
      </w:r>
      <w:r w:rsidRPr="00AC77DF">
        <w:t>10</w:t>
      </w:r>
      <w:r w:rsidRPr="00AC77DF">
        <w:t>條</w:t>
      </w:r>
      <w:r w:rsidRPr="00EB048E">
        <w:rPr>
          <w:spacing w:val="-26"/>
        </w:rPr>
        <w:t>）</w:t>
      </w:r>
      <w:r w:rsidRPr="00AC77DF">
        <w:t>。</w:t>
      </w:r>
    </w:p>
    <w:p w:rsidR="003807A5" w:rsidRDefault="003807A5" w:rsidP="00234F21">
      <w:pPr>
        <w:pStyle w:val="1---"/>
        <w:ind w:firstLine="480"/>
        <w:rPr>
          <w:lang w:eastAsia="zh-TW"/>
        </w:rPr>
      </w:pPr>
      <w:r w:rsidRPr="00AC77DF">
        <w:lastRenderedPageBreak/>
        <w:t>在履行國際環境公約方面，雖然礙於國際現實，我國難以實際簽署、批准特定條約並完成締約程序；但仍直接制定國內法，並將該國際條約的內容融入國內法中，以主動遵守相關國際公約之規範。例如針對蒙特婁議定書，</w:t>
      </w:r>
      <w:r w:rsidRPr="0025002C">
        <w:rPr>
          <w:rFonts w:hint="eastAsia"/>
        </w:rPr>
        <w:t>環保署</w:t>
      </w:r>
      <w:r w:rsidRPr="00AC77DF">
        <w:t>依據空氣污染防制法第</w:t>
      </w:r>
      <w:r w:rsidRPr="00AC77DF">
        <w:t>30</w:t>
      </w:r>
      <w:r w:rsidRPr="00AC77DF">
        <w:t>條第</w:t>
      </w:r>
      <w:r w:rsidRPr="00AC77DF">
        <w:t>2</w:t>
      </w:r>
      <w:r w:rsidRPr="00AC77DF">
        <w:t>項之授權，制定「蒙特婁議定書列管化學物質管理辦法</w:t>
      </w:r>
      <w:r w:rsidRPr="00E11B82">
        <w:rPr>
          <w:spacing w:val="-28"/>
        </w:rPr>
        <w:t>」、</w:t>
      </w:r>
      <w:r w:rsidRPr="00AC77DF">
        <w:t>「氟氯烴消費量管理辦法</w:t>
      </w:r>
      <w:r w:rsidRPr="00E11B82">
        <w:rPr>
          <w:spacing w:val="-28"/>
        </w:rPr>
        <w:t>」、</w:t>
      </w:r>
      <w:r w:rsidRPr="00AC77DF">
        <w:t>「溴化甲烷管理辦法」等法規命令。其他尚有配合巴塞爾公約、聯合國氣候變化綱要公約與京都議定書、生物多樣性公約、斯德哥爾摩公約等，分別訂定相關規定。</w:t>
      </w:r>
    </w:p>
    <w:p w:rsidR="0004070A" w:rsidRDefault="0004070A" w:rsidP="00234F21">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3397"/>
      </w:tblGrid>
      <w:tr w:rsidR="0004070A" w:rsidTr="00E11B82">
        <w:tc>
          <w:tcPr>
            <w:tcW w:w="3397" w:type="dxa"/>
            <w:shd w:val="clear" w:color="auto" w:fill="D9D9D9" w:themeFill="background1" w:themeFillShade="D9"/>
          </w:tcPr>
          <w:p w:rsidR="0004070A" w:rsidRDefault="0004070A" w:rsidP="0004070A">
            <w:pPr>
              <w:pStyle w:val="11-"/>
              <w:spacing w:before="72" w:after="108"/>
              <w:rPr>
                <w:lang w:eastAsia="zh-TW"/>
              </w:rPr>
            </w:pPr>
            <w:bookmarkStart w:id="625" w:name="_Toc535228412"/>
            <w:bookmarkStart w:id="626" w:name="_Toc4058823"/>
            <w:r w:rsidRPr="00AC77DF">
              <w:t>污水處理廠採購違失案</w:t>
            </w:r>
            <w:bookmarkEnd w:id="625"/>
            <w:bookmarkEnd w:id="626"/>
          </w:p>
        </w:tc>
      </w:tr>
    </w:tbl>
    <w:p w:rsidR="003807A5" w:rsidRPr="00AC77DF" w:rsidRDefault="0004070A" w:rsidP="000B692A">
      <w:pPr>
        <w:pStyle w:val="afff1"/>
        <w:spacing w:before="360" w:after="360"/>
      </w:pPr>
      <w:r>
        <w:rPr>
          <w:rFonts w:hint="eastAsia"/>
        </w:rPr>
        <w:t>(一)</w:t>
      </w:r>
      <w:r w:rsidR="003807A5" w:rsidRPr="00AC77DF">
        <w:t>案情簡述</w:t>
      </w:r>
    </w:p>
    <w:p w:rsidR="003807A5" w:rsidRPr="00AC77DF" w:rsidRDefault="003807A5" w:rsidP="00234F21">
      <w:pPr>
        <w:pStyle w:val="1---"/>
        <w:ind w:firstLine="480"/>
      </w:pPr>
      <w:r w:rsidRPr="00AC77DF">
        <w:t>審計部函報：經濟部工業局辦理「大園工業區污水處理廠擴（整）建與功能提升工程」等</w:t>
      </w:r>
      <w:r w:rsidRPr="00AC77DF">
        <w:t>2</w:t>
      </w:r>
      <w:r w:rsidRPr="00AC77DF">
        <w:t>件採購案，疑有未盡職責及效能過低情事，經通知經濟部查明妥適處理，惟未為負責之答復，爰經監察院財政及經濟委員會決議調查。</w:t>
      </w:r>
    </w:p>
    <w:p w:rsidR="003807A5" w:rsidRPr="00AC77DF" w:rsidRDefault="0004070A" w:rsidP="000B692A">
      <w:pPr>
        <w:pStyle w:val="afff1"/>
        <w:spacing w:before="360" w:after="360"/>
      </w:pPr>
      <w:r>
        <w:rPr>
          <w:rFonts w:hint="eastAsia"/>
        </w:rPr>
        <w:t>(二)</w:t>
      </w:r>
      <w:r w:rsidR="003807A5" w:rsidRPr="00AC77DF">
        <w:t>監察院調查發現與建議</w:t>
      </w:r>
    </w:p>
    <w:p w:rsidR="003807A5" w:rsidRPr="00AC77DF" w:rsidRDefault="00287E7B" w:rsidP="00564517">
      <w:pPr>
        <w:pStyle w:val="1--13"/>
        <w:spacing w:before="180" w:after="180"/>
      </w:pPr>
      <w:r w:rsidRPr="008E1832">
        <w:rPr>
          <w:rFonts w:hint="eastAsia"/>
        </w:rPr>
        <w:t>˙</w:t>
      </w:r>
      <w:r w:rsidR="003807A5" w:rsidRPr="00AC77DF">
        <w:t>工程延宕未盡督導之責</w:t>
      </w:r>
    </w:p>
    <w:p w:rsidR="003807A5" w:rsidRPr="00AC77DF" w:rsidRDefault="003807A5" w:rsidP="00234F21">
      <w:pPr>
        <w:pStyle w:val="1---"/>
        <w:ind w:firstLine="480"/>
      </w:pPr>
      <w:r w:rsidRPr="00AC77DF">
        <w:t>系爭大園案、林園大發案等</w:t>
      </w:r>
      <w:r w:rsidRPr="00AC77DF">
        <w:t>2</w:t>
      </w:r>
      <w:r w:rsidRPr="00AC77DF">
        <w:t>採購案完工時程皆逾原訂期限分別近</w:t>
      </w:r>
      <w:r w:rsidRPr="00AC77DF">
        <w:t>5</w:t>
      </w:r>
      <w:r w:rsidRPr="00AC77DF">
        <w:t>年及</w:t>
      </w:r>
      <w:r w:rsidRPr="00AC77DF">
        <w:t>4</w:t>
      </w:r>
      <w:r w:rsidRPr="00AC77DF">
        <w:t>年之久，大園案甚至迄未完工，工程進度嚴</w:t>
      </w:r>
      <w:r w:rsidRPr="00AC77DF">
        <w:lastRenderedPageBreak/>
        <w:t>重延宕，至為明顯，證諸工業局於林園大發案進度落後檢討會議及大園案督導行程之出席率分別</w:t>
      </w:r>
      <w:r w:rsidRPr="00E11B82">
        <w:rPr>
          <w:spacing w:val="-22"/>
        </w:rPr>
        <w:t>僅</w:t>
      </w:r>
      <w:r w:rsidRPr="00AC77DF">
        <w:t>7.9</w:t>
      </w:r>
      <w:r w:rsidR="00F9266D">
        <w:t>%</w:t>
      </w:r>
      <w:r w:rsidRPr="00AC77DF">
        <w:t>及</w:t>
      </w:r>
      <w:r w:rsidRPr="00AC77DF">
        <w:t>52.9</w:t>
      </w:r>
      <w:r w:rsidR="00F9266D">
        <w:t>%</w:t>
      </w:r>
      <w:r w:rsidRPr="00AC77DF">
        <w:t>，相關督導及自主管理紀錄亦疏漏不全。</w:t>
      </w:r>
    </w:p>
    <w:p w:rsidR="003807A5" w:rsidRPr="00AC77DF" w:rsidRDefault="003807A5" w:rsidP="00234F21">
      <w:pPr>
        <w:pStyle w:val="1---"/>
        <w:ind w:firstLine="480"/>
      </w:pPr>
      <w:r w:rsidRPr="00AC77DF">
        <w:t>工業局基於水污染防治法、該局辦事細則分別賦予該局逾</w:t>
      </w:r>
      <w:r w:rsidRPr="00AC77DF">
        <w:t>3</w:t>
      </w:r>
      <w:r w:rsidRPr="00E11B82">
        <w:rPr>
          <w:spacing w:val="-22"/>
        </w:rPr>
        <w:t>0</w:t>
      </w:r>
      <w:r w:rsidRPr="00AC77DF">
        <w:t>餘年之「輔導」與工業區開發「工程」之督導及驗收等法定職責，早應</w:t>
      </w:r>
      <w:r w:rsidR="00B83558">
        <w:rPr>
          <w:rFonts w:hint="eastAsia"/>
          <w:lang w:eastAsia="zh-TW"/>
        </w:rPr>
        <w:t>具</w:t>
      </w:r>
      <w:r w:rsidRPr="00AC77DF">
        <w:t>備污染防治與開發工程專業學能及素養，尤應充實相關專業人力，詎該局竟以「非工程專業」及「專業人力不足」作為系爭二採購案工程進度遲延之理由，難昭公信。</w:t>
      </w:r>
    </w:p>
    <w:p w:rsidR="003807A5" w:rsidRPr="00AC77DF" w:rsidRDefault="00287E7B" w:rsidP="00564517">
      <w:pPr>
        <w:pStyle w:val="1--13"/>
        <w:spacing w:before="180" w:after="180"/>
      </w:pPr>
      <w:r w:rsidRPr="008E1832">
        <w:rPr>
          <w:rFonts w:hint="eastAsia"/>
        </w:rPr>
        <w:t>˙</w:t>
      </w:r>
      <w:r w:rsidR="003807A5" w:rsidRPr="00AC77DF">
        <w:t>污染管制未見積極</w:t>
      </w:r>
    </w:p>
    <w:p w:rsidR="003807A5" w:rsidRPr="00AC77DF" w:rsidRDefault="003807A5" w:rsidP="00234F21">
      <w:pPr>
        <w:pStyle w:val="1---"/>
        <w:ind w:firstLine="480"/>
      </w:pPr>
      <w:r w:rsidRPr="00AC77DF">
        <w:t>系爭二採購案既因應揮發性有機物空氣污染管制及排放標準及放流水標準之修正而辦理，本應及早積極為之，卻皆遲至該等環保法令標準修正發布</w:t>
      </w:r>
      <w:r w:rsidRPr="00AC77DF">
        <w:t>1</w:t>
      </w:r>
      <w:r w:rsidRPr="00AC77DF">
        <w:t>個月後，始著手規劃。</w:t>
      </w:r>
    </w:p>
    <w:p w:rsidR="003807A5" w:rsidRPr="00AC77DF" w:rsidRDefault="00287E7B" w:rsidP="00564517">
      <w:pPr>
        <w:pStyle w:val="1--13"/>
        <w:spacing w:before="180" w:after="180"/>
      </w:pPr>
      <w:bookmarkStart w:id="627" w:name="_Toc494462014"/>
      <w:r w:rsidRPr="008E1832">
        <w:rPr>
          <w:rFonts w:hint="eastAsia"/>
        </w:rPr>
        <w:t>˙</w:t>
      </w:r>
      <w:r w:rsidR="003807A5" w:rsidRPr="00AC77DF">
        <w:t>審核及監督不周</w:t>
      </w:r>
    </w:p>
    <w:p w:rsidR="003807A5" w:rsidRPr="00AC77DF" w:rsidRDefault="003807A5" w:rsidP="00234F21">
      <w:pPr>
        <w:pStyle w:val="1---"/>
        <w:ind w:firstLine="480"/>
      </w:pPr>
      <w:r w:rsidRPr="00AC77DF">
        <w:t>工業局未完備系爭大園案工程有關項目、設備財產使用年限之清查作業，致未能預先察覺、評估調勻池未屆使用年限及其提前報廢所需流程而貿然規劃將其拆除，徒增嗣後變更設計所需時程達</w:t>
      </w:r>
      <w:r w:rsidRPr="00AC77DF">
        <w:t>10</w:t>
      </w:r>
      <w:r w:rsidRPr="00AC77DF">
        <w:t>個月之久，難辭審核及監督不周之責</w:t>
      </w:r>
      <w:bookmarkEnd w:id="627"/>
      <w:r w:rsidRPr="00AC77DF">
        <w:t>。</w:t>
      </w:r>
    </w:p>
    <w:p w:rsidR="003807A5" w:rsidRPr="00AC77DF" w:rsidRDefault="003807A5" w:rsidP="00234F21">
      <w:pPr>
        <w:pStyle w:val="1---"/>
        <w:ind w:firstLine="480"/>
      </w:pPr>
      <w:r w:rsidRPr="00AC77DF">
        <w:t>工業局針對系爭二採購案關切或請託情事，疏未落實規定於事發</w:t>
      </w:r>
      <w:r w:rsidRPr="00AC77DF">
        <w:t>3</w:t>
      </w:r>
      <w:r w:rsidRPr="00AC77DF">
        <w:t>日內完備相關陳報程序並留下紀錄。</w:t>
      </w:r>
    </w:p>
    <w:p w:rsidR="003807A5" w:rsidRPr="00AC77DF" w:rsidRDefault="003807A5" w:rsidP="00234F21">
      <w:pPr>
        <w:pStyle w:val="1---"/>
        <w:ind w:firstLine="480"/>
        <w:rPr>
          <w:rFonts w:eastAsiaTheme="minorEastAsia"/>
        </w:rPr>
      </w:pPr>
      <w:r w:rsidRPr="00AC77DF">
        <w:t>系爭大園案採購契約工作計畫書雖明定「補充地質調查工作」係承商於基本設計時之主要工作內容之一，惟地質「調查」與「鑽探」顯然有間，且為節省公帑並求時效，一定規模以下之建築工程本可引用鄰地既有可靠之地質資料代替，審計部</w:t>
      </w:r>
      <w:r w:rsidRPr="00AC77DF">
        <w:lastRenderedPageBreak/>
        <w:t>逕指承商漏未辦理地質鑽探，固有審酌空間，然該部其餘查核意見既皆已指明系爭二採購案相關缺失，工業局並據以提出相關檢討措施，宜由經濟部持續督促</w:t>
      </w:r>
      <w:r w:rsidRPr="00AC77DF">
        <w:rPr>
          <w:rFonts w:eastAsiaTheme="minorEastAsia"/>
        </w:rPr>
        <w:t>所屬積極追蹤列管並審慎妥處。</w:t>
      </w:r>
    </w:p>
    <w:p w:rsidR="003807A5" w:rsidRPr="00AC77DF" w:rsidRDefault="003807A5" w:rsidP="00234F21">
      <w:pPr>
        <w:pStyle w:val="1---"/>
        <w:ind w:firstLine="480"/>
      </w:pPr>
      <w:r w:rsidRPr="00AC77DF">
        <w:t>依據本案調查意見</w:t>
      </w:r>
      <w:r w:rsidRPr="00AC77DF">
        <w:rPr>
          <w:rStyle w:val="aff2"/>
        </w:rPr>
        <w:footnoteReference w:id="135"/>
      </w:r>
      <w:r w:rsidRPr="00AC77DF">
        <w:t>，監察院糾正經濟部，並函請該部督飭所屬確實檢討改進見復。</w:t>
      </w:r>
    </w:p>
    <w:p w:rsidR="003807A5" w:rsidRPr="00AC77DF" w:rsidRDefault="0004070A" w:rsidP="000B692A">
      <w:pPr>
        <w:pStyle w:val="afff1"/>
        <w:spacing w:before="360" w:after="360"/>
      </w:pPr>
      <w:r>
        <w:rPr>
          <w:rFonts w:hint="eastAsia"/>
        </w:rPr>
        <w:t>(三)</w:t>
      </w:r>
      <w:r w:rsidR="003807A5" w:rsidRPr="00AC77DF">
        <w:t>政府機關改善情形</w:t>
      </w:r>
    </w:p>
    <w:p w:rsidR="003807A5" w:rsidRPr="00AC77DF" w:rsidRDefault="003807A5" w:rsidP="00425EE5">
      <w:pPr>
        <w:pStyle w:val="1----"/>
        <w:ind w:left="600" w:hanging="360"/>
      </w:pPr>
      <w:r w:rsidRPr="00AC77DF">
        <w:t>1</w:t>
      </w:r>
      <w:r w:rsidRPr="00AC77DF">
        <w:t>、工業局業依</w:t>
      </w:r>
      <w:r>
        <w:t>監察院</w:t>
      </w:r>
      <w:r w:rsidRPr="00AC77DF">
        <w:t>糾正案文所指缺失檢討後，除已分別採取「加強會議出席之管控</w:t>
      </w:r>
      <w:r w:rsidRPr="00E11B82">
        <w:rPr>
          <w:spacing w:val="-28"/>
        </w:rPr>
        <w:t>」、</w:t>
      </w:r>
      <w:r w:rsidRPr="00AC77DF">
        <w:t>「強化會議結果之追蹤確認」及「強化爭議之技術問題處理」等改進措施之外，並已利用即時通訊軟體針對爭議課題進行管控及溝通，要求轄管工業區服務中心即時將每週施工協調會議紀錄及招標結果知會各相關單位，以即時因應處理。</w:t>
      </w:r>
    </w:p>
    <w:p w:rsidR="003807A5" w:rsidRPr="00AC77DF" w:rsidRDefault="003807A5" w:rsidP="00425EE5">
      <w:pPr>
        <w:pStyle w:val="1----"/>
        <w:ind w:left="600" w:hanging="360"/>
      </w:pPr>
      <w:r w:rsidRPr="00AC77DF">
        <w:t>2</w:t>
      </w:r>
      <w:r w:rsidRPr="00AC77DF">
        <w:t>、工業局已針對一定金額以上工程訂定「評分及格最低標」決標方式，亦即先經資格評審，據此遴選合格廠商參與價格標投標，以撙節成本並擇優質廠商執行政府工程。</w:t>
      </w:r>
    </w:p>
    <w:p w:rsidR="003807A5" w:rsidRPr="00AC77DF" w:rsidRDefault="003807A5" w:rsidP="00425EE5">
      <w:pPr>
        <w:pStyle w:val="1----"/>
        <w:ind w:left="600" w:hanging="360"/>
      </w:pPr>
      <w:r w:rsidRPr="00AC77DF">
        <w:t>3</w:t>
      </w:r>
      <w:r w:rsidRPr="00AC77DF">
        <w:t>、工業局已責成所屬於招標文件內明定終止契約後由機關指定之第三公正單位做清點、清算之鑑定作業，以確保機關權益，並於終止契約前成立應變小組審慎處理，並儘速完成保障債權相關法律程序。</w:t>
      </w:r>
    </w:p>
    <w:p w:rsidR="003807A5" w:rsidRPr="00AC77DF" w:rsidRDefault="003807A5" w:rsidP="00425EE5">
      <w:pPr>
        <w:pStyle w:val="1----"/>
        <w:ind w:left="600" w:hanging="360"/>
      </w:pPr>
      <w:r w:rsidRPr="00AC77DF">
        <w:t>4</w:t>
      </w:r>
      <w:r w:rsidRPr="00AC77DF">
        <w:t>、工業局已檢討函請轄下各工業區服務中心務必依權責確認</w:t>
      </w:r>
      <w:r w:rsidRPr="00AC77DF">
        <w:lastRenderedPageBreak/>
        <w:t>汰換結構設施及設備之財產年限，並納入後續契約約定，據此落實辦理。</w:t>
      </w:r>
    </w:p>
    <w:p w:rsidR="003807A5" w:rsidRPr="00AC77DF" w:rsidRDefault="003807A5" w:rsidP="00425EE5">
      <w:pPr>
        <w:pStyle w:val="1----"/>
        <w:ind w:left="600" w:hanging="360"/>
      </w:pPr>
      <w:r w:rsidRPr="00AC77DF">
        <w:t>5</w:t>
      </w:r>
      <w:r w:rsidRPr="00AC77DF">
        <w:t>、工業局已邀集所轄單位相關人員參與採購實務課程，以強化履約爭議處理能力。</w:t>
      </w:r>
    </w:p>
    <w:p w:rsidR="003807A5" w:rsidRPr="00AC77DF" w:rsidRDefault="003807A5" w:rsidP="00425EE5">
      <w:pPr>
        <w:pStyle w:val="1----"/>
        <w:ind w:left="600" w:hanging="360"/>
      </w:pPr>
      <w:r w:rsidRPr="00AC77DF">
        <w:t>6</w:t>
      </w:r>
      <w:r w:rsidRPr="00AC77DF">
        <w:t>、有關立法委員請託關說案件，工業局未於事發</w:t>
      </w:r>
      <w:r w:rsidRPr="00AC77DF">
        <w:t>3</w:t>
      </w:r>
      <w:r w:rsidRPr="00AC77DF">
        <w:t>日內陳報並留下紀錄，亦未見該局填具簽報知會表等情，經該局檢討後，除已分別委請經濟部政風處、國家文官學院及臺中地檢署等單位辦理廉政倫理規範之教育訓練外，該局環保中心於同年亦已辦理</w:t>
      </w:r>
      <w:r w:rsidRPr="00AC77DF">
        <w:t>10</w:t>
      </w:r>
      <w:r w:rsidRPr="00AC77DF">
        <w:t>場次相關課程，合計參與</w:t>
      </w:r>
      <w:r w:rsidRPr="00AC77DF">
        <w:t>495</w:t>
      </w:r>
      <w:r w:rsidRPr="00AC77DF">
        <w:t>人次。</w:t>
      </w:r>
    </w:p>
    <w:p w:rsidR="003807A5" w:rsidRPr="00AC77DF" w:rsidRDefault="003807A5" w:rsidP="00425EE5">
      <w:pPr>
        <w:pStyle w:val="1----"/>
        <w:ind w:left="600" w:hanging="360"/>
      </w:pPr>
      <w:r w:rsidRPr="00AC77DF">
        <w:t>7</w:t>
      </w:r>
      <w:r w:rsidRPr="00AC77DF">
        <w:t>、針對審計部就系爭二採購案相關查核意見所指工業局未積極履約等亟待檢討之處，工業局已提出「加強專案管理廠商管理，增訂懲罰性違約金規定，納入後續專案管理廠商契約」及「強化地質鑽探規定：依實際需求辦理地質</w:t>
      </w:r>
      <w:r w:rsidRPr="00E11B82">
        <w:rPr>
          <w:spacing w:val="2"/>
        </w:rPr>
        <w:t>鑽探作業，並合理編列鑽探費用及工期」等</w:t>
      </w:r>
      <w:r w:rsidRPr="00E11B82">
        <w:rPr>
          <w:spacing w:val="2"/>
        </w:rPr>
        <w:t>2</w:t>
      </w:r>
      <w:r w:rsidRPr="00E11B82">
        <w:rPr>
          <w:spacing w:val="2"/>
        </w:rPr>
        <w:t>項改善措施。</w:t>
      </w:r>
    </w:p>
    <w:p w:rsidR="003807A5" w:rsidRPr="00AC77DF" w:rsidRDefault="0004070A" w:rsidP="000B692A">
      <w:pPr>
        <w:pStyle w:val="afff1"/>
        <w:spacing w:before="360" w:after="360"/>
      </w:pPr>
      <w:r>
        <w:rPr>
          <w:rFonts w:hint="eastAsia"/>
        </w:rPr>
        <w:t>(四)</w:t>
      </w:r>
      <w:r w:rsidR="003807A5" w:rsidRPr="00AC77DF">
        <w:t>案件進展</w:t>
      </w:r>
    </w:p>
    <w:p w:rsidR="003807A5" w:rsidRDefault="003807A5" w:rsidP="00234F21">
      <w:pPr>
        <w:pStyle w:val="1---"/>
        <w:ind w:firstLine="480"/>
        <w:rPr>
          <w:lang w:eastAsia="zh-TW"/>
        </w:rPr>
      </w:pPr>
      <w:r w:rsidRPr="00AC77DF">
        <w:t>本案後續將由行政院督促所屬自行追蹤列管。</w:t>
      </w:r>
      <w:r w:rsidRPr="00AC77DF">
        <w:t xml:space="preserve"> </w:t>
      </w:r>
    </w:p>
    <w:p w:rsidR="00E11B82" w:rsidRDefault="00E11B82" w:rsidP="00234F21">
      <w:pPr>
        <w:pStyle w:val="1---"/>
        <w:ind w:firstLine="480"/>
        <w:rPr>
          <w:lang w:eastAsia="zh-TW"/>
        </w:rPr>
      </w:pPr>
    </w:p>
    <w:p w:rsidR="00FB5C8B" w:rsidRDefault="00FB5C8B">
      <w:bookmarkStart w:id="628" w:name="_Toc535228413"/>
      <w:bookmarkStart w:id="629" w:name="_Toc4058824"/>
      <w:r>
        <w:rPr>
          <w:shadow/>
        </w:rPr>
        <w:br w:type="page"/>
      </w:r>
    </w:p>
    <w:tbl>
      <w:tblPr>
        <w:tblStyle w:val="aff5"/>
        <w:tblW w:w="0" w:type="auto"/>
        <w:tblInd w:w="113" w:type="dxa"/>
        <w:shd w:val="clear" w:color="auto" w:fill="D9D9D9" w:themeFill="background1" w:themeFillShade="D9"/>
        <w:tblLook w:val="04A0" w:firstRow="1" w:lastRow="0" w:firstColumn="1" w:lastColumn="0" w:noHBand="0" w:noVBand="1"/>
      </w:tblPr>
      <w:tblGrid>
        <w:gridCol w:w="4560"/>
      </w:tblGrid>
      <w:tr w:rsidR="0004070A" w:rsidTr="00E11B82">
        <w:tc>
          <w:tcPr>
            <w:tcW w:w="4560" w:type="dxa"/>
            <w:shd w:val="clear" w:color="auto" w:fill="D9D9D9" w:themeFill="background1" w:themeFillShade="D9"/>
          </w:tcPr>
          <w:p w:rsidR="0004070A" w:rsidRDefault="0004070A" w:rsidP="0004070A">
            <w:pPr>
              <w:pStyle w:val="11-"/>
              <w:spacing w:before="72" w:after="108"/>
              <w:rPr>
                <w:lang w:eastAsia="zh-TW"/>
              </w:rPr>
            </w:pPr>
            <w:r w:rsidRPr="00AC77DF">
              <w:lastRenderedPageBreak/>
              <w:t>改善灌溉系統水體品質未臻周延</w:t>
            </w:r>
            <w:bookmarkEnd w:id="628"/>
            <w:bookmarkEnd w:id="629"/>
          </w:p>
        </w:tc>
      </w:tr>
    </w:tbl>
    <w:p w:rsidR="003807A5" w:rsidRPr="00AC77DF" w:rsidRDefault="0004070A" w:rsidP="000B692A">
      <w:pPr>
        <w:pStyle w:val="afff1"/>
        <w:spacing w:before="360" w:after="360"/>
      </w:pPr>
      <w:r>
        <w:rPr>
          <w:rFonts w:hint="eastAsia"/>
        </w:rPr>
        <w:t>(一)</w:t>
      </w:r>
      <w:r w:rsidR="003807A5" w:rsidRPr="00AC77DF">
        <w:rPr>
          <w:noProof/>
        </w:rPr>
        <mc:AlternateContent>
          <mc:Choice Requires="wps">
            <w:drawing>
              <wp:anchor distT="0" distB="0" distL="114300" distR="114300" simplePos="0" relativeHeight="251883520" behindDoc="0" locked="1" layoutInCell="1" allowOverlap="1" wp14:anchorId="2D639446" wp14:editId="603C16B2">
                <wp:simplePos x="0" y="0"/>
                <wp:positionH relativeFrom="column">
                  <wp:posOffset>7989570</wp:posOffset>
                </wp:positionH>
                <wp:positionV relativeFrom="paragraph">
                  <wp:posOffset>-773430</wp:posOffset>
                </wp:positionV>
                <wp:extent cx="635000" cy="317500"/>
                <wp:effectExtent l="0" t="0" r="0" b="0"/>
                <wp:wrapNone/>
                <wp:docPr id="10" name="記錄"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832" w:rsidRDefault="00970832" w:rsidP="00435D8C">
                            <w:pPr>
                              <w:jc w:val="center"/>
                              <w:rPr>
                                <w:sz w:val="18"/>
                              </w:rPr>
                            </w:pPr>
                            <w:r>
                              <w:rPr>
                                <w:sz w:val="18"/>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7" type="#_x0000_t202" style="position:absolute;left:0;text-align:left;margin-left:629.1pt;margin-top:-60.9pt;width:50pt;height:25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" stroked="f">
                <v:textbox>
                  <w:txbxContent>
                    <w:p w:rsidR="00895792" w:rsidRDefault="00895792" w:rsidP="00435D8C">
                      <w:pPr>
                        <w:jc w:val="center"/>
                        <w:rPr>
                          <w:sz w:val="18"/>
                        </w:rPr>
                      </w:pPr>
                      <w:r>
                        <w:rPr>
                          <w:sz w:val="18"/>
                        </w:rPr>
                        <w:t>00</w:t>
                      </w:r>
                    </w:p>
                  </w:txbxContent>
                </v:textbox>
                <w10:anchorlock/>
              </v:shape>
            </w:pict>
          </mc:Fallback>
        </mc:AlternateContent>
      </w:r>
      <w:r w:rsidR="003807A5" w:rsidRPr="00AC77DF">
        <w:rPr>
          <w:noProof/>
        </w:rPr>
        <mc:AlternateContent>
          <mc:Choice Requires="wpg">
            <w:drawing>
              <wp:anchor distT="0" distB="0" distL="114300" distR="114300" simplePos="0" relativeHeight="251882496" behindDoc="0" locked="1" layoutInCell="0" allowOverlap="1" wp14:anchorId="7C3F9FA0" wp14:editId="2FDBABB8">
                <wp:simplePos x="0" y="0"/>
                <wp:positionH relativeFrom="column">
                  <wp:posOffset>-1132205</wp:posOffset>
                </wp:positionH>
                <wp:positionV relativeFrom="paragraph">
                  <wp:posOffset>-2540</wp:posOffset>
                </wp:positionV>
                <wp:extent cx="149225" cy="8839200"/>
                <wp:effectExtent l="0" t="0" r="3175" b="19050"/>
                <wp:wrapNone/>
                <wp:docPr id="12" name="裝訂線"/>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39200"/>
                          <a:chOff x="745" y="1414"/>
                          <a:chExt cx="235" cy="13920"/>
                        </a:xfrm>
                      </wpg:grpSpPr>
                      <wps:wsp>
                        <wps:cNvPr id="13" name="Line 13"/>
                        <wps:cNvCnPr/>
                        <wps:spPr bwMode="auto">
                          <a:xfrm>
                            <a:off x="851" y="1414"/>
                            <a:ext cx="0" cy="139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 name="Text Box 14"/>
                        <wps:cNvSpPr txBox="1">
                          <a:spLocks noChangeArrowheads="1"/>
                        </wps:cNvSpPr>
                        <wps:spPr bwMode="auto">
                          <a:xfrm>
                            <a:off x="745" y="5523"/>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435D8C">
                              <w:pPr>
                                <w:kinsoku w:val="0"/>
                                <w:wordWrap w:val="0"/>
                                <w:overflowPunct w:val="0"/>
                                <w:rPr>
                                  <w:sz w:val="20"/>
                                </w:rPr>
                              </w:pPr>
                              <w:r>
                                <w:rPr>
                                  <w:rFonts w:hint="eastAsia"/>
                                  <w:sz w:val="20"/>
                                </w:rPr>
                                <w:t>裝</w:t>
                              </w:r>
                            </w:p>
                          </w:txbxContent>
                        </wps:txbx>
                        <wps:bodyPr rot="0" vert="horz" wrap="square" lIns="0" tIns="0" rIns="0" bIns="0" anchor="t" anchorCtr="0" upright="1">
                          <a:noAutofit/>
                        </wps:bodyPr>
                      </wps:wsp>
                      <wps:wsp>
                        <wps:cNvPr id="15" name="Text Box 15"/>
                        <wps:cNvSpPr txBox="1">
                          <a:spLocks noChangeArrowheads="1"/>
                        </wps:cNvSpPr>
                        <wps:spPr bwMode="auto">
                          <a:xfrm>
                            <a:off x="745" y="8312"/>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435D8C">
                              <w:pPr>
                                <w:kinsoku w:val="0"/>
                                <w:wordWrap w:val="0"/>
                                <w:overflowPunct w:val="0"/>
                                <w:rPr>
                                  <w:sz w:val="20"/>
                                </w:rPr>
                              </w:pPr>
                              <w:r>
                                <w:rPr>
                                  <w:rFonts w:hint="eastAsia"/>
                                  <w:sz w:val="20"/>
                                </w:rPr>
                                <w:t>訂</w:t>
                              </w:r>
                            </w:p>
                          </w:txbxContent>
                        </wps:txbx>
                        <wps:bodyPr rot="0" vert="horz" wrap="square" lIns="0" tIns="0" rIns="0" bIns="0" anchor="t" anchorCtr="0" upright="1">
                          <a:noAutofit/>
                        </wps:bodyPr>
                      </wps:wsp>
                      <wps:wsp>
                        <wps:cNvPr id="16" name="Text Box 16"/>
                        <wps:cNvSpPr txBox="1">
                          <a:spLocks noChangeArrowheads="1"/>
                        </wps:cNvSpPr>
                        <wps:spPr bwMode="auto">
                          <a:xfrm>
                            <a:off x="745" y="11127"/>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435D8C">
                              <w:pPr>
                                <w:kinsoku w:val="0"/>
                                <w:wordWrap w:val="0"/>
                                <w:overflowPunct w:val="0"/>
                                <w:rPr>
                                  <w:sz w:val="20"/>
                                </w:rPr>
                              </w:pPr>
                              <w:r>
                                <w:rPr>
                                  <w:rFonts w:hint="eastAsia"/>
                                  <w:sz w:val="20"/>
                                </w:rPr>
                                <w:t>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28" style="position:absolute;left:0;text-align:left;margin-left:-89.15pt;margin-top:-.2pt;width:11.75pt;height:696pt;z-index:251882496" coordorigin="745,1414" coordsize="235,1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" o:allowincell="f">
                <v:line id="Line 13" o:spid="_x0000_s1129" style="position:absolute;visibility:visible;mso-wrap-style:square" from="851,1414" to="851,1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nfo8IAAADbAAAADwAAAGRycy9kb3ducmV2LnhtbERPTWsCMRC9C/0PYQq9abYtVN0aRQsF&#10;a/XgqtDjsBmTpZvJskl1/feNIHibx/ucyaxztThRGyrPCp4HGQji0uuKjYL97rM/AhEissbaMym4&#10;UIDZ9KE3wVz7M2/pVEQjUgiHHBXYGJtcylBachgGviFO3NG3DmOCrZG6xXMKd7V8ybI36bDi1GCx&#10;oQ9L5W/x5xR8D5f1wfBPsf46hoUfr7ZyY6xST4/d/B1EpC7exTf3Uqf5r3D9JR0g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Mnfo8IAAADbAAAADwAAAAAAAAAAAAAA&#10;AAChAgAAZHJzL2Rvd25yZXYueG1sUEsFBgAAAAAEAAQA+QAAAJADAAAAAA==&#10;">
                  <v:stroke dashstyle="1 1"/>
                </v:line>
                <v:shape id="Text Box 14" o:spid="_x0000_s1130" type="#_x0000_t202" style="position:absolute;left:745;top:5523;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rBtsEA&#10;AADbAAAADwAAAGRycy9kb3ducmV2LnhtbERPTYvCMBC9L/gfwgjeNFW2i1SjqKzsunhRi3gcmrEt&#10;NpPSRK3/3gjC3ubxPmc6b00lbtS40rKC4SACQZxZXXKuID2s+2MQziNrrCyTggc5mM86H1NMtL3z&#10;jm57n4sQwi5BBYX3dSKlywoy6Aa2Jg7c2TYGfYBNLnWD9xBuKjmKoi9psOTQUGBNq4Kyy/5qFGz0&#10;US7jNNplp5P++V5v43T0FyvV67aLCQhPrf8Xv92/Osz/hNcv4Q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KwbbBAAAA2wAAAA8AAAAAAAAAAAAAAAAAmAIAAGRycy9kb3du&#10;cmV2LnhtbFBLBQYAAAAABAAEAPUAAACGAwAAAAA=&#10;" filled="f" stroked="f">
                  <v:stroke dashstyle="1 1"/>
                  <v:textbox inset="0,0,0,0">
                    <w:txbxContent>
                      <w:p w:rsidR="00895792" w:rsidRDefault="00895792" w:rsidP="00435D8C">
                        <w:pPr>
                          <w:kinsoku w:val="0"/>
                          <w:wordWrap w:val="0"/>
                          <w:overflowPunct w:val="0"/>
                          <w:rPr>
                            <w:sz w:val="20"/>
                          </w:rPr>
                        </w:pPr>
                        <w:r>
                          <w:rPr>
                            <w:rFonts w:hint="eastAsia"/>
                            <w:sz w:val="20"/>
                          </w:rPr>
                          <w:t>裝</w:t>
                        </w:r>
                      </w:p>
                    </w:txbxContent>
                  </v:textbox>
                </v:shape>
                <v:shape id="Text Box 15" o:spid="_x0000_s1131" type="#_x0000_t202" style="position:absolute;left:745;top:8312;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ZkLcEA&#10;AADbAAAADwAAAGRycy9kb3ducmV2LnhtbERPTYvCMBC9C/6HMII3TRW6SDWKyoru4qVaxOPQjG2x&#10;mZQmq/XfbxYWvM3jfc5i1ZlaPKh1lWUFk3EEgji3uuJCQXbejWYgnEfWWFsmBS9ysFr2ewtMtH1y&#10;So+TL0QIYZeggtL7JpHS5SUZdGPbEAfuZluDPsC2kLrFZwg3tZxG0Yc0WHFoKLGhbUn5/fRjFHzp&#10;i9zEWZTm16vef+6OcTb9jpUaDrr1HISnzr/F/+6DDvNj+PslHC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GZC3BAAAA2wAAAA8AAAAAAAAAAAAAAAAAmAIAAGRycy9kb3du&#10;cmV2LnhtbFBLBQYAAAAABAAEAPUAAACGAwAAAAA=&#10;" filled="f" stroked="f">
                  <v:stroke dashstyle="1 1"/>
                  <v:textbox inset="0,0,0,0">
                    <w:txbxContent>
                      <w:p w:rsidR="00895792" w:rsidRDefault="00895792" w:rsidP="00435D8C">
                        <w:pPr>
                          <w:kinsoku w:val="0"/>
                          <w:wordWrap w:val="0"/>
                          <w:overflowPunct w:val="0"/>
                          <w:rPr>
                            <w:sz w:val="20"/>
                          </w:rPr>
                        </w:pPr>
                        <w:r>
                          <w:rPr>
                            <w:rFonts w:hint="eastAsia"/>
                            <w:sz w:val="20"/>
                          </w:rPr>
                          <w:t>訂</w:t>
                        </w:r>
                      </w:p>
                    </w:txbxContent>
                  </v:textbox>
                </v:shape>
                <v:shape id="Text Box 16" o:spid="_x0000_s1132" type="#_x0000_t202" style="position:absolute;left:745;top:11127;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T6WsIA&#10;AADbAAAADwAAAGRycy9kb3ducmV2LnhtbERPS2vCQBC+C/0PyxR6MxuFSImuoqXSB70kBvE4ZMck&#10;mJ0N2W2S/vtuoeBtPr7nbHaTacVAvWssK1hEMQji0uqGKwXF6Th/BuE8ssbWMin4IQe77cNsg6m2&#10;I2c05L4SIYRdigpq77tUSlfWZNBFtiMO3NX2Bn2AfSV1j2MIN61cxvFKGmw4NNTY0UtN5S3/Ngo+&#10;9FkekiLOystFv70ev5Ji+Zko9fQ47dcgPE3+Lv53v+swfwV/v4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lPpawgAAANsAAAAPAAAAAAAAAAAAAAAAAJgCAABkcnMvZG93&#10;bnJldi54bWxQSwUGAAAAAAQABAD1AAAAhwMAAAAA&#10;" filled="f" stroked="f">
                  <v:stroke dashstyle="1 1"/>
                  <v:textbox inset="0,0,0,0">
                    <w:txbxContent>
                      <w:p w:rsidR="00895792" w:rsidRDefault="00895792" w:rsidP="00435D8C">
                        <w:pPr>
                          <w:kinsoku w:val="0"/>
                          <w:wordWrap w:val="0"/>
                          <w:overflowPunct w:val="0"/>
                          <w:rPr>
                            <w:sz w:val="20"/>
                          </w:rPr>
                        </w:pPr>
                        <w:r>
                          <w:rPr>
                            <w:rFonts w:hint="eastAsia"/>
                            <w:sz w:val="20"/>
                          </w:rPr>
                          <w:t>線</w:t>
                        </w:r>
                      </w:p>
                    </w:txbxContent>
                  </v:textbox>
                </v:shape>
                <w10:anchorlock/>
              </v:group>
            </w:pict>
          </mc:Fallback>
        </mc:AlternateContent>
      </w:r>
      <w:r w:rsidR="003807A5" w:rsidRPr="00AC77DF">
        <w:rPr>
          <w:noProof/>
        </w:rPr>
        <mc:AlternateContent>
          <mc:Choice Requires="wps">
            <w:drawing>
              <wp:anchor distT="0" distB="0" distL="114300" distR="114300" simplePos="0" relativeHeight="251881472" behindDoc="0" locked="1" layoutInCell="0" allowOverlap="1" wp14:anchorId="19578F95" wp14:editId="4F2C0385">
                <wp:simplePos x="0" y="0"/>
                <wp:positionH relativeFrom="column">
                  <wp:posOffset>-609600</wp:posOffset>
                </wp:positionH>
                <wp:positionV relativeFrom="page">
                  <wp:posOffset>443230</wp:posOffset>
                </wp:positionV>
                <wp:extent cx="636905" cy="396240"/>
                <wp:effectExtent l="9525" t="5080" r="10795" b="8255"/>
                <wp:wrapNone/>
                <wp:docPr id="17" name="函正本"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832" w:rsidRDefault="00970832" w:rsidP="00435D8C">
                            <w:pPr>
                              <w:jc w:val="center"/>
                              <w:rPr>
                                <w:color w:val="000000"/>
                                <w:sz w:val="36"/>
                              </w:rPr>
                            </w:pPr>
                            <w:r>
                              <w:rPr>
                                <w:rFonts w:hint="eastAsia"/>
                                <w:color w:val="000000"/>
                                <w:sz w:val="36"/>
                              </w:rPr>
                              <w:t>正本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3" type="#_x0000_t202" style="position:absolute;left:0;text-align:left;margin-left:-48pt;margin-top:34.9pt;width:50.15pt;height:31.2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" o:allowincell="f" filled="f">
                <v:textbox inset=".5mm,,.5mm">
                  <w:txbxContent>
                    <w:p w:rsidR="00895792" w:rsidRDefault="00895792" w:rsidP="00435D8C">
                      <w:pPr>
                        <w:jc w:val="center"/>
                        <w:rPr>
                          <w:color w:val="000000"/>
                          <w:sz w:val="36"/>
                        </w:rPr>
                      </w:pPr>
                      <w:r>
                        <w:rPr>
                          <w:rFonts w:hint="eastAsia"/>
                          <w:color w:val="000000"/>
                          <w:sz w:val="36"/>
                        </w:rPr>
                        <w:t>正本</w:t>
                      </w:r>
                    </w:p>
                  </w:txbxContent>
                </v:textbox>
                <w10:wrap anchory="page"/>
                <w10:anchorlock/>
              </v:shape>
            </w:pict>
          </mc:Fallback>
        </mc:AlternateContent>
      </w:r>
      <w:r w:rsidR="003807A5" w:rsidRPr="00AC77DF">
        <w:rPr>
          <w:noProof/>
        </w:rPr>
        <mc:AlternateContent>
          <mc:Choice Requires="wps">
            <w:drawing>
              <wp:anchor distT="0" distB="0" distL="114300" distR="114300" simplePos="0" relativeHeight="251880448" behindDoc="0" locked="1" layoutInCell="0" allowOverlap="1" wp14:anchorId="668FEE97" wp14:editId="3AC0F890">
                <wp:simplePos x="0" y="0"/>
                <wp:positionH relativeFrom="column">
                  <wp:posOffset>-609600</wp:posOffset>
                </wp:positionH>
                <wp:positionV relativeFrom="page">
                  <wp:posOffset>442595</wp:posOffset>
                </wp:positionV>
                <wp:extent cx="636905" cy="396240"/>
                <wp:effectExtent l="9525" t="13970" r="10795" b="8890"/>
                <wp:wrapNone/>
                <wp:docPr id="18" name="函副本"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832" w:rsidRDefault="00970832" w:rsidP="00435D8C">
                            <w:pPr>
                              <w:jc w:val="center"/>
                              <w:rPr>
                                <w:color w:val="000000"/>
                                <w:sz w:val="36"/>
                              </w:rPr>
                            </w:pPr>
                            <w:r>
                              <w:rPr>
                                <w:rFonts w:hint="eastAsia"/>
                                <w:color w:val="000000"/>
                                <w:sz w:val="36"/>
                              </w:rPr>
                              <w:t>副本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4" type="#_x0000_t202" style="position:absolute;left:0;text-align:left;margin-left:-48pt;margin-top:34.85pt;width:50.15pt;height:31.2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" o:allowincell="f" filled="f">
                <v:textbox inset=".5mm,,.5mm">
                  <w:txbxContent>
                    <w:p w:rsidR="00895792" w:rsidRDefault="00895792" w:rsidP="00435D8C">
                      <w:pPr>
                        <w:jc w:val="center"/>
                        <w:rPr>
                          <w:color w:val="000000"/>
                          <w:sz w:val="36"/>
                        </w:rPr>
                      </w:pPr>
                      <w:r>
                        <w:rPr>
                          <w:rFonts w:hint="eastAsia"/>
                          <w:color w:val="000000"/>
                          <w:sz w:val="36"/>
                        </w:rPr>
                        <w:t>副本</w:t>
                      </w:r>
                    </w:p>
                  </w:txbxContent>
                </v:textbox>
                <w10:wrap anchory="page"/>
                <w10:anchorlock/>
              </v:shape>
            </w:pict>
          </mc:Fallback>
        </mc:AlternateContent>
      </w:r>
      <w:r w:rsidR="003807A5" w:rsidRPr="00AC77DF">
        <w:rPr>
          <w:noProof/>
        </w:rPr>
        <mc:AlternateContent>
          <mc:Choice Requires="wps">
            <w:drawing>
              <wp:anchor distT="0" distB="0" distL="114300" distR="114300" simplePos="0" relativeHeight="251879424" behindDoc="0" locked="1" layoutInCell="0" allowOverlap="1" wp14:anchorId="180C80C2" wp14:editId="32B46127">
                <wp:simplePos x="0" y="0"/>
                <wp:positionH relativeFrom="column">
                  <wp:posOffset>2819400</wp:posOffset>
                </wp:positionH>
                <wp:positionV relativeFrom="page">
                  <wp:posOffset>443230</wp:posOffset>
                </wp:positionV>
                <wp:extent cx="1440180" cy="360045"/>
                <wp:effectExtent l="9525" t="5080" r="7620" b="6350"/>
                <wp:wrapNone/>
                <wp:docPr id="19" name="首長大名"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970832" w:rsidRDefault="00970832" w:rsidP="00435D8C">
                            <w:r>
                              <w:rPr>
                                <w:rFonts w:hint="eastAsia"/>
                              </w:rPr>
                              <w:t>院長王○○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5" type="#_x0000_t202" style="position:absolute;left:0;text-align:left;margin-left:222pt;margin-top:34.9pt;width:113.4pt;height:28.35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" o:allowincell="f">
                <v:textbox>
                  <w:txbxContent>
                    <w:p w:rsidR="00895792" w:rsidRDefault="00895792" w:rsidP="00435D8C">
                      <w:r>
                        <w:rPr>
                          <w:rFonts w:hint="eastAsia"/>
                        </w:rPr>
                        <w:t>院長王○○</w:t>
                      </w:r>
                    </w:p>
                  </w:txbxContent>
                </v:textbox>
                <w10:wrap anchory="page"/>
                <w10:anchorlock/>
              </v:shape>
            </w:pict>
          </mc:Fallback>
        </mc:AlternateContent>
      </w:r>
      <w:r w:rsidR="003807A5" w:rsidRPr="00AC77DF">
        <w:rPr>
          <w:noProof/>
        </w:rPr>
        <mc:AlternateContent>
          <mc:Choice Requires="wps">
            <w:drawing>
              <wp:anchor distT="0" distB="0" distL="114300" distR="114300" simplePos="0" relativeHeight="251878400" behindDoc="0" locked="1" layoutInCell="0" allowOverlap="1" wp14:anchorId="4CFFE45E" wp14:editId="0FE8C3C4">
                <wp:simplePos x="0" y="0"/>
                <wp:positionH relativeFrom="column">
                  <wp:posOffset>1381125</wp:posOffset>
                </wp:positionH>
                <wp:positionV relativeFrom="page">
                  <wp:posOffset>443230</wp:posOffset>
                </wp:positionV>
                <wp:extent cx="1440180" cy="360045"/>
                <wp:effectExtent l="9525" t="5080" r="7620" b="6350"/>
                <wp:wrapNone/>
                <wp:docPr id="20" name="文別"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970832" w:rsidRDefault="00970832" w:rsidP="00435D8C">
                            <w:pPr>
                              <w:rPr>
                                <w:rFonts w:ascii="標楷體"/>
                              </w:rPr>
                            </w:pPr>
                            <w:r>
                              <w:rPr>
                                <w:rFonts w:ascii="標楷體" w:hint="eastAsia"/>
                              </w:rPr>
                              <w:t>函;函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6" type="#_x0000_t202" style="position:absolute;left:0;text-align:left;margin-left:108.75pt;margin-top:34.9pt;width:113.4pt;height:28.35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" o:allowincell="f">
                <v:textbox>
                  <w:txbxContent>
                    <w:p w:rsidR="00895792" w:rsidRDefault="00895792" w:rsidP="00435D8C">
                      <w:pPr>
                        <w:rPr>
                          <w:rFonts w:ascii="標楷體"/>
                        </w:rPr>
                      </w:pPr>
                      <w:r>
                        <w:rPr>
                          <w:rFonts w:ascii="標楷體" w:hint="eastAsia"/>
                        </w:rPr>
                        <w:t>函;函</w:t>
                      </w:r>
                    </w:p>
                  </w:txbxContent>
                </v:textbox>
                <w10:wrap anchory="page"/>
                <w10:anchorlock/>
              </v:shape>
            </w:pict>
          </mc:Fallback>
        </mc:AlternateContent>
      </w:r>
      <w:r w:rsidR="003807A5" w:rsidRPr="00AC77DF">
        <w:t>案情簡述</w:t>
      </w:r>
    </w:p>
    <w:p w:rsidR="003807A5" w:rsidRPr="00AC77DF" w:rsidRDefault="003807A5" w:rsidP="00234F21">
      <w:pPr>
        <w:pStyle w:val="1---"/>
        <w:ind w:firstLine="480"/>
      </w:pPr>
      <w:r w:rsidRPr="00AC77DF">
        <w:t>據審計部</w:t>
      </w:r>
      <w:r w:rsidRPr="00AC77DF">
        <w:t>104</w:t>
      </w:r>
      <w:r w:rsidRPr="00AC77DF">
        <w:t>年度彰化縣總決算審核報告，彰化縣政府已訂頒「彰化縣東西二圳放流水標準」降低農地污染負荷，改善縣境內東西二圳灌溉系統水體品質，惟農地污染預防管理作業未臻周延，致污染源未能有效減少，亟待研謀改善等情，爰經監察院地方政府年度總決算審核報告審議小組決議調查。</w:t>
      </w:r>
    </w:p>
    <w:p w:rsidR="003807A5" w:rsidRPr="00AC77DF" w:rsidRDefault="0004070A" w:rsidP="000B692A">
      <w:pPr>
        <w:pStyle w:val="afff1"/>
        <w:spacing w:before="360" w:after="360"/>
      </w:pPr>
      <w:r>
        <w:rPr>
          <w:rFonts w:hint="eastAsia"/>
        </w:rPr>
        <w:t>(二)</w:t>
      </w:r>
      <w:r w:rsidR="003807A5" w:rsidRPr="00AC77DF">
        <w:t>監察院調查發現與建議</w:t>
      </w:r>
    </w:p>
    <w:p w:rsidR="003807A5" w:rsidRPr="00AC77DF" w:rsidRDefault="00287E7B" w:rsidP="00564517">
      <w:pPr>
        <w:pStyle w:val="1--13"/>
        <w:spacing w:before="180" w:after="180"/>
      </w:pPr>
      <w:r w:rsidRPr="008E1832">
        <w:rPr>
          <w:rFonts w:hint="eastAsia"/>
        </w:rPr>
        <w:t>˙</w:t>
      </w:r>
      <w:r w:rsidR="003807A5" w:rsidRPr="00AC77DF">
        <w:t>未能積極遏止偷排廢水</w:t>
      </w:r>
    </w:p>
    <w:p w:rsidR="003807A5" w:rsidRPr="00AC77DF" w:rsidRDefault="003807A5" w:rsidP="00234F21">
      <w:pPr>
        <w:pStyle w:val="1---"/>
        <w:ind w:firstLine="480"/>
      </w:pPr>
      <w:r w:rsidRPr="00AC77DF">
        <w:t>彰化縣政府所屬環境保護局未能確實稽查轄內東西二、三圳含重金屬廢水來源，及時遏止非法業者長期偷排廢水行為，肇生附近水體及土壤遭受污染，</w:t>
      </w:r>
      <w:r w:rsidR="004D0068">
        <w:t>顯示</w:t>
      </w:r>
      <w:r w:rsidRPr="00AC77DF">
        <w:t>公權力之執行力有未逮，監督查核機制尚乏嚴謹周延，而彰化縣政府亦未有效發揮督促或協助功能。</w:t>
      </w:r>
      <w:r w:rsidRPr="00AC77DF">
        <w:t xml:space="preserve">    </w:t>
      </w:r>
    </w:p>
    <w:p w:rsidR="003807A5" w:rsidRPr="00AC77DF" w:rsidRDefault="00287E7B" w:rsidP="00564517">
      <w:pPr>
        <w:pStyle w:val="1--13"/>
        <w:spacing w:before="180" w:after="180"/>
      </w:pPr>
      <w:r w:rsidRPr="008E1832">
        <w:rPr>
          <w:rFonts w:hint="eastAsia"/>
        </w:rPr>
        <w:t>˙</w:t>
      </w:r>
      <w:r w:rsidR="003807A5" w:rsidRPr="00AC77DF">
        <w:t>應瞭解農地污染情形</w:t>
      </w:r>
    </w:p>
    <w:p w:rsidR="003807A5" w:rsidRPr="00AC77DF" w:rsidRDefault="003807A5" w:rsidP="00234F21">
      <w:pPr>
        <w:pStyle w:val="1---"/>
        <w:ind w:firstLine="480"/>
      </w:pPr>
      <w:r w:rsidRPr="00AC77DF">
        <w:t>彰化縣政府依法應確實查察轄內已列管之土壤污染場址附近是否有居民使用地下水、種植食用農作物或養殖農產等情形，避免遭受污染之土地與人類活動接觸，並調查農地污染狀況及進行污染整治，同時避免整治過程造成環境二次污染，以維</w:t>
      </w:r>
      <w:r w:rsidRPr="00AC77DF">
        <w:lastRenderedPageBreak/>
        <w:t>護居民健康及環境品質。</w:t>
      </w:r>
      <w:r w:rsidRPr="00AC77DF">
        <w:t xml:space="preserve">   </w:t>
      </w:r>
    </w:p>
    <w:p w:rsidR="003807A5" w:rsidRPr="00AC77DF" w:rsidRDefault="003807A5" w:rsidP="00234F21">
      <w:pPr>
        <w:pStyle w:val="1---"/>
        <w:ind w:firstLine="480"/>
      </w:pPr>
      <w:r w:rsidRPr="00AC77DF">
        <w:t>依據本案調查意見</w:t>
      </w:r>
      <w:r w:rsidRPr="00F85A65">
        <w:rPr>
          <w:rStyle w:val="aff2"/>
        </w:rPr>
        <w:footnoteReference w:id="136"/>
      </w:r>
      <w:r w:rsidRPr="00AC77DF">
        <w:t>，監察院糾正彰化縣政府，送請行政院轉飭所屬確實檢討並依法妥處見復。</w:t>
      </w:r>
    </w:p>
    <w:p w:rsidR="003807A5" w:rsidRPr="00AC77DF" w:rsidRDefault="0004070A" w:rsidP="000B692A">
      <w:pPr>
        <w:pStyle w:val="afff1"/>
        <w:spacing w:before="360" w:after="360"/>
      </w:pPr>
      <w:r>
        <w:rPr>
          <w:rFonts w:hint="eastAsia"/>
        </w:rPr>
        <w:t>(三)</w:t>
      </w:r>
      <w:r w:rsidR="003807A5" w:rsidRPr="00AC77DF">
        <w:t>政府機關改善情形</w:t>
      </w:r>
    </w:p>
    <w:p w:rsidR="003807A5" w:rsidRPr="00AC77DF" w:rsidRDefault="003807A5" w:rsidP="00425EE5">
      <w:pPr>
        <w:pStyle w:val="1----"/>
        <w:ind w:left="600" w:hanging="360"/>
      </w:pPr>
      <w:r w:rsidRPr="00AC77DF">
        <w:t>1</w:t>
      </w:r>
      <w:r w:rsidRPr="00AC77DF">
        <w:t>、彰化縣總量管制區公告自</w:t>
      </w:r>
      <w:r w:rsidRPr="00AC77DF">
        <w:t>105</w:t>
      </w:r>
      <w:r w:rsidRPr="00AC77DF">
        <w:t>年</w:t>
      </w:r>
      <w:r w:rsidRPr="00AC77DF">
        <w:t>5</w:t>
      </w:r>
      <w:r w:rsidRPr="00AC77DF">
        <w:t>月</w:t>
      </w:r>
      <w:r w:rsidRPr="00AC77DF">
        <w:t>17</w:t>
      </w:r>
      <w:r w:rsidRPr="00AC77DF">
        <w:t>日實施以來，因相關規定</w:t>
      </w:r>
      <w:r w:rsidR="00FB5C8B">
        <w:rPr>
          <w:rFonts w:hint="eastAsia"/>
          <w:lang w:eastAsia="zh-TW"/>
        </w:rPr>
        <w:t>從嚴</w:t>
      </w:r>
      <w:r w:rsidRPr="00AC77DF">
        <w:t>，有效遏止事業廢水排入灌溉渠道，使得東西二、三圳鄰近水體重金屬水質獲得改善，</w:t>
      </w:r>
      <w:r w:rsidRPr="00AC77DF">
        <w:t>106</w:t>
      </w:r>
      <w:r w:rsidRPr="00AC77DF">
        <w:t>年度東西二、三圳總量管制區內監測站除水流公制水門站</w:t>
      </w:r>
      <w:r w:rsidRPr="00AC77DF">
        <w:t>7</w:t>
      </w:r>
      <w:r w:rsidRPr="00AC77DF">
        <w:t>月份鎳未符合外，另</w:t>
      </w:r>
      <w:r w:rsidRPr="00AC77DF">
        <w:t>2</w:t>
      </w:r>
      <w:r w:rsidRPr="00AC77DF">
        <w:t>測站各項重金屬合格率皆達</w:t>
      </w:r>
      <w:r w:rsidRPr="00AC77DF">
        <w:t>100%</w:t>
      </w:r>
      <w:r w:rsidRPr="00AC77DF">
        <w:t>。</w:t>
      </w:r>
    </w:p>
    <w:p w:rsidR="003807A5" w:rsidRPr="00AC77DF" w:rsidRDefault="003807A5" w:rsidP="00425EE5">
      <w:pPr>
        <w:pStyle w:val="1----"/>
        <w:ind w:left="600" w:hanging="360"/>
      </w:pPr>
      <w:r w:rsidRPr="00AC77DF">
        <w:t>2</w:t>
      </w:r>
      <w:r w:rsidRPr="00AC77DF">
        <w:t>、因管制強度提升及整體環保法令加嚴，進而強化業者之自主管理意識，減少違規裁罰情形。</w:t>
      </w:r>
      <w:r w:rsidRPr="00AC77DF">
        <w:t>106</w:t>
      </w:r>
      <w:r w:rsidRPr="00AC77DF">
        <w:t>年度彰化縣每家事業平均之稽查次數為</w:t>
      </w:r>
      <w:r w:rsidRPr="00AC77DF">
        <w:t>1.57</w:t>
      </w:r>
      <w:r w:rsidRPr="00AC77DF">
        <w:t>次，違規件數共計</w:t>
      </w:r>
      <w:r w:rsidRPr="00AC77DF">
        <w:t>211</w:t>
      </w:r>
      <w:r w:rsidRPr="00AC77DF">
        <w:t>件，裁處金額達</w:t>
      </w:r>
      <w:r w:rsidRPr="00AC77DF">
        <w:t>1</w:t>
      </w:r>
      <w:r w:rsidRPr="00AC77DF">
        <w:t>億</w:t>
      </w:r>
      <w:r w:rsidRPr="00AC77DF">
        <w:t>2,817</w:t>
      </w:r>
      <w:r w:rsidRPr="00AC77DF">
        <w:t>萬</w:t>
      </w:r>
      <w:r w:rsidRPr="00AC77DF">
        <w:t>8,268</w:t>
      </w:r>
      <w:r w:rsidRPr="00AC77DF">
        <w:t>元；東西二、三圳管制區每家事業平均之稽查次數為</w:t>
      </w:r>
      <w:r w:rsidRPr="00AC77DF">
        <w:t>4.17</w:t>
      </w:r>
      <w:r w:rsidRPr="00AC77DF">
        <w:t>次，違規件數計有</w:t>
      </w:r>
      <w:r w:rsidRPr="00AC77DF">
        <w:t>6</w:t>
      </w:r>
      <w:r w:rsidRPr="00AC77DF">
        <w:t>件，罰鍰金額為</w:t>
      </w:r>
      <w:r w:rsidRPr="00AC77DF">
        <w:t>646</w:t>
      </w:r>
      <w:r w:rsidRPr="00AC77DF">
        <w:t>萬</w:t>
      </w:r>
      <w:r w:rsidRPr="00AC77DF">
        <w:t>7,500</w:t>
      </w:r>
      <w:r w:rsidRPr="00AC77DF">
        <w:t>元，管制區內無論違法偷排或放流水超標情形均大幅降低，顯示事業廢水處理設施之操作落實度提升。</w:t>
      </w:r>
    </w:p>
    <w:p w:rsidR="003807A5" w:rsidRPr="00AC77DF" w:rsidRDefault="003807A5" w:rsidP="00425EE5">
      <w:pPr>
        <w:pStyle w:val="1----"/>
        <w:ind w:left="600" w:hanging="360"/>
      </w:pPr>
      <w:r w:rsidRPr="00AC77DF">
        <w:t>3</w:t>
      </w:r>
      <w:r w:rsidRPr="00AC77DF">
        <w:t>、比較</w:t>
      </w:r>
      <w:r w:rsidRPr="00AC77DF">
        <w:t>106</w:t>
      </w:r>
      <w:r w:rsidRPr="00AC77DF">
        <w:t>年度東西二、三圳流域及鄰近區域事業放流水質，總量管制區內事業之事業放流水超過排放標準計</w:t>
      </w:r>
      <w:r w:rsidRPr="00AC77DF">
        <w:t>5</w:t>
      </w:r>
      <w:r w:rsidRPr="00AC77DF">
        <w:t>家次，惟該些業者均以附掛管線將放流水排入非總量管制承受水體，另總量管制區鄰近區域事業放流水超標</w:t>
      </w:r>
      <w:r w:rsidRPr="00AC77DF">
        <w:t>9</w:t>
      </w:r>
      <w:r w:rsidRPr="00AC77DF">
        <w:t>家次，對</w:t>
      </w:r>
      <w:r w:rsidRPr="00AC77DF">
        <w:lastRenderedPageBreak/>
        <w:t>總量管制區內事業之管制、管理有一定成效。彰化縣政府為維護該縣水體環境品質、保護糧食安全及落實健康流域管理，擬於</w:t>
      </w:r>
      <w:r w:rsidRPr="00AC77DF">
        <w:t>107</w:t>
      </w:r>
      <w:r w:rsidRPr="00AC77DF">
        <w:t>年度研擬擴大管制範圍，將東西二、三圳上、下游及鄰近區域劃入總量管制區內。</w:t>
      </w:r>
    </w:p>
    <w:p w:rsidR="003807A5" w:rsidRPr="00AC77DF" w:rsidRDefault="003807A5" w:rsidP="00E11B82">
      <w:pPr>
        <w:pStyle w:val="1----"/>
        <w:ind w:left="600" w:hanging="360"/>
      </w:pPr>
      <w:r w:rsidRPr="00AC77DF">
        <w:t>4</w:t>
      </w:r>
      <w:r w:rsidRPr="00AC77DF">
        <w:t>、環保署自</w:t>
      </w:r>
      <w:r w:rsidRPr="00AC77DF">
        <w:t>102</w:t>
      </w:r>
      <w:r w:rsidRPr="00AC77DF">
        <w:t>年至</w:t>
      </w:r>
      <w:r w:rsidRPr="00AC77DF">
        <w:t>106</w:t>
      </w:r>
      <w:r w:rsidRPr="00AC77DF">
        <w:t>年辦理「全國重金屬高污染潛勢農地之管制及調查計畫</w:t>
      </w:r>
      <w:r w:rsidRPr="00E11B82">
        <w:rPr>
          <w:spacing w:val="-28"/>
        </w:rPr>
        <w:t>」</w:t>
      </w:r>
      <w:r w:rsidRPr="00AC77DF">
        <w:t>，清查彰化縣境內重金屬高污染潛勢農地，</w:t>
      </w:r>
      <w:r w:rsidRPr="00AC77DF">
        <w:t>102</w:t>
      </w:r>
      <w:r w:rsidRPr="00AC77DF">
        <w:t>年至</w:t>
      </w:r>
      <w:r w:rsidRPr="00AC77DF">
        <w:t>106</w:t>
      </w:r>
      <w:r w:rsidRPr="00AC77DF">
        <w:t>年間新增公告共計約</w:t>
      </w:r>
      <w:r w:rsidRPr="00AC77DF">
        <w:t>323</w:t>
      </w:r>
      <w:r w:rsidRPr="00AC77DF">
        <w:t>公頃，並自</w:t>
      </w:r>
      <w:r w:rsidRPr="00AC77DF">
        <w:t>103</w:t>
      </w:r>
      <w:r w:rsidRPr="00AC77DF">
        <w:t>年起進行細密調查計畫、</w:t>
      </w:r>
      <w:r w:rsidRPr="00AC77DF">
        <w:t>105</w:t>
      </w:r>
      <w:r w:rsidRPr="00AC77DF">
        <w:t>年起進行農地改善，已完成約</w:t>
      </w:r>
      <w:r w:rsidRPr="00AC77DF">
        <w:t>40.5</w:t>
      </w:r>
      <w:r w:rsidRPr="00AC77DF">
        <w:t>公頃解除列管，迄</w:t>
      </w:r>
      <w:r w:rsidRPr="00AC77DF">
        <w:t>106</w:t>
      </w:r>
      <w:r w:rsidRPr="00AC77DF">
        <w:t>年</w:t>
      </w:r>
      <w:r w:rsidRPr="00AC77DF">
        <w:t>12</w:t>
      </w:r>
      <w:r w:rsidRPr="00AC77DF">
        <w:t>月底為止，彰</w:t>
      </w:r>
      <w:r w:rsidRPr="00E11B82">
        <w:rPr>
          <w:spacing w:val="-2"/>
        </w:rPr>
        <w:t>化縣農地污染控制場址共計</w:t>
      </w:r>
      <w:r w:rsidRPr="00E11B82">
        <w:rPr>
          <w:spacing w:val="-10"/>
        </w:rPr>
        <w:t>約</w:t>
      </w:r>
      <w:r w:rsidRPr="00E11B82">
        <w:rPr>
          <w:spacing w:val="-2"/>
        </w:rPr>
        <w:t>1,68</w:t>
      </w:r>
      <w:r w:rsidRPr="00E11B82">
        <w:rPr>
          <w:spacing w:val="-10"/>
        </w:rPr>
        <w:t>9</w:t>
      </w:r>
      <w:r w:rsidRPr="00E11B82">
        <w:rPr>
          <w:spacing w:val="-2"/>
        </w:rPr>
        <w:t>筆，面積</w:t>
      </w:r>
      <w:r w:rsidRPr="00E11B82">
        <w:rPr>
          <w:spacing w:val="-10"/>
        </w:rPr>
        <w:t>約</w:t>
      </w:r>
      <w:r w:rsidRPr="00E11B82">
        <w:rPr>
          <w:spacing w:val="-2"/>
        </w:rPr>
        <w:t>28</w:t>
      </w:r>
      <w:r w:rsidRPr="00E11B82">
        <w:rPr>
          <w:spacing w:val="-10"/>
        </w:rPr>
        <w:t>5</w:t>
      </w:r>
      <w:r w:rsidRPr="00E11B82">
        <w:rPr>
          <w:spacing w:val="-2"/>
        </w:rPr>
        <w:t>公</w:t>
      </w:r>
      <w:r w:rsidRPr="00E11B82">
        <w:rPr>
          <w:spacing w:val="-10"/>
        </w:rPr>
        <w:t>頃</w:t>
      </w:r>
      <w:r w:rsidRPr="00E11B82">
        <w:rPr>
          <w:spacing w:val="-2"/>
        </w:rPr>
        <w:t>。</w:t>
      </w:r>
    </w:p>
    <w:p w:rsidR="003807A5" w:rsidRPr="00AC77DF" w:rsidRDefault="003807A5" w:rsidP="00425EE5">
      <w:pPr>
        <w:pStyle w:val="1----"/>
        <w:ind w:left="600" w:hanging="360"/>
      </w:pPr>
      <w:r w:rsidRPr="00AC77DF">
        <w:t>5</w:t>
      </w:r>
      <w:r w:rsidRPr="00AC77DF">
        <w:t>、為落實污染土壤整治復育，達成還地於民，回復農地農用期望，彰化縣針對列管農地全數規劃進行分區分期整治計畫。目前主要分為</w:t>
      </w:r>
      <w:r w:rsidRPr="00AC77DF">
        <w:t>3</w:t>
      </w:r>
      <w:r w:rsidRPr="00AC77DF">
        <w:t>期計畫，</w:t>
      </w:r>
      <w:r w:rsidRPr="00AC77DF">
        <w:t>105</w:t>
      </w:r>
      <w:r w:rsidRPr="00AC77DF">
        <w:t>年發包第</w:t>
      </w:r>
      <w:r w:rsidRPr="00AC77DF">
        <w:t>1</w:t>
      </w:r>
      <w:r w:rsidRPr="00AC77DF">
        <w:t>期污染農地改善計畫，迄</w:t>
      </w:r>
      <w:r w:rsidRPr="00AC77DF">
        <w:t>106</w:t>
      </w:r>
      <w:r w:rsidRPr="00AC77DF">
        <w:t>年</w:t>
      </w:r>
      <w:r w:rsidRPr="00AC77DF">
        <w:t>12</w:t>
      </w:r>
      <w:r w:rsidRPr="00AC77DF">
        <w:t>月底已執行約</w:t>
      </w:r>
      <w:r w:rsidRPr="00AC77DF">
        <w:t>78</w:t>
      </w:r>
      <w:r w:rsidRPr="00AC77DF">
        <w:t>公頃改善，約</w:t>
      </w:r>
      <w:r w:rsidRPr="00AC77DF">
        <w:t>69.6</w:t>
      </w:r>
      <w:r w:rsidRPr="00AC77DF">
        <w:t>公頃通過監督驗證、約</w:t>
      </w:r>
      <w:r w:rsidRPr="00AC77DF">
        <w:t>40.5</w:t>
      </w:r>
      <w:r w:rsidRPr="00AC77DF">
        <w:t>公頃經地力回復後已辦理公告解除列管。第</w:t>
      </w:r>
      <w:r w:rsidRPr="00AC77DF">
        <w:t>2</w:t>
      </w:r>
      <w:r w:rsidRPr="00AC77DF">
        <w:t>期</w:t>
      </w:r>
      <w:r w:rsidRPr="00AC77DF">
        <w:t>107</w:t>
      </w:r>
      <w:r w:rsidRPr="00AC77DF">
        <w:t>公頃農地亦於</w:t>
      </w:r>
      <w:r w:rsidRPr="00AC77DF">
        <w:t>106</w:t>
      </w:r>
      <w:r w:rsidRPr="00AC77DF">
        <w:t>年</w:t>
      </w:r>
      <w:r w:rsidRPr="00AC77DF">
        <w:t>3</w:t>
      </w:r>
      <w:r w:rsidRPr="00AC77DF">
        <w:t>月啟動改善計畫，迄</w:t>
      </w:r>
      <w:r w:rsidRPr="00AC77DF">
        <w:t>106</w:t>
      </w:r>
      <w:r w:rsidRPr="00AC77DF">
        <w:t>年</w:t>
      </w:r>
      <w:r w:rsidRPr="00AC77DF">
        <w:t>12</w:t>
      </w:r>
      <w:r w:rsidRPr="00AC77DF">
        <w:t>月底已執行約</w:t>
      </w:r>
      <w:r w:rsidRPr="00AC77DF">
        <w:t>35.7</w:t>
      </w:r>
      <w:r w:rsidRPr="00AC77DF">
        <w:t>公頃改善、約</w:t>
      </w:r>
      <w:r w:rsidRPr="00AC77DF">
        <w:t>16.6</w:t>
      </w:r>
      <w:r w:rsidRPr="00AC77DF">
        <w:t>公頃通過監督驗證；其餘農地均以納入第</w:t>
      </w:r>
      <w:r w:rsidRPr="00AC77DF">
        <w:t>3</w:t>
      </w:r>
      <w:r w:rsidRPr="00AC77DF">
        <w:t>期改善計畫之規劃，並於</w:t>
      </w:r>
      <w:r w:rsidRPr="00AC77DF">
        <w:t>106</w:t>
      </w:r>
      <w:r w:rsidRPr="00AC77DF">
        <w:t>年向環保署申請補助。。</w:t>
      </w:r>
    </w:p>
    <w:p w:rsidR="003807A5" w:rsidRDefault="003807A5" w:rsidP="00425EE5">
      <w:pPr>
        <w:pStyle w:val="1----"/>
        <w:ind w:left="600" w:hanging="360"/>
        <w:rPr>
          <w:lang w:eastAsia="zh-TW"/>
        </w:rPr>
      </w:pPr>
      <w:r w:rsidRPr="00AC77DF">
        <w:t>6</w:t>
      </w:r>
      <w:r w:rsidRPr="00AC77DF">
        <w:t>、自</w:t>
      </w:r>
      <w:r w:rsidRPr="00AC77DF">
        <w:t>103</w:t>
      </w:r>
      <w:r w:rsidRPr="00AC77DF">
        <w:t>年起至</w:t>
      </w:r>
      <w:r w:rsidRPr="00AC77DF">
        <w:t>106</w:t>
      </w:r>
      <w:r w:rsidRPr="00AC77DF">
        <w:t>年</w:t>
      </w:r>
      <w:r w:rsidRPr="00AC77DF">
        <w:t>12</w:t>
      </w:r>
      <w:r w:rsidRPr="00AC77DF">
        <w:t>月底，彰化縣共完成</w:t>
      </w:r>
      <w:r w:rsidRPr="00AC77DF">
        <w:t>225</w:t>
      </w:r>
      <w:r w:rsidRPr="00AC77DF">
        <w:t>公頃農地污染細密調查，其中約</w:t>
      </w:r>
      <w:r w:rsidRPr="00AC77DF">
        <w:t>113.7</w:t>
      </w:r>
      <w:r w:rsidRPr="00AC77DF">
        <w:t>公頃已完成污染改善，約</w:t>
      </w:r>
      <w:r w:rsidRPr="00AC77DF">
        <w:t>99.6</w:t>
      </w:r>
      <w:r w:rsidRPr="00AC77DF">
        <w:t>公頃已通過自行驗證，約</w:t>
      </w:r>
      <w:r w:rsidRPr="00AC77DF">
        <w:t>86.2</w:t>
      </w:r>
      <w:r w:rsidRPr="00AC77DF">
        <w:t>公頃已通過監督驗證，經地力回復後，共計約</w:t>
      </w:r>
      <w:r w:rsidRPr="00AC77DF">
        <w:t>40.5</w:t>
      </w:r>
      <w:r w:rsidRPr="00AC77DF">
        <w:t>公頃已解除列管。</w:t>
      </w:r>
    </w:p>
    <w:p w:rsidR="009E6CE0" w:rsidRPr="00AC77DF" w:rsidRDefault="009E6CE0" w:rsidP="00425EE5">
      <w:pPr>
        <w:pStyle w:val="1----"/>
        <w:ind w:left="600" w:hanging="360"/>
        <w:rPr>
          <w:lang w:eastAsia="zh-TW"/>
        </w:rPr>
      </w:pPr>
    </w:p>
    <w:p w:rsidR="003807A5" w:rsidRPr="00AC77DF" w:rsidRDefault="0004070A" w:rsidP="000B692A">
      <w:pPr>
        <w:pStyle w:val="afff1"/>
        <w:spacing w:before="360" w:after="360"/>
      </w:pPr>
      <w:r>
        <w:rPr>
          <w:rFonts w:hint="eastAsia"/>
        </w:rPr>
        <w:lastRenderedPageBreak/>
        <w:t>(四)</w:t>
      </w:r>
      <w:r w:rsidR="003807A5" w:rsidRPr="00AC77DF">
        <w:t>案件進展</w:t>
      </w:r>
    </w:p>
    <w:p w:rsidR="003807A5" w:rsidRDefault="003807A5" w:rsidP="00234F21">
      <w:pPr>
        <w:pStyle w:val="1---"/>
        <w:ind w:firstLine="480"/>
        <w:rPr>
          <w:lang w:eastAsia="zh-TW"/>
        </w:rPr>
      </w:pPr>
      <w:r w:rsidRPr="00AC77DF">
        <w:t>本案已請行政院本於權責自行列管督導。另監察院仍持續追蹤瞭解彰化縣府後續對農地污染預防管理作業之落實情形。</w:t>
      </w:r>
    </w:p>
    <w:p w:rsidR="0004070A" w:rsidRDefault="0004070A" w:rsidP="00234F21">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5807"/>
      </w:tblGrid>
      <w:tr w:rsidR="0004070A" w:rsidTr="00C33190">
        <w:tc>
          <w:tcPr>
            <w:tcW w:w="5807" w:type="dxa"/>
            <w:shd w:val="clear" w:color="auto" w:fill="D9D9D9" w:themeFill="background1" w:themeFillShade="D9"/>
          </w:tcPr>
          <w:p w:rsidR="0004070A" w:rsidRDefault="0004070A" w:rsidP="00C33190">
            <w:pPr>
              <w:pStyle w:val="11-"/>
              <w:spacing w:before="72" w:after="108"/>
              <w:rPr>
                <w:lang w:eastAsia="zh-TW"/>
              </w:rPr>
            </w:pPr>
            <w:bookmarkStart w:id="630" w:name="_Toc535228414"/>
            <w:bookmarkStart w:id="631" w:name="_Toc4058825"/>
            <w:r w:rsidRPr="00AC77DF">
              <w:t>國有非公用土地長期遭非法棄置廢棄物案</w:t>
            </w:r>
            <w:bookmarkEnd w:id="630"/>
            <w:bookmarkEnd w:id="631"/>
          </w:p>
        </w:tc>
      </w:tr>
    </w:tbl>
    <w:p w:rsidR="003807A5" w:rsidRPr="00AC77DF" w:rsidRDefault="0004070A" w:rsidP="000B692A">
      <w:pPr>
        <w:pStyle w:val="afff1"/>
        <w:spacing w:before="360" w:after="360"/>
      </w:pPr>
      <w:r>
        <w:rPr>
          <w:rFonts w:hint="eastAsia"/>
        </w:rPr>
        <w:t>(一)</w:t>
      </w:r>
      <w:r w:rsidR="003807A5" w:rsidRPr="00AC77DF">
        <w:t>案情簡述</w:t>
      </w:r>
    </w:p>
    <w:p w:rsidR="003807A5" w:rsidRPr="00AC77DF" w:rsidRDefault="003807A5" w:rsidP="00234F21">
      <w:pPr>
        <w:pStyle w:val="1---"/>
        <w:ind w:firstLine="480"/>
      </w:pPr>
      <w:r w:rsidRPr="00AC77DF">
        <w:t>審計部函報︰前高雄縣大寮鄉潭平段</w:t>
      </w:r>
      <w:r w:rsidRPr="00AC77DF">
        <w:t>5</w:t>
      </w:r>
      <w:r w:rsidR="00071247">
        <w:rPr>
          <w:rFonts w:hint="eastAsia"/>
        </w:rPr>
        <w:t>○○</w:t>
      </w:r>
      <w:r w:rsidRPr="00AC77DF">
        <w:t>地號等與田寮鄉牛稠埔段</w:t>
      </w:r>
      <w:r w:rsidRPr="00AC77DF">
        <w:t>4</w:t>
      </w:r>
      <w:r w:rsidR="00071247">
        <w:rPr>
          <w:rFonts w:hint="eastAsia"/>
        </w:rPr>
        <w:t>○○</w:t>
      </w:r>
      <w:r w:rsidRPr="00AC77DF">
        <w:t>-</w:t>
      </w:r>
      <w:r w:rsidR="00071247">
        <w:rPr>
          <w:rFonts w:hint="eastAsia"/>
        </w:rPr>
        <w:t>○○</w:t>
      </w:r>
      <w:r w:rsidRPr="00AC77DF">
        <w:t>地號等多筆國有非公用土地長期遭非法棄置廢棄物，涉有違失等情案，案經監察院財政及經濟委員會決議調查。</w:t>
      </w:r>
    </w:p>
    <w:p w:rsidR="003807A5" w:rsidRPr="00AC77DF" w:rsidRDefault="0004070A" w:rsidP="000B692A">
      <w:pPr>
        <w:pStyle w:val="afff1"/>
        <w:spacing w:before="360" w:after="360"/>
      </w:pPr>
      <w:r>
        <w:rPr>
          <w:rFonts w:hint="eastAsia"/>
        </w:rPr>
        <w:t>(二)</w:t>
      </w:r>
      <w:r w:rsidR="003807A5" w:rsidRPr="00AC77DF">
        <w:t>監察院調查發現與建議</w:t>
      </w:r>
    </w:p>
    <w:p w:rsidR="003807A5" w:rsidRPr="00AC77DF" w:rsidRDefault="00287E7B" w:rsidP="00564517">
      <w:pPr>
        <w:pStyle w:val="1--13"/>
        <w:spacing w:before="180" w:after="180"/>
      </w:pPr>
      <w:r w:rsidRPr="008E1832">
        <w:rPr>
          <w:rFonts w:hint="eastAsia"/>
        </w:rPr>
        <w:t>˙</w:t>
      </w:r>
      <w:r w:rsidR="003807A5" w:rsidRPr="00AC77DF">
        <w:t>未落實現場勘查及產籍管理</w:t>
      </w:r>
    </w:p>
    <w:p w:rsidR="003807A5" w:rsidRPr="00AC77DF" w:rsidRDefault="003807A5" w:rsidP="00234F21">
      <w:pPr>
        <w:pStyle w:val="1---"/>
        <w:ind w:firstLine="480"/>
        <w:rPr>
          <w:i/>
        </w:rPr>
      </w:pPr>
      <w:r w:rsidRPr="00AC77DF">
        <w:t>財政部暨所屬國有財產署</w:t>
      </w:r>
      <w:r w:rsidRPr="0025002C">
        <w:rPr>
          <w:rFonts w:hint="eastAsia"/>
        </w:rPr>
        <w:t>（簡稱國產署）</w:t>
      </w:r>
      <w:r w:rsidRPr="00AC77DF">
        <w:t>對於移交或續租之國有非公用土地，未於接管或換約時辦理現場勘查，嗣後亦未恪盡職責，落實產籍管理與巡（檢）查工作，肇致</w:t>
      </w:r>
      <w:r w:rsidRPr="00AC77DF">
        <w:t>24</w:t>
      </w:r>
      <w:r w:rsidRPr="00AC77DF">
        <w:t>筆土地被非法棄置廢棄物，復因查無棄置時間點及非法棄置污染行為人，而須負起清除處理之責，自</w:t>
      </w:r>
      <w:r w:rsidRPr="00AC77DF">
        <w:t>92</w:t>
      </w:r>
      <w:r w:rsidRPr="00AC77DF">
        <w:t>年起至</w:t>
      </w:r>
      <w:r w:rsidRPr="00AC77DF">
        <w:t>101</w:t>
      </w:r>
      <w:r w:rsidRPr="00AC77DF">
        <w:t>年止後續清理廢棄物之費用，高達</w:t>
      </w:r>
      <w:r w:rsidRPr="00AC77DF">
        <w:t>11</w:t>
      </w:r>
      <w:r w:rsidRPr="00AC77DF">
        <w:t>億餘元，嚴重損及國家財政與國產權益。財政部應督飭</w:t>
      </w:r>
      <w:r w:rsidRPr="0025002C">
        <w:rPr>
          <w:rFonts w:hint="eastAsia"/>
        </w:rPr>
        <w:t>國產署</w:t>
      </w:r>
      <w:r w:rsidRPr="00AC77DF">
        <w:t>落實產籍管理與現場勘查、巡查工作，加</w:t>
      </w:r>
      <w:r w:rsidRPr="00AC77DF">
        <w:lastRenderedPageBreak/>
        <w:t>強查究污染行為人，並進行追償，以懲治不法污染國土行為。</w:t>
      </w:r>
    </w:p>
    <w:p w:rsidR="003807A5" w:rsidRPr="00AC77DF" w:rsidRDefault="00287E7B" w:rsidP="00564517">
      <w:pPr>
        <w:pStyle w:val="1--13"/>
        <w:spacing w:before="180" w:after="180"/>
      </w:pPr>
      <w:r w:rsidRPr="008E1832">
        <w:rPr>
          <w:rFonts w:hint="eastAsia"/>
        </w:rPr>
        <w:t>˙</w:t>
      </w:r>
      <w:r w:rsidR="003807A5" w:rsidRPr="00AC77DF">
        <w:t>未能保障國有土地</w:t>
      </w:r>
    </w:p>
    <w:p w:rsidR="003807A5" w:rsidRPr="00AC77DF" w:rsidRDefault="003807A5" w:rsidP="00234F21">
      <w:pPr>
        <w:pStyle w:val="1---"/>
        <w:ind w:firstLine="480"/>
        <w:rPr>
          <w:i/>
        </w:rPr>
      </w:pPr>
      <w:r w:rsidRPr="00AC77DF">
        <w:t>財政部暨所屬</w:t>
      </w:r>
      <w:r w:rsidRPr="0025002C">
        <w:rPr>
          <w:rFonts w:hint="eastAsia"/>
        </w:rPr>
        <w:t>國產署</w:t>
      </w:r>
      <w:r w:rsidRPr="00AC77DF">
        <w:t>綜理國產業務，未能確保國有非公用土地之最佳利用，容任國土反覆發生被傾倒、棄置廢棄物情事，不僅浪費國家資源，更輕忽環境污染對國民健康與世代永續發展之嚴重危害。行政院應正視上開問題之嚴重性，督同前述機關籌謀土地活化及人力調配等改善方案，並結合科學技術與社區力量加強監測、巡護，以防堵未然，善盡國有財產管理與環境保護之義務與責任。</w:t>
      </w:r>
    </w:p>
    <w:p w:rsidR="003807A5" w:rsidRPr="00AC77DF" w:rsidRDefault="003807A5" w:rsidP="00234F21">
      <w:pPr>
        <w:pStyle w:val="1---"/>
        <w:ind w:firstLine="480"/>
      </w:pPr>
      <w:r w:rsidRPr="00AC77DF">
        <w:t>依據本案調查意見</w:t>
      </w:r>
      <w:r w:rsidRPr="00CD57A3">
        <w:rPr>
          <w:rStyle w:val="aff2"/>
          <w:color w:val="000000" w:themeColor="text1"/>
        </w:rPr>
        <w:footnoteReference w:id="137"/>
      </w:r>
      <w:r w:rsidRPr="00AC77DF">
        <w:t>，監察院糾正財政部暨所屬</w:t>
      </w:r>
      <w:r w:rsidRPr="0025002C">
        <w:rPr>
          <w:rFonts w:hint="eastAsia"/>
        </w:rPr>
        <w:t>國產署</w:t>
      </w:r>
      <w:r w:rsidRPr="00AC77DF">
        <w:t>，並函請行政院轉飭所屬確實檢討改進。</w:t>
      </w:r>
    </w:p>
    <w:p w:rsidR="003807A5" w:rsidRPr="00AC77DF" w:rsidRDefault="0004070A" w:rsidP="000B692A">
      <w:pPr>
        <w:pStyle w:val="afff1"/>
        <w:spacing w:before="360" w:after="360"/>
      </w:pPr>
      <w:r>
        <w:rPr>
          <w:rFonts w:hint="eastAsia"/>
        </w:rPr>
        <w:t>(三)</w:t>
      </w:r>
      <w:r w:rsidR="003807A5" w:rsidRPr="00AC77DF">
        <w:t>政府機關改善情形</w:t>
      </w:r>
    </w:p>
    <w:p w:rsidR="003807A5" w:rsidRPr="00AC77DF" w:rsidRDefault="003807A5" w:rsidP="00425EE5">
      <w:pPr>
        <w:pStyle w:val="1----"/>
        <w:ind w:left="600" w:hanging="360"/>
      </w:pPr>
      <w:r w:rsidRPr="00AC77DF">
        <w:t>1</w:t>
      </w:r>
      <w:r w:rsidRPr="00AC77DF">
        <w:t>、為積極活化國有非公用土地，避免遭棄置廢棄物，</w:t>
      </w:r>
      <w:r w:rsidRPr="0025002C">
        <w:rPr>
          <w:rFonts w:hint="eastAsia"/>
        </w:rPr>
        <w:t>國產署</w:t>
      </w:r>
      <w:r w:rsidRPr="00AC77DF">
        <w:t>配合都市發展，運用出租、招標設定地上權、參與都市更新等多元方式活化利用，並透過結合目的事業主管機關配合產業發展需要共同開發，加速活化國有土地。再就易遭占用或易遭棄置廢棄物土地納入巡查計畫範疇，定期至現場巡查，並採取下列檢討改進措施：</w:t>
      </w:r>
    </w:p>
    <w:p w:rsidR="003807A5" w:rsidRPr="00AC77DF" w:rsidRDefault="003807A5" w:rsidP="00234F21">
      <w:pPr>
        <w:pStyle w:val="1---"/>
        <w:ind w:firstLine="480"/>
      </w:pPr>
      <w:r w:rsidRPr="00AC77DF">
        <w:t>（</w:t>
      </w:r>
      <w:r w:rsidRPr="00AC77DF">
        <w:t>1</w:t>
      </w:r>
      <w:r w:rsidRPr="00AC77DF">
        <w:t>）運用科技監測工具，輔助土地巡管作業。</w:t>
      </w:r>
    </w:p>
    <w:p w:rsidR="003807A5" w:rsidRPr="00AC77DF" w:rsidRDefault="003807A5" w:rsidP="00F37B8E">
      <w:pPr>
        <w:pStyle w:val="1--1"/>
        <w:ind w:left="1080" w:hanging="600"/>
      </w:pPr>
      <w:r w:rsidRPr="00AC77DF">
        <w:t>（</w:t>
      </w:r>
      <w:r w:rsidRPr="00AC77DF">
        <w:t>2</w:t>
      </w:r>
      <w:r w:rsidRPr="00AC77DF">
        <w:t>）委外巡管出（放）租土地使用情形，強化租約管理效</w:t>
      </w:r>
      <w:r w:rsidRPr="00AC77DF">
        <w:lastRenderedPageBreak/>
        <w:t>能。</w:t>
      </w:r>
    </w:p>
    <w:p w:rsidR="003807A5" w:rsidRPr="00AC77DF" w:rsidRDefault="003807A5" w:rsidP="00F37B8E">
      <w:pPr>
        <w:pStyle w:val="1--1"/>
        <w:ind w:left="1080" w:hanging="600"/>
      </w:pPr>
      <w:r w:rsidRPr="00AC77DF">
        <w:t>（</w:t>
      </w:r>
      <w:r w:rsidRPr="00AC77DF">
        <w:t>3</w:t>
      </w:r>
      <w:r w:rsidRPr="00AC77DF">
        <w:t>）訂定標準作業流程，建立內部控制制度。</w:t>
      </w:r>
    </w:p>
    <w:p w:rsidR="003807A5" w:rsidRPr="00AC77DF" w:rsidRDefault="003807A5" w:rsidP="00F37B8E">
      <w:pPr>
        <w:pStyle w:val="1--1"/>
        <w:ind w:left="1080" w:hanging="600"/>
      </w:pPr>
      <w:r w:rsidRPr="00AC77DF">
        <w:t>（</w:t>
      </w:r>
      <w:r w:rsidRPr="00AC77DF">
        <w:t>4</w:t>
      </w:r>
      <w:r w:rsidRPr="00AC77DF">
        <w:t>）林務局引進高科技輔助監控盜伐案件之作法，得於接洽瞭解細節後研議採用可行性。</w:t>
      </w:r>
    </w:p>
    <w:p w:rsidR="003807A5" w:rsidRPr="00AC77DF" w:rsidRDefault="003807A5" w:rsidP="00425EE5">
      <w:pPr>
        <w:pStyle w:val="1----"/>
        <w:ind w:left="600" w:hanging="360"/>
      </w:pPr>
      <w:r w:rsidRPr="00AC77DF">
        <w:t>2</w:t>
      </w:r>
      <w:r w:rsidRPr="00AC77DF">
        <w:t>、國產署對於國有非公用土地遭棄置廢棄物案件查究污染行為人並進行追償研提</w:t>
      </w:r>
      <w:r w:rsidRPr="00F37B8E">
        <w:rPr>
          <w:spacing w:val="-28"/>
        </w:rPr>
        <w:t>：</w:t>
      </w:r>
      <w:r w:rsidRPr="00AC77DF">
        <w:t>（</w:t>
      </w:r>
      <w:r w:rsidRPr="00AC77DF">
        <w:t>1</w:t>
      </w:r>
      <w:r w:rsidRPr="00AC77DF">
        <w:t>）以通報檢警聯繫會報、請警察機關偵辦、配合或協力環保機關等多方管道查</w:t>
      </w:r>
      <w:r w:rsidR="00B4748C">
        <w:rPr>
          <w:rFonts w:hint="eastAsia"/>
        </w:rPr>
        <w:t>尋</w:t>
      </w:r>
      <w:r w:rsidRPr="00AC77DF">
        <w:t>棄置行為人，一經查得，即循民事訴訟程序訴請行為人負損害賠償責任及回復原狀；為避免渠等脫產，並向法院申請假扣押</w:t>
      </w:r>
      <w:r w:rsidRPr="00F37B8E">
        <w:rPr>
          <w:spacing w:val="-28"/>
        </w:rPr>
        <w:t>。</w:t>
      </w:r>
      <w:r w:rsidRPr="00AC77DF">
        <w:t>（</w:t>
      </w:r>
      <w:r w:rsidRPr="00AC77DF">
        <w:t>2</w:t>
      </w:r>
      <w:r w:rsidRPr="00AC77DF">
        <w:t>）部分案件如查</w:t>
      </w:r>
      <w:r w:rsidR="00B4748C">
        <w:rPr>
          <w:rFonts w:hint="eastAsia"/>
        </w:rPr>
        <w:t>尋</w:t>
      </w:r>
      <w:r w:rsidRPr="00AC77DF">
        <w:t>行為人</w:t>
      </w:r>
      <w:r w:rsidR="00B4748C">
        <w:rPr>
          <w:rFonts w:hint="eastAsia"/>
        </w:rPr>
        <w:t>耗</w:t>
      </w:r>
      <w:r w:rsidRPr="00AC77DF">
        <w:t>時，為免污染擴大危及公共安全，先以施設圍籬阻隔等應變措施，依環保機關指示評估是否編列經費代為清除，同時持續追查行為人，於查得後依前揭程序辦理，對已代為清除案件，向行為人追償清除費用。</w:t>
      </w:r>
    </w:p>
    <w:p w:rsidR="003807A5" w:rsidRPr="00AC77DF" w:rsidRDefault="003807A5" w:rsidP="00425EE5">
      <w:pPr>
        <w:pStyle w:val="1----"/>
        <w:ind w:left="600" w:hanging="360"/>
      </w:pPr>
      <w:r w:rsidRPr="00AC77DF">
        <w:t>3</w:t>
      </w:r>
      <w:r w:rsidRPr="00AC77DF">
        <w:t>、國產署運用科技輔助土地巡管、委外強化租約管理之實際執行內容與改善成效如下</w:t>
      </w:r>
      <w:r w:rsidRPr="00F37B8E">
        <w:rPr>
          <w:spacing w:val="-28"/>
        </w:rPr>
        <w:t>：</w:t>
      </w:r>
      <w:r w:rsidRPr="00AC77DF">
        <w:t>（</w:t>
      </w:r>
      <w:r w:rsidRPr="00AC77DF">
        <w:t>1</w:t>
      </w:r>
      <w:r w:rsidRPr="00AC77DF">
        <w:t>）自</w:t>
      </w:r>
      <w:r w:rsidRPr="00AC77DF">
        <w:t>96</w:t>
      </w:r>
      <w:r w:rsidRPr="00AC77DF">
        <w:t>年參與內政部國土測繪中心「國土利用監測系統</w:t>
      </w:r>
      <w:r w:rsidRPr="00AC77DF">
        <w:t>—</w:t>
      </w:r>
      <w:r w:rsidRPr="00AC77DF">
        <w:t>土地利用變遷偵測管理系統建置計畫</w:t>
      </w:r>
      <w:r w:rsidRPr="00F37B8E">
        <w:rPr>
          <w:spacing w:val="-28"/>
        </w:rPr>
        <w:t>」</w:t>
      </w:r>
      <w:r w:rsidRPr="00AC77DF">
        <w:t>，至</w:t>
      </w:r>
      <w:r w:rsidRPr="00AC77DF">
        <w:t>106</w:t>
      </w:r>
      <w:r w:rsidRPr="00AC77DF">
        <w:t>年</w:t>
      </w:r>
      <w:r w:rsidRPr="00AC77DF">
        <w:t>8</w:t>
      </w:r>
      <w:r w:rsidRPr="00AC77DF">
        <w:t>月底，獲通報變異點</w:t>
      </w:r>
      <w:r w:rsidRPr="00AC77DF">
        <w:t>4,459</w:t>
      </w:r>
      <w:r w:rsidRPr="00AC77DF">
        <w:t>點，其中</w:t>
      </w:r>
      <w:r w:rsidRPr="00AC77DF">
        <w:t>119</w:t>
      </w:r>
      <w:r w:rsidRPr="00AC77DF">
        <w:t>點為他機關經管，已轉請各該管理機關處理；</w:t>
      </w:r>
      <w:r w:rsidRPr="00AC77DF">
        <w:t>2,938</w:t>
      </w:r>
      <w:r w:rsidRPr="00AC77DF">
        <w:t>點未涉占用或違規情形無須處理，餘</w:t>
      </w:r>
      <w:r w:rsidRPr="00AC77DF">
        <w:t>1,402</w:t>
      </w:r>
      <w:r w:rsidRPr="00AC77DF">
        <w:t>點均列管處理</w:t>
      </w:r>
      <w:r w:rsidRPr="00F37B8E">
        <w:rPr>
          <w:spacing w:val="-28"/>
        </w:rPr>
        <w:t>。</w:t>
      </w:r>
      <w:r w:rsidRPr="00AC77DF">
        <w:t>（</w:t>
      </w:r>
      <w:r w:rsidRPr="00AC77DF">
        <w:t>2</w:t>
      </w:r>
      <w:r w:rsidRPr="00AC77DF">
        <w:t>）自</w:t>
      </w:r>
      <w:r w:rsidRPr="00AC77DF">
        <w:t>103</w:t>
      </w:r>
      <w:r w:rsidRPr="00AC77DF">
        <w:t>年利用經濟部礦務局「網路傳輸盜濫採航照及衛星影像與資料即時通報系統」至</w:t>
      </w:r>
      <w:r w:rsidRPr="00AC77DF">
        <w:t>106</w:t>
      </w:r>
      <w:r w:rsidRPr="00AC77DF">
        <w:t>年</w:t>
      </w:r>
      <w:r w:rsidRPr="00AC77DF">
        <w:t>8</w:t>
      </w:r>
      <w:r w:rsidRPr="00AC77DF">
        <w:t>月底，獲通報變異點</w:t>
      </w:r>
      <w:r w:rsidRPr="00AC77DF">
        <w:t>117</w:t>
      </w:r>
      <w:r w:rsidRPr="00AC77DF">
        <w:t>點，</w:t>
      </w:r>
      <w:r w:rsidRPr="00AC77DF">
        <w:t>70</w:t>
      </w:r>
      <w:r w:rsidRPr="00AC77DF">
        <w:t>點未涉占用或違規情形無須處理，餘</w:t>
      </w:r>
      <w:r w:rsidRPr="00AC77DF">
        <w:t>47</w:t>
      </w:r>
      <w:r w:rsidRPr="00AC77DF">
        <w:t>點均列管處理</w:t>
      </w:r>
      <w:r w:rsidRPr="00F37B8E">
        <w:rPr>
          <w:spacing w:val="-28"/>
        </w:rPr>
        <w:t>。</w:t>
      </w:r>
      <w:r w:rsidRPr="00AC77DF">
        <w:t>（</w:t>
      </w:r>
      <w:r w:rsidRPr="00AC77DF">
        <w:t>3</w:t>
      </w:r>
      <w:r w:rsidRPr="00AC77DF">
        <w:t>）自</w:t>
      </w:r>
      <w:r w:rsidRPr="00AC77DF">
        <w:t>105</w:t>
      </w:r>
      <w:r w:rsidRPr="00AC77DF">
        <w:t>年試辦於臺北市大安區及臺中市神岡區</w:t>
      </w:r>
      <w:r w:rsidRPr="00AC77DF">
        <w:t>2</w:t>
      </w:r>
      <w:r w:rsidRPr="00AC77DF">
        <w:t>處地點搭配警察機關建置之監</w:t>
      </w:r>
      <w:r w:rsidRPr="00AC77DF">
        <w:lastRenderedPageBreak/>
        <w:t>視系統輔助巡管，監視範圍內之國有非公用不動產皆未發現遭占用情事。至中華電信行動千里眼方案，國產署所屬分支機構刻尋覓適當設置地點。有關林務局引進高科技輔助監控盜採案件之作法，國產署經洽得其設置監視器方式，刻評估於國有非公用土地之運作方式、相較現行方式何者較具效益等，持續精進運用科技輔助巡管方式</w:t>
      </w:r>
      <w:r w:rsidRPr="00F37B8E">
        <w:rPr>
          <w:spacing w:val="-28"/>
        </w:rPr>
        <w:t>。</w:t>
      </w:r>
      <w:r w:rsidR="00FF1BD5">
        <w:t>（</w:t>
      </w:r>
      <w:r w:rsidRPr="00AC77DF">
        <w:t>4</w:t>
      </w:r>
      <w:r w:rsidR="00FF1BD5">
        <w:t>）</w:t>
      </w:r>
      <w:r w:rsidRPr="00AC77DF">
        <w:t>自</w:t>
      </w:r>
      <w:r w:rsidRPr="00AC77DF">
        <w:t>105</w:t>
      </w:r>
      <w:r w:rsidRPr="00AC77DF">
        <w:t>年委外辦理出（放）租國有土地巡管作業至</w:t>
      </w:r>
      <w:r w:rsidRPr="00AC77DF">
        <w:t>105</w:t>
      </w:r>
      <w:r w:rsidRPr="00AC77DF">
        <w:t>年</w:t>
      </w:r>
      <w:r w:rsidRPr="00AC77DF">
        <w:t>12</w:t>
      </w:r>
      <w:r w:rsidRPr="00AC77DF">
        <w:t>月底，委外巡查</w:t>
      </w:r>
      <w:r w:rsidRPr="00AC77DF">
        <w:t>2,508</w:t>
      </w:r>
      <w:r w:rsidRPr="00AC77DF">
        <w:t>件，處理違約情形者</w:t>
      </w:r>
      <w:r w:rsidRPr="00AC77DF">
        <w:t>104</w:t>
      </w:r>
      <w:r w:rsidRPr="00AC77DF">
        <w:t>件，全數處理完畢</w:t>
      </w:r>
      <w:r w:rsidRPr="00F37B8E">
        <w:rPr>
          <w:spacing w:val="-28"/>
        </w:rPr>
        <w:t>。</w:t>
      </w:r>
      <w:r w:rsidRPr="00AC77DF">
        <w:t>」</w:t>
      </w:r>
    </w:p>
    <w:p w:rsidR="003807A5" w:rsidRPr="00AC77DF" w:rsidRDefault="0004070A" w:rsidP="000B692A">
      <w:pPr>
        <w:pStyle w:val="afff1"/>
        <w:spacing w:before="360" w:after="360"/>
      </w:pPr>
      <w:r>
        <w:rPr>
          <w:rFonts w:hint="eastAsia"/>
        </w:rPr>
        <w:t>(四)</w:t>
      </w:r>
      <w:r w:rsidR="003807A5" w:rsidRPr="00AC77DF">
        <w:t>案件進展</w:t>
      </w:r>
    </w:p>
    <w:p w:rsidR="003807A5" w:rsidRDefault="003807A5" w:rsidP="00234F21">
      <w:pPr>
        <w:pStyle w:val="1---"/>
        <w:ind w:firstLine="480"/>
        <w:rPr>
          <w:lang w:eastAsia="zh-TW"/>
        </w:rPr>
      </w:pPr>
      <w:r w:rsidRPr="00AC77DF">
        <w:t>本案監察院仍持續列管追蹤改善情形，促請國產署積極活化國有非公用土地，避免遭棄置廢棄物；更進一步加強查究污染行為人，並進行追償，以懲治不法污染國土行為，保障國有財產</w:t>
      </w:r>
      <w:r w:rsidR="00B4748C">
        <w:rPr>
          <w:rFonts w:hint="eastAsia"/>
        </w:rPr>
        <w:t>之</w:t>
      </w:r>
      <w:r w:rsidRPr="00AC77DF">
        <w:t>純淨及安全。</w:t>
      </w:r>
    </w:p>
    <w:p w:rsidR="0004070A" w:rsidRDefault="0004070A" w:rsidP="00234F21">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5098"/>
      </w:tblGrid>
      <w:tr w:rsidR="0004070A" w:rsidTr="00F37B8E">
        <w:tc>
          <w:tcPr>
            <w:tcW w:w="5098" w:type="dxa"/>
            <w:shd w:val="clear" w:color="auto" w:fill="D9D9D9" w:themeFill="background1" w:themeFillShade="D9"/>
          </w:tcPr>
          <w:p w:rsidR="0004070A" w:rsidRDefault="0004070A" w:rsidP="0004070A">
            <w:pPr>
              <w:pStyle w:val="11-"/>
              <w:spacing w:before="72" w:after="108"/>
              <w:rPr>
                <w:b/>
                <w:lang w:eastAsia="zh-TW"/>
              </w:rPr>
            </w:pPr>
            <w:bookmarkStart w:id="632" w:name="_Toc531362508"/>
            <w:bookmarkStart w:id="633" w:name="_Toc535228415"/>
            <w:bookmarkStart w:id="634" w:name="_Toc4058826"/>
            <w:r w:rsidRPr="00AC77DF">
              <w:t>事業廢棄物綜合處理中心設立爭議案</w:t>
            </w:r>
            <w:bookmarkEnd w:id="632"/>
            <w:bookmarkEnd w:id="633"/>
            <w:bookmarkEnd w:id="634"/>
          </w:p>
        </w:tc>
      </w:tr>
    </w:tbl>
    <w:p w:rsidR="0004070A" w:rsidRPr="00AC77DF" w:rsidRDefault="0004070A" w:rsidP="0004070A">
      <w:pPr>
        <w:pStyle w:val="1---"/>
        <w:ind w:firstLine="480"/>
      </w:pPr>
    </w:p>
    <w:tbl>
      <w:tblPr>
        <w:tblW w:w="475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tblGrid>
      <w:tr w:rsidR="003807A5" w:rsidRPr="00AC77DF" w:rsidTr="00F37B8E">
        <w:tc>
          <w:tcPr>
            <w:tcW w:w="5000" w:type="pct"/>
            <w:shd w:val="clear" w:color="auto" w:fill="auto"/>
          </w:tcPr>
          <w:p w:rsidR="003807A5" w:rsidRPr="00AC77DF" w:rsidRDefault="003807A5" w:rsidP="0004070A">
            <w:pPr>
              <w:spacing w:line="360" w:lineRule="exact"/>
              <w:jc w:val="both"/>
              <w:rPr>
                <w:color w:val="000000"/>
                <w:szCs w:val="28"/>
                <w:lang w:val="x-none"/>
              </w:rPr>
            </w:pPr>
            <w:r w:rsidRPr="00AC77DF">
              <w:rPr>
                <w:b/>
                <w:color w:val="000000"/>
                <w:szCs w:val="28"/>
                <w:lang w:val="x-none"/>
              </w:rPr>
              <w:t>相關國際人權公約：</w:t>
            </w:r>
            <w:r w:rsidRPr="00AC77DF">
              <w:t>世界人權宣言第</w:t>
            </w:r>
            <w:r w:rsidRPr="00AC77DF">
              <w:t>3</w:t>
            </w:r>
            <w:r w:rsidRPr="00AC77DF">
              <w:t>條；人類環境宣言之共同信念第</w:t>
            </w:r>
            <w:r w:rsidRPr="00AC77DF">
              <w:t>1</w:t>
            </w:r>
            <w:r w:rsidRPr="00AC77DF">
              <w:t>條、第</w:t>
            </w:r>
            <w:r w:rsidRPr="00AC77DF">
              <w:t>2</w:t>
            </w:r>
            <w:r w:rsidRPr="00AC77DF">
              <w:t>條；經濟社會及文化權利國際公約第</w:t>
            </w:r>
            <w:r w:rsidRPr="00AC77DF">
              <w:t>11</w:t>
            </w:r>
            <w:r w:rsidRPr="00AC77DF">
              <w:t>條第</w:t>
            </w:r>
            <w:r w:rsidRPr="00AC77DF">
              <w:t>1</w:t>
            </w:r>
            <w:r w:rsidRPr="00AC77DF">
              <w:t>款</w:t>
            </w:r>
          </w:p>
          <w:p w:rsidR="003807A5" w:rsidRPr="00AC77DF" w:rsidRDefault="003807A5" w:rsidP="0004070A">
            <w:pPr>
              <w:spacing w:line="360" w:lineRule="exact"/>
              <w:jc w:val="both"/>
              <w:rPr>
                <w:b/>
              </w:rPr>
            </w:pPr>
            <w:r w:rsidRPr="00AC77DF">
              <w:rPr>
                <w:b/>
              </w:rPr>
              <w:t>世界人權宣言第</w:t>
            </w:r>
            <w:r w:rsidRPr="00AC77DF">
              <w:rPr>
                <w:b/>
              </w:rPr>
              <w:t>3</w:t>
            </w:r>
            <w:r w:rsidRPr="00AC77DF">
              <w:rPr>
                <w:b/>
              </w:rPr>
              <w:t>條</w:t>
            </w:r>
          </w:p>
          <w:p w:rsidR="003807A5" w:rsidRPr="00AC77DF" w:rsidRDefault="003807A5" w:rsidP="0004070A">
            <w:pPr>
              <w:spacing w:line="360" w:lineRule="exact"/>
              <w:jc w:val="both"/>
            </w:pPr>
            <w:r w:rsidRPr="00AC77DF">
              <w:t>人人有權享有生命、自由與人身安全。</w:t>
            </w:r>
          </w:p>
          <w:p w:rsidR="003807A5" w:rsidRPr="00AC77DF" w:rsidRDefault="003807A5" w:rsidP="0004070A">
            <w:pPr>
              <w:spacing w:line="360" w:lineRule="exact"/>
              <w:jc w:val="both"/>
              <w:rPr>
                <w:b/>
              </w:rPr>
            </w:pPr>
            <w:r w:rsidRPr="00AC77DF">
              <w:rPr>
                <w:b/>
              </w:rPr>
              <w:lastRenderedPageBreak/>
              <w:t>人類環境宣言之共同信念第</w:t>
            </w:r>
            <w:r w:rsidRPr="00AC77DF">
              <w:rPr>
                <w:b/>
              </w:rPr>
              <w:t>1</w:t>
            </w:r>
            <w:r w:rsidRPr="00AC77DF">
              <w:rPr>
                <w:b/>
              </w:rPr>
              <w:t>條</w:t>
            </w:r>
          </w:p>
          <w:p w:rsidR="003807A5" w:rsidRPr="00AC77DF" w:rsidRDefault="003807A5" w:rsidP="00170436">
            <w:pPr>
              <w:kinsoku w:val="0"/>
              <w:spacing w:line="360" w:lineRule="exact"/>
              <w:jc w:val="both"/>
            </w:pPr>
            <w:r w:rsidRPr="00AC77DF">
              <w:t>人類有權在一種能夠過着尊嚴和福利的生活的環境中，享有自由、平等和充足的生活條件的基本權利，並且負有保護和改善這一代和將來的世世代代的環境的莊嚴責任。在這方面，促進或維護種族隔離、種族分離與歧視、殖民主義和其它形式的壓迫及外國統治的政策，應該受到譴責和必須消除。</w:t>
            </w:r>
            <w:r w:rsidRPr="00AC77DF">
              <w:t xml:space="preserve"> </w:t>
            </w:r>
          </w:p>
          <w:p w:rsidR="003807A5" w:rsidRPr="00AC77DF" w:rsidRDefault="003807A5" w:rsidP="0004070A">
            <w:pPr>
              <w:spacing w:line="360" w:lineRule="exact"/>
              <w:jc w:val="both"/>
            </w:pPr>
            <w:r w:rsidRPr="00AC77DF">
              <w:rPr>
                <w:b/>
              </w:rPr>
              <w:t>人類環境宣言之共同信念第</w:t>
            </w:r>
            <w:r w:rsidRPr="00AC77DF">
              <w:rPr>
                <w:b/>
              </w:rPr>
              <w:t>2</w:t>
            </w:r>
            <w:r w:rsidRPr="00AC77DF">
              <w:rPr>
                <w:b/>
              </w:rPr>
              <w:t>條</w:t>
            </w:r>
          </w:p>
          <w:p w:rsidR="003807A5" w:rsidRPr="00AC77DF" w:rsidRDefault="003807A5" w:rsidP="0004070A">
            <w:pPr>
              <w:spacing w:line="360" w:lineRule="exact"/>
              <w:jc w:val="both"/>
              <w:rPr>
                <w:b/>
              </w:rPr>
            </w:pPr>
            <w:r w:rsidRPr="00AC77DF">
              <w:t>為了這一代和將來的世世代代的利益，地球上的自然資源，其中包括空氣、水、土地、植物和動物，特別是自然生態類中具有代表性的標本，必須通過周密計劃或適當管理加以保護。</w:t>
            </w:r>
          </w:p>
          <w:p w:rsidR="003807A5" w:rsidRPr="00AC77DF" w:rsidRDefault="003807A5" w:rsidP="0004070A">
            <w:pPr>
              <w:spacing w:line="360" w:lineRule="exact"/>
              <w:jc w:val="both"/>
              <w:rPr>
                <w:b/>
                <w:color w:val="000000"/>
                <w:szCs w:val="28"/>
                <w:lang w:val="x-none"/>
              </w:rPr>
            </w:pPr>
            <w:r w:rsidRPr="00AC77DF">
              <w:rPr>
                <w:b/>
              </w:rPr>
              <w:t>經濟社會文化權利國際公約第</w:t>
            </w:r>
            <w:r w:rsidRPr="00AC77DF">
              <w:rPr>
                <w:b/>
              </w:rPr>
              <w:t>11</w:t>
            </w:r>
            <w:r w:rsidRPr="00AC77DF">
              <w:rPr>
                <w:b/>
              </w:rPr>
              <w:t>條</w:t>
            </w:r>
          </w:p>
          <w:p w:rsidR="003807A5" w:rsidRPr="00AC77DF" w:rsidRDefault="003807A5" w:rsidP="00170436">
            <w:pPr>
              <w:kinsoku w:val="0"/>
              <w:spacing w:line="360" w:lineRule="exact"/>
              <w:ind w:left="480" w:hangingChars="200" w:hanging="480"/>
              <w:jc w:val="both"/>
              <w:rPr>
                <w:color w:val="000000"/>
                <w:szCs w:val="28"/>
                <w:lang w:val="x-none"/>
              </w:rPr>
            </w:pPr>
            <w:r w:rsidRPr="00AC77DF">
              <w:rPr>
                <w:color w:val="000000"/>
                <w:szCs w:val="28"/>
                <w:lang w:val="x-none"/>
              </w:rPr>
              <w:t>一、本公約締約國確認人人有權享受其本人及家屬所需之適當生活程度，包括適當之衣食住及不斷改善之生活環境。締約國將採取適當步驟確保此種權利之實現，同時確認在此方面基於自由同意之國際合作極為重要。</w:t>
            </w:r>
          </w:p>
          <w:p w:rsidR="003807A5" w:rsidRPr="00AC77DF" w:rsidRDefault="003807A5" w:rsidP="00170436">
            <w:pPr>
              <w:spacing w:line="360" w:lineRule="exact"/>
              <w:ind w:left="480" w:hangingChars="200" w:hanging="480"/>
              <w:jc w:val="both"/>
              <w:rPr>
                <w:color w:val="000000"/>
                <w:szCs w:val="28"/>
                <w:lang w:val="x-none"/>
              </w:rPr>
            </w:pPr>
            <w:r w:rsidRPr="00AC77DF">
              <w:rPr>
                <w:color w:val="000000"/>
                <w:szCs w:val="28"/>
                <w:lang w:val="x-none"/>
              </w:rPr>
              <w:t>二、本公約締約國既確認人人有免受饑餓之基本權利，應個別及經由國際合作，採取為下列目的所需之措施，包括特定方案在內：</w:t>
            </w:r>
          </w:p>
          <w:p w:rsidR="003807A5" w:rsidRPr="00AC77DF" w:rsidRDefault="00170436" w:rsidP="00170436">
            <w:pPr>
              <w:spacing w:line="360" w:lineRule="exact"/>
              <w:ind w:left="910" w:hangingChars="379" w:hanging="910"/>
              <w:jc w:val="both"/>
              <w:rPr>
                <w:color w:val="000000"/>
                <w:szCs w:val="28"/>
                <w:lang w:val="x-none"/>
              </w:rPr>
            </w:pPr>
            <w:r>
              <w:rPr>
                <w:rFonts w:hint="eastAsia"/>
                <w:color w:val="000000"/>
                <w:szCs w:val="28"/>
                <w:lang w:val="x-none"/>
              </w:rPr>
              <w:t xml:space="preserve">　　</w:t>
            </w:r>
            <w:r>
              <w:rPr>
                <w:rFonts w:hint="eastAsia"/>
                <w:color w:val="000000"/>
                <w:szCs w:val="28"/>
                <w:lang w:val="x-none"/>
              </w:rPr>
              <w:t>(</w:t>
            </w:r>
            <w:r w:rsidR="003807A5" w:rsidRPr="00AC77DF">
              <w:rPr>
                <w:color w:val="000000"/>
                <w:szCs w:val="28"/>
                <w:lang w:val="x-none"/>
              </w:rPr>
              <w:t>一</w:t>
            </w:r>
            <w:r>
              <w:rPr>
                <w:rFonts w:hint="eastAsia"/>
                <w:color w:val="000000"/>
                <w:szCs w:val="28"/>
                <w:lang w:val="x-none"/>
              </w:rPr>
              <w:t>)</w:t>
            </w:r>
            <w:r w:rsidR="003807A5" w:rsidRPr="00AC77DF">
              <w:rPr>
                <w:color w:val="000000"/>
                <w:szCs w:val="28"/>
                <w:lang w:val="x-none"/>
              </w:rPr>
              <w:t>充分利用技術與科學知識、傳佈營養原則之知識、</w:t>
            </w:r>
            <w:r w:rsidR="003807A5" w:rsidRPr="00FB5C8B">
              <w:rPr>
                <w:color w:val="000000"/>
                <w:spacing w:val="-4"/>
                <w:szCs w:val="28"/>
                <w:lang w:val="x-none"/>
              </w:rPr>
              <w:t>及發展或改革土地制度而使天然資源獲得最有效之開發與利用，以改進糧食生產、保貯及分配之方法；</w:t>
            </w:r>
          </w:p>
          <w:p w:rsidR="003807A5" w:rsidRPr="00AC77DF" w:rsidRDefault="00170436" w:rsidP="00C33190">
            <w:pPr>
              <w:spacing w:afterLines="20" w:after="72" w:line="360" w:lineRule="exact"/>
              <w:ind w:left="910" w:hangingChars="379" w:hanging="910"/>
              <w:jc w:val="both"/>
            </w:pPr>
            <w:r>
              <w:rPr>
                <w:rFonts w:hint="eastAsia"/>
                <w:color w:val="000000"/>
                <w:szCs w:val="28"/>
                <w:lang w:val="x-none"/>
              </w:rPr>
              <w:t xml:space="preserve">　　</w:t>
            </w:r>
            <w:r>
              <w:rPr>
                <w:rFonts w:hint="eastAsia"/>
                <w:color w:val="000000"/>
                <w:szCs w:val="28"/>
                <w:lang w:val="x-none"/>
              </w:rPr>
              <w:t>(</w:t>
            </w:r>
            <w:r w:rsidR="003807A5" w:rsidRPr="00AC77DF">
              <w:rPr>
                <w:color w:val="000000"/>
                <w:szCs w:val="28"/>
                <w:lang w:val="x-none"/>
              </w:rPr>
              <w:t>二</w:t>
            </w:r>
            <w:r>
              <w:rPr>
                <w:rFonts w:hint="eastAsia"/>
                <w:color w:val="000000"/>
                <w:szCs w:val="28"/>
                <w:lang w:val="x-none"/>
              </w:rPr>
              <w:t>)</w:t>
            </w:r>
            <w:r w:rsidR="003807A5" w:rsidRPr="00AC77DF">
              <w:rPr>
                <w:color w:val="000000"/>
                <w:szCs w:val="28"/>
                <w:lang w:val="x-none"/>
              </w:rPr>
              <w:t>計及糧食輸入及輸出國家雙方問題，確保世界糧食供應按照需要，公平分配。</w:t>
            </w:r>
          </w:p>
        </w:tc>
      </w:tr>
    </w:tbl>
    <w:p w:rsidR="003807A5" w:rsidRPr="00AC77DF" w:rsidRDefault="00886510" w:rsidP="000B692A">
      <w:pPr>
        <w:pStyle w:val="afff1"/>
        <w:spacing w:before="360" w:after="360"/>
      </w:pPr>
      <w:bookmarkStart w:id="635" w:name="_Toc531362509"/>
      <w:r>
        <w:rPr>
          <w:rFonts w:hint="eastAsia"/>
        </w:rPr>
        <w:lastRenderedPageBreak/>
        <w:t>(一)</w:t>
      </w:r>
      <w:r w:rsidR="003807A5" w:rsidRPr="00AC77DF">
        <w:rPr>
          <w:noProof/>
        </w:rPr>
        <mc:AlternateContent>
          <mc:Choice Requires="wps">
            <w:drawing>
              <wp:anchor distT="0" distB="0" distL="114300" distR="114300" simplePos="0" relativeHeight="251889664" behindDoc="0" locked="1" layoutInCell="1" allowOverlap="1" wp14:anchorId="229480CB" wp14:editId="361DAE82">
                <wp:simplePos x="0" y="0"/>
                <wp:positionH relativeFrom="column">
                  <wp:posOffset>7989570</wp:posOffset>
                </wp:positionH>
                <wp:positionV relativeFrom="paragraph">
                  <wp:posOffset>-773430</wp:posOffset>
                </wp:positionV>
                <wp:extent cx="635000" cy="317500"/>
                <wp:effectExtent l="0" t="0" r="0" b="0"/>
                <wp:wrapNone/>
                <wp:docPr id="31" name="記錄"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832" w:rsidRDefault="00970832" w:rsidP="00435D8C">
                            <w:pPr>
                              <w:jc w:val="center"/>
                              <w:rPr>
                                <w:sz w:val="18"/>
                              </w:rPr>
                            </w:pPr>
                            <w:r>
                              <w:rPr>
                                <w:sz w:val="18"/>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7" type="#_x0000_t202" style="position:absolute;left:0;text-align:left;margin-left:629.1pt;margin-top:-60.9pt;width:50pt;height:25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" stroked="f">
                <v:textbox>
                  <w:txbxContent>
                    <w:p w:rsidR="00895792" w:rsidRDefault="00895792" w:rsidP="00435D8C">
                      <w:pPr>
                        <w:jc w:val="center"/>
                        <w:rPr>
                          <w:sz w:val="18"/>
                        </w:rPr>
                      </w:pPr>
                      <w:r>
                        <w:rPr>
                          <w:sz w:val="18"/>
                        </w:rPr>
                        <w:t>00</w:t>
                      </w:r>
                    </w:p>
                  </w:txbxContent>
                </v:textbox>
                <w10:anchorlock/>
              </v:shape>
            </w:pict>
          </mc:Fallback>
        </mc:AlternateContent>
      </w:r>
      <w:r w:rsidR="003807A5" w:rsidRPr="00AC77DF">
        <w:rPr>
          <w:noProof/>
        </w:rPr>
        <mc:AlternateContent>
          <mc:Choice Requires="wpg">
            <w:drawing>
              <wp:anchor distT="0" distB="0" distL="114300" distR="114300" simplePos="0" relativeHeight="251888640" behindDoc="0" locked="1" layoutInCell="0" allowOverlap="1" wp14:anchorId="2BBC84FF" wp14:editId="7A470752">
                <wp:simplePos x="0" y="0"/>
                <wp:positionH relativeFrom="column">
                  <wp:posOffset>-1132205</wp:posOffset>
                </wp:positionH>
                <wp:positionV relativeFrom="paragraph">
                  <wp:posOffset>-2540</wp:posOffset>
                </wp:positionV>
                <wp:extent cx="149225" cy="8839200"/>
                <wp:effectExtent l="0" t="0" r="3175" b="19050"/>
                <wp:wrapNone/>
                <wp:docPr id="32" name="裝訂線"/>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39200"/>
                          <a:chOff x="745" y="1414"/>
                          <a:chExt cx="235" cy="13920"/>
                        </a:xfrm>
                      </wpg:grpSpPr>
                      <wps:wsp>
                        <wps:cNvPr id="33" name="Line 13"/>
                        <wps:cNvCnPr/>
                        <wps:spPr bwMode="auto">
                          <a:xfrm>
                            <a:off x="851" y="1414"/>
                            <a:ext cx="0" cy="139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 name="Text Box 14"/>
                        <wps:cNvSpPr txBox="1">
                          <a:spLocks noChangeArrowheads="1"/>
                        </wps:cNvSpPr>
                        <wps:spPr bwMode="auto">
                          <a:xfrm>
                            <a:off x="745" y="5523"/>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435D8C">
                              <w:pPr>
                                <w:kinsoku w:val="0"/>
                                <w:wordWrap w:val="0"/>
                                <w:overflowPunct w:val="0"/>
                                <w:rPr>
                                  <w:sz w:val="20"/>
                                </w:rPr>
                              </w:pPr>
                              <w:r>
                                <w:rPr>
                                  <w:rFonts w:hint="eastAsia"/>
                                  <w:sz w:val="20"/>
                                </w:rPr>
                                <w:t>裝</w:t>
                              </w:r>
                            </w:p>
                          </w:txbxContent>
                        </wps:txbx>
                        <wps:bodyPr rot="0" vert="horz" wrap="square" lIns="0" tIns="0" rIns="0" bIns="0" anchor="t" anchorCtr="0" upright="1">
                          <a:noAutofit/>
                        </wps:bodyPr>
                      </wps:wsp>
                      <wps:wsp>
                        <wps:cNvPr id="35" name="Text Box 15"/>
                        <wps:cNvSpPr txBox="1">
                          <a:spLocks noChangeArrowheads="1"/>
                        </wps:cNvSpPr>
                        <wps:spPr bwMode="auto">
                          <a:xfrm>
                            <a:off x="745" y="8312"/>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435D8C">
                              <w:pPr>
                                <w:kinsoku w:val="0"/>
                                <w:wordWrap w:val="0"/>
                                <w:overflowPunct w:val="0"/>
                                <w:rPr>
                                  <w:sz w:val="20"/>
                                </w:rPr>
                              </w:pPr>
                              <w:r>
                                <w:rPr>
                                  <w:rFonts w:hint="eastAsia"/>
                                  <w:sz w:val="20"/>
                                </w:rPr>
                                <w:t>訂</w:t>
                              </w:r>
                            </w:p>
                          </w:txbxContent>
                        </wps:txbx>
                        <wps:bodyPr rot="0" vert="horz" wrap="square" lIns="0" tIns="0" rIns="0" bIns="0" anchor="t" anchorCtr="0" upright="1">
                          <a:noAutofit/>
                        </wps:bodyPr>
                      </wps:wsp>
                      <wps:wsp>
                        <wps:cNvPr id="36" name="Text Box 16"/>
                        <wps:cNvSpPr txBox="1">
                          <a:spLocks noChangeArrowheads="1"/>
                        </wps:cNvSpPr>
                        <wps:spPr bwMode="auto">
                          <a:xfrm>
                            <a:off x="745" y="11127"/>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435D8C">
                              <w:pPr>
                                <w:kinsoku w:val="0"/>
                                <w:wordWrap w:val="0"/>
                                <w:overflowPunct w:val="0"/>
                                <w:rPr>
                                  <w:sz w:val="20"/>
                                </w:rPr>
                              </w:pPr>
                              <w:r>
                                <w:rPr>
                                  <w:rFonts w:hint="eastAsia"/>
                                  <w:sz w:val="20"/>
                                </w:rPr>
                                <w:t>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38" style="position:absolute;left:0;text-align:left;margin-left:-89.15pt;margin-top:-.2pt;width:11.75pt;height:696pt;z-index:251888640" coordorigin="745,1414" coordsize="235,1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" o:allowincell="f">
                <v:line id="Line 13" o:spid="_x0000_s1139" style="position:absolute;visibility:visible;mso-wrap-style:square" from="851,1414" to="851,1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Dw8QAAADbAAAADwAAAGRycy9kb3ducmV2LnhtbESPQWsCMRSE70L/Q3iF3jTbCrXdGsUK&#10;gm314Krg8bF5Joubl2WT6vbfN4LgcZiZb5jxtHO1OFMbKs8KngcZCOLS64qNgt120X8DESKyxtoz&#10;KfijANPJQ2+MufYX3tC5iEYkCIccFdgYm1zKUFpyGAa+IU7e0bcOY5KtkbrFS4K7Wr5k2at0WHFa&#10;sNjQ3FJ5Kn6dgp/Rst4bPhSrr2P49O/fG7k2Vqmnx272ASJSF+/hW3upFQyHcP2SfoC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IPDxAAAANsAAAAPAAAAAAAAAAAA&#10;AAAAAKECAABkcnMvZG93bnJldi54bWxQSwUGAAAAAAQABAD5AAAAkgMAAAAA&#10;">
                  <v:stroke dashstyle="1 1"/>
                </v:line>
                <v:shape id="Text Box 14" o:spid="_x0000_s1140" type="#_x0000_t202" style="position:absolute;left:745;top:5523;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d1sUA&#10;AADbAAAADwAAAGRycy9kb3ducmV2LnhtbESPQWvCQBSE7wX/w/IEb7pRG5E0q7Si1IoXbSg5PrKv&#10;STD7NmS3mv57tyD0OMzMN0y67k0jrtS52rKC6SQCQVxYXXOpIPvcjZcgnEfW2FgmBb/kYL0aPKWY&#10;aHvjE13PvhQBwi5BBZX3bSKlKyoy6Ca2JQ7et+0M+iC7UuoObwFuGjmLooU0WHNYqLClTUXF5fxj&#10;FHzoL/kWZ9GpyHP9vt0d42x2iJUaDfvXFxCeev8ffrT3WsH8Gf6+h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53WxQAAANsAAAAPAAAAAAAAAAAAAAAAAJgCAABkcnMv&#10;ZG93bnJldi54bWxQSwUGAAAAAAQABAD1AAAAigMAAAAA&#10;" filled="f" stroked="f">
                  <v:stroke dashstyle="1 1"/>
                  <v:textbox inset="0,0,0,0">
                    <w:txbxContent>
                      <w:p w:rsidR="00895792" w:rsidRDefault="00895792" w:rsidP="00435D8C">
                        <w:pPr>
                          <w:kinsoku w:val="0"/>
                          <w:wordWrap w:val="0"/>
                          <w:overflowPunct w:val="0"/>
                          <w:rPr>
                            <w:sz w:val="20"/>
                          </w:rPr>
                        </w:pPr>
                        <w:r>
                          <w:rPr>
                            <w:rFonts w:hint="eastAsia"/>
                            <w:sz w:val="20"/>
                          </w:rPr>
                          <w:t>裝</w:t>
                        </w:r>
                      </w:p>
                    </w:txbxContent>
                  </v:textbox>
                </v:shape>
                <v:shape id="Text Box 15" o:spid="_x0000_s1141" type="#_x0000_t202" style="position:absolute;left:745;top:8312;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M4TcMA&#10;AADbAAAADwAAAGRycy9kb3ducmV2LnhtbESPQYvCMBSE7wv+h/AEb5rq0kWqUVRWdl28qEU8Pppn&#10;W2xeShO1/nsjCHscZuYbZjpvTSVu1LjSsoLhIAJBnFldcq4gPaz7YxDOI2usLJOCBzmYzzofU0y0&#10;vfOObnufiwBhl6CCwvs6kdJlBRl0A1sTB+9sG4M+yCaXusF7gJtKjqLoSxosOSwUWNOqoOyyvxoF&#10;G32UyziNdtnppH++19s4Hf3FSvW67WICwlPr/8Pv9q9W8BnD60v4A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M4TcMAAADbAAAADwAAAAAAAAAAAAAAAACYAgAAZHJzL2Rv&#10;d25yZXYueG1sUEsFBgAAAAAEAAQA9QAAAIgDAAAAAA==&#10;" filled="f" stroked="f">
                  <v:stroke dashstyle="1 1"/>
                  <v:textbox inset="0,0,0,0">
                    <w:txbxContent>
                      <w:p w:rsidR="00895792" w:rsidRDefault="00895792" w:rsidP="00435D8C">
                        <w:pPr>
                          <w:kinsoku w:val="0"/>
                          <w:wordWrap w:val="0"/>
                          <w:overflowPunct w:val="0"/>
                          <w:rPr>
                            <w:sz w:val="20"/>
                          </w:rPr>
                        </w:pPr>
                        <w:r>
                          <w:rPr>
                            <w:rFonts w:hint="eastAsia"/>
                            <w:sz w:val="20"/>
                          </w:rPr>
                          <w:t>訂</w:t>
                        </w:r>
                      </w:p>
                    </w:txbxContent>
                  </v:textbox>
                </v:shape>
                <v:shape id="Text Box 16" o:spid="_x0000_s1142" type="#_x0000_t202" style="position:absolute;left:745;top:11127;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GmOsMA&#10;AADbAAAADwAAAGRycy9kb3ducmV2LnhtbESPQYvCMBSE74L/ITzBm6YqFalG0WVl18WLWsTjo3m2&#10;xealNFnt/nuzIHgcZuYbZrFqTSXu1LjSsoLRMAJBnFldcq4gPW0HMxDOI2usLJOCP3KwWnY7C0y0&#10;ffCB7kefiwBhl6CCwvs6kdJlBRl0Q1sTB+9qG4M+yCaXusFHgJtKjqNoKg2WHBYKrOmjoOx2/DUK&#10;dvosN3EaHbLLRX99bvdxOv6Jler32vUchKfWv8Ov9rdWMJnC/5fw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GmOsMAAADbAAAADwAAAAAAAAAAAAAAAACYAgAAZHJzL2Rv&#10;d25yZXYueG1sUEsFBgAAAAAEAAQA9QAAAIgDAAAAAA==&#10;" filled="f" stroked="f">
                  <v:stroke dashstyle="1 1"/>
                  <v:textbox inset="0,0,0,0">
                    <w:txbxContent>
                      <w:p w:rsidR="00895792" w:rsidRDefault="00895792" w:rsidP="00435D8C">
                        <w:pPr>
                          <w:kinsoku w:val="0"/>
                          <w:wordWrap w:val="0"/>
                          <w:overflowPunct w:val="0"/>
                          <w:rPr>
                            <w:sz w:val="20"/>
                          </w:rPr>
                        </w:pPr>
                        <w:r>
                          <w:rPr>
                            <w:rFonts w:hint="eastAsia"/>
                            <w:sz w:val="20"/>
                          </w:rPr>
                          <w:t>線</w:t>
                        </w:r>
                      </w:p>
                    </w:txbxContent>
                  </v:textbox>
                </v:shape>
                <w10:anchorlock/>
              </v:group>
            </w:pict>
          </mc:Fallback>
        </mc:AlternateContent>
      </w:r>
      <w:r w:rsidR="003807A5" w:rsidRPr="00AC77DF">
        <w:rPr>
          <w:noProof/>
        </w:rPr>
        <mc:AlternateContent>
          <mc:Choice Requires="wps">
            <w:drawing>
              <wp:anchor distT="0" distB="0" distL="114300" distR="114300" simplePos="0" relativeHeight="251887616" behindDoc="0" locked="1" layoutInCell="0" allowOverlap="1" wp14:anchorId="11F0C915" wp14:editId="5D5EDA82">
                <wp:simplePos x="0" y="0"/>
                <wp:positionH relativeFrom="column">
                  <wp:posOffset>-609600</wp:posOffset>
                </wp:positionH>
                <wp:positionV relativeFrom="page">
                  <wp:posOffset>443230</wp:posOffset>
                </wp:positionV>
                <wp:extent cx="636905" cy="396240"/>
                <wp:effectExtent l="9525" t="5080" r="10795" b="8255"/>
                <wp:wrapNone/>
                <wp:docPr id="37" name="函正本"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832" w:rsidRDefault="00970832" w:rsidP="00435D8C">
                            <w:pPr>
                              <w:jc w:val="center"/>
                              <w:rPr>
                                <w:color w:val="000000"/>
                                <w:sz w:val="36"/>
                              </w:rPr>
                            </w:pPr>
                            <w:r>
                              <w:rPr>
                                <w:rFonts w:hint="eastAsia"/>
                                <w:color w:val="000000"/>
                                <w:sz w:val="36"/>
                              </w:rPr>
                              <w:t>正本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43" type="#_x0000_t202" style="position:absolute;left:0;text-align:left;margin-left:-48pt;margin-top:34.9pt;width:50.15pt;height:31.2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" o:allowincell="f" filled="f">
                <v:textbox inset=".5mm,,.5mm">
                  <w:txbxContent>
                    <w:p w:rsidR="00895792" w:rsidRDefault="00895792" w:rsidP="00435D8C">
                      <w:pPr>
                        <w:jc w:val="center"/>
                        <w:rPr>
                          <w:color w:val="000000"/>
                          <w:sz w:val="36"/>
                        </w:rPr>
                      </w:pPr>
                      <w:r>
                        <w:rPr>
                          <w:rFonts w:hint="eastAsia"/>
                          <w:color w:val="000000"/>
                          <w:sz w:val="36"/>
                        </w:rPr>
                        <w:t>正本</w:t>
                      </w:r>
                    </w:p>
                  </w:txbxContent>
                </v:textbox>
                <w10:wrap anchory="page"/>
                <w10:anchorlock/>
              </v:shape>
            </w:pict>
          </mc:Fallback>
        </mc:AlternateContent>
      </w:r>
      <w:r w:rsidR="003807A5" w:rsidRPr="00AC77DF">
        <w:rPr>
          <w:noProof/>
        </w:rPr>
        <mc:AlternateContent>
          <mc:Choice Requires="wps">
            <w:drawing>
              <wp:anchor distT="0" distB="0" distL="114300" distR="114300" simplePos="0" relativeHeight="251886592" behindDoc="0" locked="1" layoutInCell="0" allowOverlap="1" wp14:anchorId="1AF189B1" wp14:editId="3F3C0452">
                <wp:simplePos x="0" y="0"/>
                <wp:positionH relativeFrom="column">
                  <wp:posOffset>-609600</wp:posOffset>
                </wp:positionH>
                <wp:positionV relativeFrom="page">
                  <wp:posOffset>442595</wp:posOffset>
                </wp:positionV>
                <wp:extent cx="636905" cy="396240"/>
                <wp:effectExtent l="9525" t="13970" r="10795" b="8890"/>
                <wp:wrapNone/>
                <wp:docPr id="38" name="函副本"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832" w:rsidRDefault="00970832" w:rsidP="00435D8C">
                            <w:pPr>
                              <w:jc w:val="center"/>
                              <w:rPr>
                                <w:color w:val="000000"/>
                                <w:sz w:val="36"/>
                              </w:rPr>
                            </w:pPr>
                            <w:r>
                              <w:rPr>
                                <w:rFonts w:hint="eastAsia"/>
                                <w:color w:val="000000"/>
                                <w:sz w:val="36"/>
                              </w:rPr>
                              <w:t>副本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44" type="#_x0000_t202" style="position:absolute;left:0;text-align:left;margin-left:-48pt;margin-top:34.85pt;width:50.15pt;height:31.2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" o:allowincell="f" filled="f">
                <v:textbox inset=".5mm,,.5mm">
                  <w:txbxContent>
                    <w:p w:rsidR="00895792" w:rsidRDefault="00895792" w:rsidP="00435D8C">
                      <w:pPr>
                        <w:jc w:val="center"/>
                        <w:rPr>
                          <w:color w:val="000000"/>
                          <w:sz w:val="36"/>
                        </w:rPr>
                      </w:pPr>
                      <w:r>
                        <w:rPr>
                          <w:rFonts w:hint="eastAsia"/>
                          <w:color w:val="000000"/>
                          <w:sz w:val="36"/>
                        </w:rPr>
                        <w:t>副本</w:t>
                      </w:r>
                    </w:p>
                  </w:txbxContent>
                </v:textbox>
                <w10:wrap anchory="page"/>
                <w10:anchorlock/>
              </v:shape>
            </w:pict>
          </mc:Fallback>
        </mc:AlternateContent>
      </w:r>
      <w:r w:rsidR="003807A5" w:rsidRPr="00AC77DF">
        <w:rPr>
          <w:noProof/>
        </w:rPr>
        <mc:AlternateContent>
          <mc:Choice Requires="wps">
            <w:drawing>
              <wp:anchor distT="0" distB="0" distL="114300" distR="114300" simplePos="0" relativeHeight="251885568" behindDoc="0" locked="1" layoutInCell="0" allowOverlap="1" wp14:anchorId="7C7EA064" wp14:editId="20DC1E08">
                <wp:simplePos x="0" y="0"/>
                <wp:positionH relativeFrom="column">
                  <wp:posOffset>2819400</wp:posOffset>
                </wp:positionH>
                <wp:positionV relativeFrom="page">
                  <wp:posOffset>443230</wp:posOffset>
                </wp:positionV>
                <wp:extent cx="1440180" cy="360045"/>
                <wp:effectExtent l="9525" t="5080" r="7620" b="6350"/>
                <wp:wrapNone/>
                <wp:docPr id="39" name="首長大名"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970832" w:rsidRDefault="00970832" w:rsidP="00435D8C">
                            <w:r>
                              <w:rPr>
                                <w:rFonts w:hint="eastAsia"/>
                              </w:rPr>
                              <w:t>院長王○○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45" type="#_x0000_t202" style="position:absolute;left:0;text-align:left;margin-left:222pt;margin-top:34.9pt;width:113.4pt;height:28.35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" o:allowincell="f">
                <v:textbox>
                  <w:txbxContent>
                    <w:p w:rsidR="00895792" w:rsidRDefault="00895792" w:rsidP="00435D8C">
                      <w:r>
                        <w:rPr>
                          <w:rFonts w:hint="eastAsia"/>
                        </w:rPr>
                        <w:t>院長王○○</w:t>
                      </w:r>
                    </w:p>
                  </w:txbxContent>
                </v:textbox>
                <w10:wrap anchory="page"/>
                <w10:anchorlock/>
              </v:shape>
            </w:pict>
          </mc:Fallback>
        </mc:AlternateContent>
      </w:r>
      <w:r w:rsidR="003807A5" w:rsidRPr="00AC77DF">
        <w:rPr>
          <w:noProof/>
        </w:rPr>
        <mc:AlternateContent>
          <mc:Choice Requires="wps">
            <w:drawing>
              <wp:anchor distT="0" distB="0" distL="114300" distR="114300" simplePos="0" relativeHeight="251884544" behindDoc="0" locked="1" layoutInCell="0" allowOverlap="1" wp14:anchorId="3778DC91" wp14:editId="32B28157">
                <wp:simplePos x="0" y="0"/>
                <wp:positionH relativeFrom="column">
                  <wp:posOffset>1381125</wp:posOffset>
                </wp:positionH>
                <wp:positionV relativeFrom="page">
                  <wp:posOffset>443230</wp:posOffset>
                </wp:positionV>
                <wp:extent cx="1440180" cy="360045"/>
                <wp:effectExtent l="9525" t="5080" r="7620" b="6350"/>
                <wp:wrapNone/>
                <wp:docPr id="40" name="文別"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970832" w:rsidRDefault="00970832" w:rsidP="00435D8C">
                            <w:pPr>
                              <w:rPr>
                                <w:rFonts w:ascii="標楷體"/>
                              </w:rPr>
                            </w:pPr>
                            <w:r>
                              <w:rPr>
                                <w:rFonts w:ascii="標楷體" w:hint="eastAsia"/>
                              </w:rPr>
                              <w:t>函;函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46" type="#_x0000_t202" style="position:absolute;left:0;text-align:left;margin-left:108.75pt;margin-top:34.9pt;width:113.4pt;height:28.35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" o:allowincell="f">
                <v:textbox>
                  <w:txbxContent>
                    <w:p w:rsidR="00895792" w:rsidRDefault="00895792" w:rsidP="00435D8C">
                      <w:pPr>
                        <w:rPr>
                          <w:rFonts w:ascii="標楷體"/>
                        </w:rPr>
                      </w:pPr>
                      <w:r>
                        <w:rPr>
                          <w:rFonts w:ascii="標楷體" w:hint="eastAsia"/>
                        </w:rPr>
                        <w:t>函;函</w:t>
                      </w:r>
                    </w:p>
                  </w:txbxContent>
                </v:textbox>
                <w10:wrap anchory="page"/>
                <w10:anchorlock/>
              </v:shape>
            </w:pict>
          </mc:Fallback>
        </mc:AlternateContent>
      </w:r>
      <w:r w:rsidR="003807A5" w:rsidRPr="00AC77DF">
        <w:t>案情簡述</w:t>
      </w:r>
      <w:bookmarkEnd w:id="635"/>
    </w:p>
    <w:p w:rsidR="003807A5" w:rsidRPr="00AC77DF" w:rsidRDefault="003807A5" w:rsidP="00234F21">
      <w:pPr>
        <w:pStyle w:val="1---"/>
        <w:ind w:firstLine="480"/>
        <w:rPr>
          <w:b/>
        </w:rPr>
      </w:pPr>
      <w:r w:rsidRPr="00AC77DF">
        <w:t>本案係據民眾陳訴，退輔會所屬龍崎工廠事業廢棄物區，係以彈藥廠為使用目的徵收水源保育地，嗣該會以資產作價方式與台灣歐多貝斯股份有限公司共同成立歐欣環保股份有限公司，欲設置廢棄物掩埋場，涉有不當。監察院國防及情報委員會認有深入瞭解之必要，爰決議調查。</w:t>
      </w:r>
    </w:p>
    <w:p w:rsidR="003807A5" w:rsidRPr="00AC77DF" w:rsidRDefault="00886510" w:rsidP="000B692A">
      <w:pPr>
        <w:pStyle w:val="afff1"/>
        <w:spacing w:before="360" w:after="360"/>
      </w:pPr>
      <w:bookmarkStart w:id="636" w:name="_Toc531362510"/>
      <w:r>
        <w:rPr>
          <w:rFonts w:hint="eastAsia"/>
        </w:rPr>
        <w:t>(二)</w:t>
      </w:r>
      <w:r w:rsidR="003807A5" w:rsidRPr="00AC77DF">
        <w:t>監察院調查發現與建議</w:t>
      </w:r>
      <w:bookmarkEnd w:id="636"/>
    </w:p>
    <w:p w:rsidR="003807A5" w:rsidRPr="00AC77DF" w:rsidRDefault="00287E7B" w:rsidP="00564517">
      <w:pPr>
        <w:pStyle w:val="1--13"/>
        <w:spacing w:before="180" w:after="180"/>
      </w:pPr>
      <w:r w:rsidRPr="008E1832">
        <w:rPr>
          <w:rFonts w:hint="eastAsia"/>
        </w:rPr>
        <w:t>˙</w:t>
      </w:r>
      <w:r w:rsidR="003807A5" w:rsidRPr="00AC77DF">
        <w:t>以公正專業之第三方立場釐清爭議</w:t>
      </w:r>
    </w:p>
    <w:p w:rsidR="00170436" w:rsidRPr="00AC77DF" w:rsidRDefault="003807A5" w:rsidP="00234F21">
      <w:pPr>
        <w:pStyle w:val="1---"/>
        <w:ind w:firstLine="480"/>
        <w:rPr>
          <w:b/>
          <w:lang w:eastAsia="zh-TW"/>
        </w:rPr>
      </w:pPr>
      <w:r w:rsidRPr="00AC77DF">
        <w:t>南區（龍崎廠）事業廢棄物綜合處理中心雖已通過環評審查，然當地居民及相關環保團體仍認有地質敏感、污染水源、破壞惡地地景等疑慮。行政院爰同意在未取得共識前，不做進一步推動，嗣要求其開發須以確定龍船斷層對該掩埋場無影響為前提，並請經濟部中央地質調查所儘速會同專家學者就斷層等問題進行專案調查確認。惟中央各權責、目的事業主管機關遲遲未與地方反對民眾當面協調，容任延宕多年沒有共識；又行政院原屬意邀請之教授雖婉拒參與專案調查，惟為避免正反意見膠著，仍應儘速邀請相關專家學者，以公正專業之第三方立場及科學證據，釐清爭議。</w:t>
      </w:r>
    </w:p>
    <w:p w:rsidR="003807A5" w:rsidRPr="00AC77DF" w:rsidRDefault="00287E7B" w:rsidP="00564517">
      <w:pPr>
        <w:pStyle w:val="1--13"/>
        <w:spacing w:before="180" w:after="180"/>
      </w:pPr>
      <w:r w:rsidRPr="008E1832">
        <w:rPr>
          <w:rFonts w:hint="eastAsia"/>
        </w:rPr>
        <w:t>˙</w:t>
      </w:r>
      <w:r w:rsidR="00282C23">
        <w:t>營</w:t>
      </w:r>
      <w:r w:rsidR="00282C23">
        <w:rPr>
          <w:rFonts w:hint="eastAsia"/>
        </w:rPr>
        <w:t>運前</w:t>
      </w:r>
      <w:r w:rsidR="003807A5" w:rsidRPr="00AC77DF">
        <w:t>已鉅額虧損</w:t>
      </w:r>
    </w:p>
    <w:p w:rsidR="003807A5" w:rsidRPr="00AC77DF" w:rsidRDefault="003807A5" w:rsidP="00234F21">
      <w:pPr>
        <w:pStyle w:val="1---"/>
        <w:ind w:firstLine="480"/>
        <w:rPr>
          <w:b/>
        </w:rPr>
      </w:pPr>
      <w:r w:rsidRPr="00AC77DF">
        <w:t>歐欣環保公司自</w:t>
      </w:r>
      <w:r w:rsidRPr="00AC77DF">
        <w:t>95</w:t>
      </w:r>
      <w:r w:rsidRPr="00AC77DF">
        <w:t>年</w:t>
      </w:r>
      <w:r w:rsidRPr="00AC77DF">
        <w:t>7</w:t>
      </w:r>
      <w:r w:rsidRPr="00AC77DF">
        <w:t>月成立以來，尚未開始營運，未有</w:t>
      </w:r>
      <w:r w:rsidRPr="00AC77DF">
        <w:lastRenderedPageBreak/>
        <w:t>營運收入，卻以持續負擔相關「前置作業開辦支出」為由，逐年虧損，截至</w:t>
      </w:r>
      <w:r w:rsidRPr="00AC77DF">
        <w:t>105</w:t>
      </w:r>
      <w:r w:rsidRPr="00AC77DF">
        <w:t>年底，累計虧損已達</w:t>
      </w:r>
      <w:r w:rsidRPr="00AC77DF">
        <w:t>1</w:t>
      </w:r>
      <w:r w:rsidRPr="00AC77DF">
        <w:t>億</w:t>
      </w:r>
      <w:r w:rsidRPr="00AC77DF">
        <w:t>1,653</w:t>
      </w:r>
      <w:r w:rsidRPr="00AC77DF">
        <w:t>萬</w:t>
      </w:r>
      <w:r w:rsidRPr="00AC77DF">
        <w:t>634</w:t>
      </w:r>
      <w:r w:rsidRPr="00AC77DF">
        <w:t>元。歐欣環保公司既為退輔會退除役官兵安置基金轉投資之民營事業，該會未依中央政府特種基金參加民營事業投資管理要點相關規定，分析原因提出因應措施，亦未就虧損情形確實檢討評估，相關檢討機制形同虛設。</w:t>
      </w:r>
    </w:p>
    <w:p w:rsidR="003807A5" w:rsidRPr="00AC77DF" w:rsidRDefault="00287E7B" w:rsidP="00564517">
      <w:pPr>
        <w:pStyle w:val="1--13"/>
        <w:spacing w:before="180" w:after="180"/>
      </w:pPr>
      <w:r w:rsidRPr="008E1832">
        <w:rPr>
          <w:rFonts w:hint="eastAsia"/>
        </w:rPr>
        <w:t>˙</w:t>
      </w:r>
      <w:r w:rsidR="003807A5" w:rsidRPr="00AC77DF">
        <w:t>地方主管機關應積極協處</w:t>
      </w:r>
    </w:p>
    <w:p w:rsidR="003807A5" w:rsidRPr="00AC77DF" w:rsidRDefault="003807A5" w:rsidP="00234F21">
      <w:pPr>
        <w:pStyle w:val="1---"/>
        <w:ind w:firstLine="480"/>
        <w:rPr>
          <w:b/>
        </w:rPr>
      </w:pPr>
      <w:r w:rsidRPr="00AC77DF">
        <w:t>臺南市政府身為地方主管機關，對於南區（龍崎廠）事業廢棄物綜合處理中心之開發興建應善盡監督及核定之權責，並積極協處。其開發興建之必要性、適法性、相關審查程序，以及科學驗證結果倘經評估檢討並無違法之虞，亦可排除環境保護之疑慮，臺南市政府宜依法妥適核處，以免衍生訾議。</w:t>
      </w:r>
    </w:p>
    <w:p w:rsidR="003807A5" w:rsidRPr="00AC77DF" w:rsidRDefault="003807A5" w:rsidP="00274413">
      <w:pPr>
        <w:pStyle w:val="1---"/>
        <w:spacing w:after="180"/>
        <w:ind w:firstLine="480"/>
      </w:pPr>
      <w:r w:rsidRPr="00AC77DF">
        <w:t>依據本案調查意見</w:t>
      </w:r>
      <w:r w:rsidRPr="00F85A65">
        <w:rPr>
          <w:rStyle w:val="aff2"/>
        </w:rPr>
        <w:footnoteReference w:id="138"/>
      </w:r>
      <w:r w:rsidRPr="00AC77DF">
        <w:t>，監察院函請行政院督促所屬確實檢討改進見復；另函請臺南市政府確實檢討改進見復。</w:t>
      </w:r>
    </w:p>
    <w:p w:rsidR="003807A5" w:rsidRPr="00AC77DF" w:rsidRDefault="001223CF" w:rsidP="000B692A">
      <w:pPr>
        <w:pStyle w:val="afff1"/>
        <w:spacing w:before="360" w:after="360"/>
      </w:pPr>
      <w:bookmarkStart w:id="637" w:name="_Toc531362511"/>
      <w:r>
        <w:rPr>
          <w:rFonts w:hint="eastAsia"/>
        </w:rPr>
        <w:t>(三)</w:t>
      </w:r>
      <w:r w:rsidR="003807A5" w:rsidRPr="00AC77DF">
        <w:t>政府機關改善情形</w:t>
      </w:r>
      <w:bookmarkEnd w:id="637"/>
    </w:p>
    <w:p w:rsidR="003807A5" w:rsidRPr="00AC77DF" w:rsidRDefault="003807A5" w:rsidP="00425EE5">
      <w:pPr>
        <w:pStyle w:val="1----"/>
        <w:ind w:left="600" w:hanging="360"/>
      </w:pPr>
      <w:r w:rsidRPr="00AC77DF">
        <w:t>1</w:t>
      </w:r>
      <w:r w:rsidRPr="00AC77DF">
        <w:t>、經濟部已促請開發單位歐欣環保公司委託專業地質技師團隊，規劃於廠區內及其附近設</w:t>
      </w:r>
      <w:r w:rsidRPr="00170436">
        <w:rPr>
          <w:spacing w:val="-14"/>
        </w:rPr>
        <w:t>置</w:t>
      </w:r>
      <w:r w:rsidRPr="00AC77DF">
        <w:t>1</w:t>
      </w:r>
      <w:r w:rsidRPr="00170436">
        <w:rPr>
          <w:spacing w:val="-14"/>
        </w:rPr>
        <w:t>0</w:t>
      </w:r>
      <w:r w:rsidRPr="00AC77DF">
        <w:t>處地表高程測量點，測點位置橫跨龍船斷層兩側，可使測量成果配合繪製橫跨斷層之剖面高程變化；測量時程每季一次，時間達一年以上；測量過程配合採用內政部三等水準點高程，作精密高</w:t>
      </w:r>
      <w:r w:rsidRPr="00AC77DF">
        <w:lastRenderedPageBreak/>
        <w:t>程測量。預期可由測量成果研判得知龍船斷層及其兩側之地表變形高程變化，以釐清外界對於廠區內地質條件之質疑。</w:t>
      </w:r>
    </w:p>
    <w:p w:rsidR="003807A5" w:rsidRPr="00AC77DF" w:rsidRDefault="003807A5" w:rsidP="00425EE5">
      <w:pPr>
        <w:pStyle w:val="1----"/>
        <w:ind w:left="600" w:hanging="360"/>
      </w:pPr>
      <w:r w:rsidRPr="00AC77DF">
        <w:t>2</w:t>
      </w:r>
      <w:r w:rsidRPr="00AC77DF">
        <w:t>、依據</w:t>
      </w:r>
      <w:r w:rsidRPr="00AC77DF">
        <w:t>106</w:t>
      </w:r>
      <w:r w:rsidRPr="00AC77DF">
        <w:t>年</w:t>
      </w:r>
      <w:r w:rsidRPr="00AC77DF">
        <w:t>3</w:t>
      </w:r>
      <w:r w:rsidRPr="00AC77DF">
        <w:t>月</w:t>
      </w:r>
      <w:r w:rsidRPr="00AC77DF">
        <w:t>9</w:t>
      </w:r>
      <w:r w:rsidRPr="00AC77DF">
        <w:t>日行政院召開「龍崎事業廢棄物掩埋場」後續規劃研商會議之結論，工業局已於</w:t>
      </w:r>
      <w:r w:rsidRPr="00AC77DF">
        <w:t>106</w:t>
      </w:r>
      <w:r w:rsidRPr="00AC77DF">
        <w:t>年</w:t>
      </w:r>
      <w:r w:rsidRPr="00AC77DF">
        <w:t>6</w:t>
      </w:r>
      <w:r w:rsidRPr="00AC77DF">
        <w:t>月</w:t>
      </w:r>
      <w:r w:rsidRPr="00AC77DF">
        <w:t>15</w:t>
      </w:r>
      <w:r w:rsidRPr="00AC77DF">
        <w:t>日、</w:t>
      </w:r>
      <w:r w:rsidRPr="00AC77DF">
        <w:t>8</w:t>
      </w:r>
      <w:r w:rsidRPr="00AC77DF">
        <w:t>月</w:t>
      </w:r>
      <w:r w:rsidRPr="00AC77DF">
        <w:t>8</w:t>
      </w:r>
      <w:r w:rsidRPr="00AC77DF">
        <w:t>日、</w:t>
      </w:r>
      <w:r w:rsidRPr="00AC77DF">
        <w:t>9</w:t>
      </w:r>
      <w:r w:rsidRPr="00AC77DF">
        <w:t>月</w:t>
      </w:r>
      <w:r w:rsidRPr="00AC77DF">
        <w:t>8</w:t>
      </w:r>
      <w:r w:rsidRPr="00AC77DF">
        <w:t>日、</w:t>
      </w:r>
      <w:r w:rsidRPr="00AC77DF">
        <w:t>9</w:t>
      </w:r>
      <w:r w:rsidRPr="00AC77DF">
        <w:t>月</w:t>
      </w:r>
      <w:r w:rsidRPr="00AC77DF">
        <w:t>25</w:t>
      </w:r>
      <w:r w:rsidRPr="00AC77DF">
        <w:t>日與</w:t>
      </w:r>
      <w:r w:rsidRPr="00AC77DF">
        <w:t>11</w:t>
      </w:r>
      <w:r w:rsidRPr="00AC77DF">
        <w:t>月</w:t>
      </w:r>
      <w:r w:rsidRPr="00AC77DF">
        <w:t>6</w:t>
      </w:r>
      <w:r w:rsidRPr="00AC77DF">
        <w:t>日分別拜會臺南市龍崎區區長、附近各里里長等當地民眾與意見領袖，針對本案進行意見交換。相關意見涉及本案工程施作管理與後續營運監督等層面，已請開發單位準備簡明易懂說明資料，持續與在地民眾進行溝通。另關於當地民眾、意見領袖或團體所提出的正反面意見，工業局將轉知環保署、退輔會及臺南市政府等權責機關或開發單位參辦，期凝聚資源，以利與在地民眾達成共識，持續推動本案。</w:t>
      </w:r>
    </w:p>
    <w:p w:rsidR="003807A5" w:rsidRPr="00AC77DF" w:rsidRDefault="003807A5" w:rsidP="00425EE5">
      <w:pPr>
        <w:pStyle w:val="1----"/>
        <w:ind w:left="600" w:hanging="360"/>
      </w:pPr>
      <w:r w:rsidRPr="00AC77DF">
        <w:t>3</w:t>
      </w:r>
      <w:r w:rsidRPr="00AC77DF">
        <w:t>、依「公害糾紛處理法」第</w:t>
      </w:r>
      <w:r w:rsidRPr="00AC77DF">
        <w:t>30</w:t>
      </w:r>
      <w:r w:rsidRPr="00AC77DF">
        <w:t>條第</w:t>
      </w:r>
      <w:r w:rsidRPr="00AC77DF">
        <w:t>2</w:t>
      </w:r>
      <w:r w:rsidRPr="00AC77DF">
        <w:t>項及其施行細則第</w:t>
      </w:r>
      <w:r w:rsidRPr="00AC77DF">
        <w:t>28</w:t>
      </w:r>
      <w:r w:rsidRPr="00AC77DF">
        <w:t>條規定，環境保護協定除由地方政府與事業簽署外，亦得由事業與所在地居民簽署。工業局已促請開發單位研議本案環境保護協定草案，並洽地方政府或當地民眾洽簽環境保護協定。</w:t>
      </w:r>
    </w:p>
    <w:p w:rsidR="003807A5" w:rsidRPr="00AC77DF" w:rsidRDefault="003807A5" w:rsidP="00425EE5">
      <w:pPr>
        <w:pStyle w:val="1----"/>
        <w:ind w:left="600" w:hanging="360"/>
      </w:pPr>
      <w:r w:rsidRPr="00AC77DF">
        <w:t>4</w:t>
      </w:r>
      <w:r w:rsidRPr="00AC77DF">
        <w:t>、工業局將持續邀集開發單位每兩週管考研議具體可行之回應與民意溝通進度。</w:t>
      </w:r>
    </w:p>
    <w:p w:rsidR="003807A5" w:rsidRPr="00AC77DF" w:rsidRDefault="003807A5" w:rsidP="00425EE5">
      <w:pPr>
        <w:pStyle w:val="1----"/>
        <w:ind w:left="600" w:hanging="360"/>
      </w:pPr>
      <w:r w:rsidRPr="00AC77DF">
        <w:t>5</w:t>
      </w:r>
      <w:r w:rsidRPr="00AC77DF">
        <w:t>、退輔會業多次於歐欣環保公司董事會中請公司撙節支出，以降低創業期間之財務壓力。惟歐欣公司仍須持續辦理推動作業，而有營業費用產生致逐年虧損。為降低開支，自</w:t>
      </w:r>
      <w:r w:rsidRPr="00AC77DF">
        <w:t>9</w:t>
      </w:r>
      <w:r w:rsidRPr="00170436">
        <w:rPr>
          <w:spacing w:val="-14"/>
        </w:rPr>
        <w:t>8</w:t>
      </w:r>
      <w:r w:rsidRPr="00170436">
        <w:rPr>
          <w:spacing w:val="-14"/>
        </w:rPr>
        <w:t>年</w:t>
      </w:r>
      <w:r w:rsidRPr="00170436">
        <w:rPr>
          <w:spacing w:val="-14"/>
        </w:rPr>
        <w:t>2</w:t>
      </w:r>
      <w:r w:rsidRPr="00AC77DF">
        <w:t>月起公司董事長、總經理減</w:t>
      </w:r>
      <w:r w:rsidRPr="00170436">
        <w:rPr>
          <w:spacing w:val="-14"/>
        </w:rPr>
        <w:t>薪</w:t>
      </w:r>
      <w:r w:rsidRPr="00AC77DF">
        <w:t>10%</w:t>
      </w:r>
      <w:r w:rsidRPr="00AC77DF">
        <w:t>，且公司亦縮減營運規模，降低員工人數以撙節支出。</w:t>
      </w:r>
    </w:p>
    <w:p w:rsidR="003807A5" w:rsidRPr="00AC77DF" w:rsidRDefault="003807A5" w:rsidP="00425EE5">
      <w:pPr>
        <w:pStyle w:val="1----"/>
        <w:ind w:left="600" w:hanging="360"/>
      </w:pPr>
      <w:r w:rsidRPr="00AC77DF">
        <w:lastRenderedPageBreak/>
        <w:t>6</w:t>
      </w:r>
      <w:r w:rsidRPr="00AC77DF">
        <w:t>、若政策確定興建龍崎事業廢棄物掩埋場，為發揮公股監督制衡力量，及藉此維持廢棄物處理價格於合理區間，退輔會將研議與民股協調增資取得股份至</w:t>
      </w:r>
      <w:r w:rsidRPr="00AC77DF">
        <w:t>34%</w:t>
      </w:r>
      <w:r w:rsidRPr="00AC77DF">
        <w:t>以上，並視需求重新檢討撤資政策，重行報行政院核定。退輔會已暫緩撤資相關作業，俟政策確定後再重新檢討撤資作業。</w:t>
      </w:r>
    </w:p>
    <w:p w:rsidR="003807A5" w:rsidRPr="00AC77DF" w:rsidRDefault="003807A5" w:rsidP="00425EE5">
      <w:pPr>
        <w:pStyle w:val="1----"/>
        <w:ind w:left="600" w:hanging="360"/>
      </w:pPr>
      <w:r w:rsidRPr="00AC77DF">
        <w:t>7</w:t>
      </w:r>
      <w:r w:rsidRPr="00AC77DF">
        <w:t>、臺南市政府將持續與經濟部、環保署及歐欣環保公司瞭解民意溝通結果與回應內容之適法性等意見，於民意溝通結果獲致共識及相關疑慮獲得澄清之</w:t>
      </w:r>
      <w:r w:rsidR="00A60BEC">
        <w:rPr>
          <w:rFonts w:hint="eastAsia"/>
        </w:rPr>
        <w:t>適</w:t>
      </w:r>
      <w:r w:rsidRPr="00AC77DF">
        <w:t>當時機，核發施工許可證及雜項執照。</w:t>
      </w:r>
    </w:p>
    <w:p w:rsidR="003807A5" w:rsidRPr="00AC77DF" w:rsidRDefault="001223CF" w:rsidP="000B692A">
      <w:pPr>
        <w:pStyle w:val="afff1"/>
        <w:spacing w:before="360" w:after="360"/>
      </w:pPr>
      <w:bookmarkStart w:id="638" w:name="_Toc531362512"/>
      <w:r>
        <w:rPr>
          <w:rFonts w:hint="eastAsia"/>
        </w:rPr>
        <w:t>(四)</w:t>
      </w:r>
      <w:r w:rsidR="003807A5" w:rsidRPr="00AC77DF">
        <w:t>案件進展</w:t>
      </w:r>
      <w:bookmarkEnd w:id="638"/>
    </w:p>
    <w:p w:rsidR="003807A5" w:rsidRDefault="003807A5" w:rsidP="00234F21">
      <w:pPr>
        <w:pStyle w:val="1---"/>
        <w:ind w:firstLine="480"/>
        <w:rPr>
          <w:lang w:eastAsia="zh-TW"/>
        </w:rPr>
      </w:pPr>
      <w:r w:rsidRPr="00AC77DF">
        <w:t>本案監察院仍持續追蹤中。</w:t>
      </w:r>
    </w:p>
    <w:p w:rsidR="001223CF" w:rsidRDefault="001223CF" w:rsidP="00234F21">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3709"/>
      </w:tblGrid>
      <w:tr w:rsidR="001223CF" w:rsidTr="00170436">
        <w:tc>
          <w:tcPr>
            <w:tcW w:w="3709" w:type="dxa"/>
            <w:shd w:val="clear" w:color="auto" w:fill="D9D9D9" w:themeFill="background1" w:themeFillShade="D9"/>
          </w:tcPr>
          <w:p w:rsidR="001223CF" w:rsidRDefault="001223CF" w:rsidP="00170436">
            <w:pPr>
              <w:pStyle w:val="11-"/>
              <w:spacing w:before="72" w:after="108"/>
              <w:rPr>
                <w:b/>
                <w:lang w:eastAsia="zh-TW"/>
              </w:rPr>
            </w:pPr>
            <w:bookmarkStart w:id="639" w:name="_Toc535228416"/>
            <w:bookmarkStart w:id="640" w:name="_Toc4058827"/>
            <w:r w:rsidRPr="00AC77DF">
              <w:t>國家公園礦業權</w:t>
            </w:r>
            <w:r w:rsidRPr="00AC77DF">
              <w:rPr>
                <w:lang w:eastAsia="zh-HK"/>
              </w:rPr>
              <w:t>之</w:t>
            </w:r>
            <w:r w:rsidRPr="00AC77DF">
              <w:t>審查案</w:t>
            </w:r>
            <w:bookmarkEnd w:id="639"/>
            <w:bookmarkEnd w:id="640"/>
          </w:p>
        </w:tc>
      </w:tr>
    </w:tbl>
    <w:p w:rsidR="003807A5" w:rsidRPr="00AC77DF" w:rsidRDefault="003807A5" w:rsidP="001223CF">
      <w:pPr>
        <w:pStyle w:val="1---"/>
        <w:ind w:firstLine="480"/>
      </w:pPr>
    </w:p>
    <w:tbl>
      <w:tblPr>
        <w:tblW w:w="4777" w:type="pct"/>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44"/>
      </w:tblGrid>
      <w:tr w:rsidR="003807A5" w:rsidRPr="00AC77DF" w:rsidTr="00FB5C8B">
        <w:trPr>
          <w:trHeight w:val="777"/>
        </w:trPr>
        <w:tc>
          <w:tcPr>
            <w:tcW w:w="5000" w:type="pct"/>
          </w:tcPr>
          <w:p w:rsidR="003807A5" w:rsidRPr="00AC77DF" w:rsidRDefault="003807A5" w:rsidP="00170436">
            <w:pPr>
              <w:spacing w:line="360" w:lineRule="exact"/>
              <w:jc w:val="both"/>
              <w:rPr>
                <w:lang w:val="x-none"/>
              </w:rPr>
            </w:pPr>
            <w:r w:rsidRPr="00AC77DF">
              <w:rPr>
                <w:b/>
                <w:lang w:val="x-none"/>
              </w:rPr>
              <w:t>相關國際人權公約：</w:t>
            </w:r>
            <w:r w:rsidRPr="00AC77DF">
              <w:t>人類環境宣言之共同信念第</w:t>
            </w:r>
            <w:r w:rsidRPr="00AC77DF">
              <w:t>1</w:t>
            </w:r>
            <w:r w:rsidRPr="00AC77DF">
              <w:t>條、第</w:t>
            </w:r>
            <w:r w:rsidRPr="00AC77DF">
              <w:t>2</w:t>
            </w:r>
            <w:r w:rsidRPr="00AC77DF">
              <w:t>條、經濟社會文化權利國際公約第</w:t>
            </w:r>
            <w:r w:rsidRPr="00AC77DF">
              <w:t>11</w:t>
            </w:r>
            <w:r w:rsidRPr="00AC77DF">
              <w:t>條第</w:t>
            </w:r>
            <w:r w:rsidRPr="00AC77DF">
              <w:t>1</w:t>
            </w:r>
            <w:r w:rsidRPr="00AC77DF">
              <w:t>款</w:t>
            </w:r>
          </w:p>
        </w:tc>
      </w:tr>
    </w:tbl>
    <w:p w:rsidR="003807A5" w:rsidRPr="00AC77DF" w:rsidRDefault="007460A4" w:rsidP="000B692A">
      <w:pPr>
        <w:pStyle w:val="afff1"/>
        <w:spacing w:before="360" w:after="360"/>
      </w:pPr>
      <w:r>
        <w:rPr>
          <w:rFonts w:hint="eastAsia"/>
        </w:rPr>
        <w:t>(一)</w:t>
      </w:r>
      <w:r w:rsidR="003807A5" w:rsidRPr="00AC77DF">
        <w:rPr>
          <w:noProof/>
        </w:rPr>
        <mc:AlternateContent>
          <mc:Choice Requires="wps">
            <w:drawing>
              <wp:anchor distT="0" distB="0" distL="114300" distR="114300" simplePos="0" relativeHeight="251959296" behindDoc="0" locked="1" layoutInCell="1" allowOverlap="1" wp14:anchorId="118BF75B" wp14:editId="419D11E9">
                <wp:simplePos x="0" y="0"/>
                <wp:positionH relativeFrom="column">
                  <wp:posOffset>7989570</wp:posOffset>
                </wp:positionH>
                <wp:positionV relativeFrom="paragraph">
                  <wp:posOffset>-773430</wp:posOffset>
                </wp:positionV>
                <wp:extent cx="635000" cy="317500"/>
                <wp:effectExtent l="0" t="0" r="0" b="0"/>
                <wp:wrapNone/>
                <wp:docPr id="41" name="記錄"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832" w:rsidRDefault="00970832" w:rsidP="00AF0FA1">
                            <w:pPr>
                              <w:jc w:val="center"/>
                              <w:rPr>
                                <w:sz w:val="18"/>
                              </w:rPr>
                            </w:pPr>
                            <w:r>
                              <w:rPr>
                                <w:sz w:val="18"/>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47" type="#_x0000_t202" style="position:absolute;left:0;text-align:left;margin-left:629.1pt;margin-top:-60.9pt;width:50pt;height:25pt;z-index:2519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" stroked="f">
                <v:textbox>
                  <w:txbxContent>
                    <w:p w:rsidR="00895792" w:rsidRDefault="00895792" w:rsidP="00AF0FA1">
                      <w:pPr>
                        <w:jc w:val="center"/>
                        <w:rPr>
                          <w:sz w:val="18"/>
                        </w:rPr>
                      </w:pPr>
                      <w:r>
                        <w:rPr>
                          <w:sz w:val="18"/>
                        </w:rPr>
                        <w:t>00</w:t>
                      </w:r>
                    </w:p>
                  </w:txbxContent>
                </v:textbox>
                <w10:anchorlock/>
              </v:shape>
            </w:pict>
          </mc:Fallback>
        </mc:AlternateContent>
      </w:r>
      <w:r w:rsidR="003807A5" w:rsidRPr="00AC77DF">
        <w:rPr>
          <w:noProof/>
        </w:rPr>
        <mc:AlternateContent>
          <mc:Choice Requires="wpg">
            <w:drawing>
              <wp:anchor distT="0" distB="0" distL="114300" distR="114300" simplePos="0" relativeHeight="251958272" behindDoc="0" locked="1" layoutInCell="0" allowOverlap="1" wp14:anchorId="41C4E5CC" wp14:editId="39B087E5">
                <wp:simplePos x="0" y="0"/>
                <wp:positionH relativeFrom="column">
                  <wp:posOffset>-1132205</wp:posOffset>
                </wp:positionH>
                <wp:positionV relativeFrom="paragraph">
                  <wp:posOffset>-2540</wp:posOffset>
                </wp:positionV>
                <wp:extent cx="149225" cy="8839200"/>
                <wp:effectExtent l="0" t="0" r="3175" b="19050"/>
                <wp:wrapNone/>
                <wp:docPr id="42" name="裝訂線"/>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39200"/>
                          <a:chOff x="745" y="1414"/>
                          <a:chExt cx="235" cy="13920"/>
                        </a:xfrm>
                      </wpg:grpSpPr>
                      <wps:wsp>
                        <wps:cNvPr id="43" name="Line 13"/>
                        <wps:cNvCnPr/>
                        <wps:spPr bwMode="auto">
                          <a:xfrm>
                            <a:off x="851" y="1414"/>
                            <a:ext cx="0" cy="139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 name="Text Box 14"/>
                        <wps:cNvSpPr txBox="1">
                          <a:spLocks noChangeArrowheads="1"/>
                        </wps:cNvSpPr>
                        <wps:spPr bwMode="auto">
                          <a:xfrm>
                            <a:off x="745" y="5523"/>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AF0FA1">
                              <w:pPr>
                                <w:kinsoku w:val="0"/>
                                <w:wordWrap w:val="0"/>
                                <w:overflowPunct w:val="0"/>
                                <w:rPr>
                                  <w:sz w:val="20"/>
                                </w:rPr>
                              </w:pPr>
                              <w:r>
                                <w:rPr>
                                  <w:rFonts w:hint="eastAsia"/>
                                  <w:sz w:val="20"/>
                                </w:rPr>
                                <w:t>裝</w:t>
                              </w:r>
                            </w:p>
                          </w:txbxContent>
                        </wps:txbx>
                        <wps:bodyPr rot="0" vert="horz" wrap="square" lIns="0" tIns="0" rIns="0" bIns="0" anchor="t" anchorCtr="0" upright="1">
                          <a:noAutofit/>
                        </wps:bodyPr>
                      </wps:wsp>
                      <wps:wsp>
                        <wps:cNvPr id="45" name="Text Box 15"/>
                        <wps:cNvSpPr txBox="1">
                          <a:spLocks noChangeArrowheads="1"/>
                        </wps:cNvSpPr>
                        <wps:spPr bwMode="auto">
                          <a:xfrm>
                            <a:off x="745" y="8312"/>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AF0FA1">
                              <w:pPr>
                                <w:kinsoku w:val="0"/>
                                <w:wordWrap w:val="0"/>
                                <w:overflowPunct w:val="0"/>
                                <w:rPr>
                                  <w:sz w:val="20"/>
                                </w:rPr>
                              </w:pPr>
                              <w:r>
                                <w:rPr>
                                  <w:rFonts w:hint="eastAsia"/>
                                  <w:sz w:val="20"/>
                                </w:rPr>
                                <w:t>訂</w:t>
                              </w:r>
                            </w:p>
                          </w:txbxContent>
                        </wps:txbx>
                        <wps:bodyPr rot="0" vert="horz" wrap="square" lIns="0" tIns="0" rIns="0" bIns="0" anchor="t" anchorCtr="0" upright="1">
                          <a:noAutofit/>
                        </wps:bodyPr>
                      </wps:wsp>
                      <wps:wsp>
                        <wps:cNvPr id="46" name="Text Box 16"/>
                        <wps:cNvSpPr txBox="1">
                          <a:spLocks noChangeArrowheads="1"/>
                        </wps:cNvSpPr>
                        <wps:spPr bwMode="auto">
                          <a:xfrm>
                            <a:off x="745" y="11127"/>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AF0FA1">
                              <w:pPr>
                                <w:kinsoku w:val="0"/>
                                <w:wordWrap w:val="0"/>
                                <w:overflowPunct w:val="0"/>
                                <w:rPr>
                                  <w:sz w:val="20"/>
                                </w:rPr>
                              </w:pPr>
                              <w:r>
                                <w:rPr>
                                  <w:rFonts w:hint="eastAsia"/>
                                  <w:sz w:val="20"/>
                                </w:rPr>
                                <w:t>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48" style="position:absolute;left:0;text-align:left;margin-left:-89.15pt;margin-top:-.2pt;width:11.75pt;height:696pt;z-index:251958272" coordorigin="745,1414" coordsize="235,1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" o:allowincell="f">
                <v:line id="Line 13" o:spid="_x0000_s1149" style="position:absolute;visibility:visible;mso-wrap-style:square" from="851,1414" to="851,1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rwvsUAAADbAAAADwAAAGRycy9kb3ducmV2LnhtbESPT0vDQBTE7wW/w/IEb81GK9rGbooW&#10;hPrv0LSCx0f2ZTeYfRuyaxu/vSsUehxm5jfMcjW6ThxoCK1nBddZDoK49rplo2C/e57OQYSIrLHz&#10;TAp+KcCqvJgssdD+yFs6VNGIBOFQoAIbY19IGWpLDkPme+LkNX5wGJMcjNQDHhPcdfImz++kw5bT&#10;gsWe1pbq7+rHKXi733Sfhr+q95cmPPnF61Z+GKvU1eX4+AAi0hjP4VN7oxXczuD/S/oBs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3rwvsUAAADbAAAADwAAAAAAAAAA&#10;AAAAAAChAgAAZHJzL2Rvd25yZXYueG1sUEsFBgAAAAAEAAQA+QAAAJMDAAAAAA==&#10;">
                  <v:stroke dashstyle="1 1"/>
                </v:line>
                <v:shape id="Text Box 14" o:spid="_x0000_s1150" type="#_x0000_t202" style="position:absolute;left:745;top:5523;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nuq8QA&#10;AADbAAAADwAAAGRycy9kb3ducmV2LnhtbESPT4vCMBTE7wt+h/AEb2uqWFmqUVQU/7AXtYjHR/Ns&#10;i81LaaJ2v/1GWNjjMDO/Yabz1lTiSY0rLSsY9CMQxJnVJecK0vPm8wuE88gaK8uk4IcczGedjykm&#10;2r74SM+Tz0WAsEtQQeF9nUjpsoIMur6tiYN3s41BH2STS93gK8BNJYdRNJYGSw4LBda0Kii7nx5G&#10;wV5f5DJOo2N2vertevMdp8NDrFSv2y4mIDy1/j/8195pBaMRvL+EH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57qvEAAAA2wAAAA8AAAAAAAAAAAAAAAAAmAIAAGRycy9k&#10;b3ducmV2LnhtbFBLBQYAAAAABAAEAPUAAACJAwAAAAA=&#10;" filled="f" stroked="f">
                  <v:stroke dashstyle="1 1"/>
                  <v:textbox inset="0,0,0,0">
                    <w:txbxContent>
                      <w:p w:rsidR="00895792" w:rsidRDefault="00895792" w:rsidP="00AF0FA1">
                        <w:pPr>
                          <w:kinsoku w:val="0"/>
                          <w:wordWrap w:val="0"/>
                          <w:overflowPunct w:val="0"/>
                          <w:rPr>
                            <w:sz w:val="20"/>
                          </w:rPr>
                        </w:pPr>
                        <w:r>
                          <w:rPr>
                            <w:rFonts w:hint="eastAsia"/>
                            <w:sz w:val="20"/>
                          </w:rPr>
                          <w:t>裝</w:t>
                        </w:r>
                      </w:p>
                    </w:txbxContent>
                  </v:textbox>
                </v:shape>
                <v:shape id="Text Box 15" o:spid="_x0000_s1151" type="#_x0000_t202" style="position:absolute;left:745;top:8312;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VLMMMA&#10;AADbAAAADwAAAGRycy9kb3ducmV2LnhtbESPQYvCMBSE7wv+h/AEb5oq20WqUVRWdl28qEU8Pppn&#10;W2xeShO1/nsjCHscZuYbZjpvTSVu1LjSsoLhIAJBnFldcq4gPaz7YxDOI2usLJOCBzmYzzofU0y0&#10;vfOObnufiwBhl6CCwvs6kdJlBRl0A1sTB+9sG4M+yCaXusF7gJtKjqLoSxosOSwUWNOqoOyyvxoF&#10;G32UyziNdtnppH++19s4Hf3FSvW67WICwlPr/8Pv9q9W8BnD60v4A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VLMMMAAADbAAAADwAAAAAAAAAAAAAAAACYAgAAZHJzL2Rv&#10;d25yZXYueG1sUEsFBgAAAAAEAAQA9QAAAIgDAAAAAA==&#10;" filled="f" stroked="f">
                  <v:stroke dashstyle="1 1"/>
                  <v:textbox inset="0,0,0,0">
                    <w:txbxContent>
                      <w:p w:rsidR="00895792" w:rsidRDefault="00895792" w:rsidP="00AF0FA1">
                        <w:pPr>
                          <w:kinsoku w:val="0"/>
                          <w:wordWrap w:val="0"/>
                          <w:overflowPunct w:val="0"/>
                          <w:rPr>
                            <w:sz w:val="20"/>
                          </w:rPr>
                        </w:pPr>
                        <w:r>
                          <w:rPr>
                            <w:rFonts w:hint="eastAsia"/>
                            <w:sz w:val="20"/>
                          </w:rPr>
                          <w:t>訂</w:t>
                        </w:r>
                      </w:p>
                    </w:txbxContent>
                  </v:textbox>
                </v:shape>
                <v:shape id="Text Box 16" o:spid="_x0000_s1152" type="#_x0000_t202" style="position:absolute;left:745;top:11127;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fVR8MA&#10;AADbAAAADwAAAGRycy9kb3ducmV2LnhtbESPQYvCMBSE74L/ITzBm6aKFalG0WVl18WLWsTjo3m2&#10;xealNFnt/nuzIHgcZuYbZrFqTSXu1LjSsoLRMAJBnFldcq4gPW0HMxDOI2usLJOCP3KwWnY7C0y0&#10;ffCB7kefiwBhl6CCwvs6kdJlBRl0Q1sTB+9qG4M+yCaXusFHgJtKjqNoKg2WHBYKrOmjoOx2/DUK&#10;dvosN3EaHbLLRX99bvdxOv6Jler32vUchKfWv8Ov9rdWMJnC/5fw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fVR8MAAADbAAAADwAAAAAAAAAAAAAAAACYAgAAZHJzL2Rv&#10;d25yZXYueG1sUEsFBgAAAAAEAAQA9QAAAIgDAAAAAA==&#10;" filled="f" stroked="f">
                  <v:stroke dashstyle="1 1"/>
                  <v:textbox inset="0,0,0,0">
                    <w:txbxContent>
                      <w:p w:rsidR="00895792" w:rsidRDefault="00895792" w:rsidP="00AF0FA1">
                        <w:pPr>
                          <w:kinsoku w:val="0"/>
                          <w:wordWrap w:val="0"/>
                          <w:overflowPunct w:val="0"/>
                          <w:rPr>
                            <w:sz w:val="20"/>
                          </w:rPr>
                        </w:pPr>
                        <w:r>
                          <w:rPr>
                            <w:rFonts w:hint="eastAsia"/>
                            <w:sz w:val="20"/>
                          </w:rPr>
                          <w:t>線</w:t>
                        </w:r>
                      </w:p>
                    </w:txbxContent>
                  </v:textbox>
                </v:shape>
                <w10:anchorlock/>
              </v:group>
            </w:pict>
          </mc:Fallback>
        </mc:AlternateContent>
      </w:r>
      <w:r w:rsidR="003807A5" w:rsidRPr="00AC77DF">
        <w:rPr>
          <w:noProof/>
        </w:rPr>
        <mc:AlternateContent>
          <mc:Choice Requires="wps">
            <w:drawing>
              <wp:anchor distT="0" distB="0" distL="114300" distR="114300" simplePos="0" relativeHeight="251957248" behindDoc="0" locked="1" layoutInCell="0" allowOverlap="1" wp14:anchorId="445A2C4A" wp14:editId="5261F364">
                <wp:simplePos x="0" y="0"/>
                <wp:positionH relativeFrom="column">
                  <wp:posOffset>-609600</wp:posOffset>
                </wp:positionH>
                <wp:positionV relativeFrom="page">
                  <wp:posOffset>443230</wp:posOffset>
                </wp:positionV>
                <wp:extent cx="636905" cy="396240"/>
                <wp:effectExtent l="9525" t="5080" r="10795" b="8255"/>
                <wp:wrapNone/>
                <wp:docPr id="47" name="函正本"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832" w:rsidRDefault="00970832" w:rsidP="00AF0FA1">
                            <w:pPr>
                              <w:jc w:val="center"/>
                              <w:rPr>
                                <w:color w:val="000000"/>
                                <w:sz w:val="36"/>
                              </w:rPr>
                            </w:pPr>
                            <w:r>
                              <w:rPr>
                                <w:rFonts w:hint="eastAsia"/>
                                <w:color w:val="000000"/>
                                <w:sz w:val="36"/>
                              </w:rPr>
                              <w:t>正本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3" type="#_x0000_t202" style="position:absolute;left:0;text-align:left;margin-left:-48pt;margin-top:34.9pt;width:50.15pt;height:31.2pt;z-index:251957248;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" o:allowincell="f" filled="f">
                <v:textbox inset=".5mm,,.5mm">
                  <w:txbxContent>
                    <w:p w:rsidR="00895792" w:rsidRDefault="00895792" w:rsidP="00AF0FA1">
                      <w:pPr>
                        <w:jc w:val="center"/>
                        <w:rPr>
                          <w:color w:val="000000"/>
                          <w:sz w:val="36"/>
                        </w:rPr>
                      </w:pPr>
                      <w:r>
                        <w:rPr>
                          <w:rFonts w:hint="eastAsia"/>
                          <w:color w:val="000000"/>
                          <w:sz w:val="36"/>
                        </w:rPr>
                        <w:t>正本</w:t>
                      </w:r>
                    </w:p>
                  </w:txbxContent>
                </v:textbox>
                <w10:wrap anchory="page"/>
                <w10:anchorlock/>
              </v:shape>
            </w:pict>
          </mc:Fallback>
        </mc:AlternateContent>
      </w:r>
      <w:r w:rsidR="003807A5" w:rsidRPr="00AC77DF">
        <w:rPr>
          <w:noProof/>
        </w:rPr>
        <mc:AlternateContent>
          <mc:Choice Requires="wps">
            <w:drawing>
              <wp:anchor distT="0" distB="0" distL="114300" distR="114300" simplePos="0" relativeHeight="251956224" behindDoc="0" locked="1" layoutInCell="0" allowOverlap="1" wp14:anchorId="12C31B5F" wp14:editId="61FDCF65">
                <wp:simplePos x="0" y="0"/>
                <wp:positionH relativeFrom="column">
                  <wp:posOffset>-609600</wp:posOffset>
                </wp:positionH>
                <wp:positionV relativeFrom="page">
                  <wp:posOffset>442595</wp:posOffset>
                </wp:positionV>
                <wp:extent cx="636905" cy="396240"/>
                <wp:effectExtent l="9525" t="13970" r="10795" b="8890"/>
                <wp:wrapNone/>
                <wp:docPr id="48" name="函副本"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832" w:rsidRDefault="00970832" w:rsidP="00AF0FA1">
                            <w:pPr>
                              <w:jc w:val="center"/>
                              <w:rPr>
                                <w:color w:val="000000"/>
                                <w:sz w:val="36"/>
                              </w:rPr>
                            </w:pPr>
                            <w:r>
                              <w:rPr>
                                <w:rFonts w:hint="eastAsia"/>
                                <w:color w:val="000000"/>
                                <w:sz w:val="36"/>
                              </w:rPr>
                              <w:t>副本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4" type="#_x0000_t202" style="position:absolute;left:0;text-align:left;margin-left:-48pt;margin-top:34.85pt;width:50.15pt;height:31.2pt;z-index:251956224;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" o:allowincell="f" filled="f">
                <v:textbox inset=".5mm,,.5mm">
                  <w:txbxContent>
                    <w:p w:rsidR="00895792" w:rsidRDefault="00895792" w:rsidP="00AF0FA1">
                      <w:pPr>
                        <w:jc w:val="center"/>
                        <w:rPr>
                          <w:color w:val="000000"/>
                          <w:sz w:val="36"/>
                        </w:rPr>
                      </w:pPr>
                      <w:r>
                        <w:rPr>
                          <w:rFonts w:hint="eastAsia"/>
                          <w:color w:val="000000"/>
                          <w:sz w:val="36"/>
                        </w:rPr>
                        <w:t>副本</w:t>
                      </w:r>
                    </w:p>
                  </w:txbxContent>
                </v:textbox>
                <w10:wrap anchory="page"/>
                <w10:anchorlock/>
              </v:shape>
            </w:pict>
          </mc:Fallback>
        </mc:AlternateContent>
      </w:r>
      <w:r w:rsidR="003807A5" w:rsidRPr="00AC77DF">
        <w:rPr>
          <w:noProof/>
        </w:rPr>
        <mc:AlternateContent>
          <mc:Choice Requires="wps">
            <w:drawing>
              <wp:anchor distT="0" distB="0" distL="114300" distR="114300" simplePos="0" relativeHeight="251955200" behindDoc="0" locked="1" layoutInCell="0" allowOverlap="1" wp14:anchorId="610A4542" wp14:editId="620FE092">
                <wp:simplePos x="0" y="0"/>
                <wp:positionH relativeFrom="column">
                  <wp:posOffset>2819400</wp:posOffset>
                </wp:positionH>
                <wp:positionV relativeFrom="page">
                  <wp:posOffset>443230</wp:posOffset>
                </wp:positionV>
                <wp:extent cx="1440180" cy="360045"/>
                <wp:effectExtent l="9525" t="5080" r="7620" b="6350"/>
                <wp:wrapNone/>
                <wp:docPr id="49" name="首長大名"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970832" w:rsidRDefault="00970832" w:rsidP="00AF0FA1">
                            <w:r>
                              <w:rPr>
                                <w:rFonts w:hint="eastAsia"/>
                              </w:rPr>
                              <w:t>院長王○○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5" type="#_x0000_t202" style="position:absolute;left:0;text-align:left;margin-left:222pt;margin-top:34.9pt;width:113.4pt;height:28.35pt;z-index:251955200;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" o:allowincell="f">
                <v:textbox>
                  <w:txbxContent>
                    <w:p w:rsidR="00895792" w:rsidRDefault="00895792" w:rsidP="00AF0FA1">
                      <w:r>
                        <w:rPr>
                          <w:rFonts w:hint="eastAsia"/>
                        </w:rPr>
                        <w:t>院長王○○</w:t>
                      </w:r>
                    </w:p>
                  </w:txbxContent>
                </v:textbox>
                <w10:wrap anchory="page"/>
                <w10:anchorlock/>
              </v:shape>
            </w:pict>
          </mc:Fallback>
        </mc:AlternateContent>
      </w:r>
      <w:r w:rsidR="003807A5" w:rsidRPr="00AC77DF">
        <w:rPr>
          <w:noProof/>
        </w:rPr>
        <mc:AlternateContent>
          <mc:Choice Requires="wps">
            <w:drawing>
              <wp:anchor distT="0" distB="0" distL="114300" distR="114300" simplePos="0" relativeHeight="251954176" behindDoc="0" locked="1" layoutInCell="0" allowOverlap="1" wp14:anchorId="16273AF3" wp14:editId="7A0D440E">
                <wp:simplePos x="0" y="0"/>
                <wp:positionH relativeFrom="column">
                  <wp:posOffset>1381125</wp:posOffset>
                </wp:positionH>
                <wp:positionV relativeFrom="page">
                  <wp:posOffset>443230</wp:posOffset>
                </wp:positionV>
                <wp:extent cx="1440180" cy="360045"/>
                <wp:effectExtent l="9525" t="5080" r="7620" b="6350"/>
                <wp:wrapNone/>
                <wp:docPr id="50" name="文別"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970832" w:rsidRDefault="00970832" w:rsidP="00AF0FA1">
                            <w:pPr>
                              <w:rPr>
                                <w:rFonts w:ascii="標楷體"/>
                              </w:rPr>
                            </w:pPr>
                            <w:r>
                              <w:rPr>
                                <w:rFonts w:ascii="標楷體" w:hint="eastAsia"/>
                              </w:rPr>
                              <w:t>函;函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6" type="#_x0000_t202" style="position:absolute;left:0;text-align:left;margin-left:108.75pt;margin-top:34.9pt;width:113.4pt;height:28.35pt;z-index:251954176;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" o:allowincell="f">
                <v:textbox>
                  <w:txbxContent>
                    <w:p w:rsidR="00895792" w:rsidRDefault="00895792" w:rsidP="00AF0FA1">
                      <w:pPr>
                        <w:rPr>
                          <w:rFonts w:ascii="標楷體"/>
                        </w:rPr>
                      </w:pPr>
                      <w:r>
                        <w:rPr>
                          <w:rFonts w:ascii="標楷體" w:hint="eastAsia"/>
                        </w:rPr>
                        <w:t>函;函</w:t>
                      </w:r>
                    </w:p>
                  </w:txbxContent>
                </v:textbox>
                <w10:wrap anchory="page"/>
                <w10:anchorlock/>
              </v:shape>
            </w:pict>
          </mc:Fallback>
        </mc:AlternateContent>
      </w:r>
      <w:r w:rsidR="003807A5" w:rsidRPr="00AC77DF">
        <w:t>案情簡述</w:t>
      </w:r>
    </w:p>
    <w:p w:rsidR="003807A5" w:rsidRPr="00AC77DF" w:rsidRDefault="003807A5" w:rsidP="00234F21">
      <w:pPr>
        <w:pStyle w:val="1---"/>
        <w:ind w:firstLine="480"/>
      </w:pPr>
      <w:r w:rsidRPr="00AC77DF">
        <w:t>亞洲水泥股份有限公司（簡稱亞泥公司）於太魯閣國家公園之礦業權將於</w:t>
      </w:r>
      <w:r w:rsidRPr="00AC77DF">
        <w:t>106</w:t>
      </w:r>
      <w:r w:rsidRPr="00AC77DF">
        <w:t>年</w:t>
      </w:r>
      <w:r w:rsidRPr="00AC77DF">
        <w:t>11</w:t>
      </w:r>
      <w:r w:rsidRPr="00AC77DF">
        <w:t>月屆滿，依礦業法規定，在環境影響評估法制定公布前已取得礦業權之舊礦，於礦業權到期提出展</w:t>
      </w:r>
      <w:r w:rsidRPr="00AC77DF">
        <w:lastRenderedPageBreak/>
        <w:t>延申請時，無須實施環境影響評估</w:t>
      </w:r>
      <w:r w:rsidR="00F160C7">
        <w:rPr>
          <w:rFonts w:hint="eastAsia"/>
        </w:rPr>
        <w:t>及</w:t>
      </w:r>
      <w:r w:rsidRPr="00AC77DF">
        <w:t>踐行</w:t>
      </w:r>
      <w:r w:rsidRPr="0025002C">
        <w:rPr>
          <w:rFonts w:hint="eastAsia"/>
        </w:rPr>
        <w:t>原住民族基本法（簡稱原基法）</w:t>
      </w:r>
      <w:r w:rsidRPr="00AC77DF">
        <w:t>第</w:t>
      </w:r>
      <w:r w:rsidRPr="00AC77DF">
        <w:t>21</w:t>
      </w:r>
      <w:r w:rsidRPr="00AC77DF">
        <w:t>條之規定。究現行礦業法中，有無不符生態環境要求、國土保安需求、公共利益需求之相關規定？經濟部為礦業目的事業主管機關，是否曾本於權責妥處？實有深入探討之必要，爰經監察委員立案調查。</w:t>
      </w:r>
    </w:p>
    <w:p w:rsidR="003807A5" w:rsidRPr="00AC77DF" w:rsidRDefault="007460A4" w:rsidP="000B692A">
      <w:pPr>
        <w:pStyle w:val="afff1"/>
        <w:spacing w:before="360" w:after="360"/>
      </w:pPr>
      <w:r>
        <w:rPr>
          <w:rFonts w:hint="eastAsia"/>
        </w:rPr>
        <w:t>(二)</w:t>
      </w:r>
      <w:r w:rsidR="003807A5" w:rsidRPr="00AC77DF">
        <w:t>監察院調查發現與建議</w:t>
      </w:r>
    </w:p>
    <w:p w:rsidR="003807A5" w:rsidRPr="00AC77DF" w:rsidRDefault="00287E7B" w:rsidP="00564517">
      <w:pPr>
        <w:pStyle w:val="1--13"/>
        <w:spacing w:before="180" w:after="180"/>
      </w:pPr>
      <w:r w:rsidRPr="008E1832">
        <w:rPr>
          <w:rFonts w:hint="eastAsia"/>
        </w:rPr>
        <w:t>˙</w:t>
      </w:r>
      <w:r w:rsidR="003807A5" w:rsidRPr="00AC77DF">
        <w:t>礦業權限審核不周</w:t>
      </w:r>
    </w:p>
    <w:p w:rsidR="003807A5" w:rsidRPr="00AC77DF" w:rsidRDefault="003807A5" w:rsidP="00234F21">
      <w:pPr>
        <w:pStyle w:val="1---"/>
        <w:ind w:firstLine="480"/>
      </w:pPr>
      <w:r w:rsidRPr="00AC77DF">
        <w:t>亞泥公司申請前開礦業權展限案，經查經濟部於</w:t>
      </w:r>
      <w:r w:rsidRPr="00AC77DF">
        <w:t>105</w:t>
      </w:r>
      <w:r w:rsidRPr="00AC77DF">
        <w:t>年</w:t>
      </w:r>
      <w:r w:rsidRPr="00AC77DF">
        <w:t>12</w:t>
      </w:r>
      <w:r w:rsidRPr="00AC77DF">
        <w:t>月間函詢行政院農委會水土保持局獲知亞泥公司礦區範圍有</w:t>
      </w:r>
      <w:r w:rsidRPr="00AC77DF">
        <w:t>3</w:t>
      </w:r>
      <w:r w:rsidRPr="00AC77DF">
        <w:t>條土石流潛勢溪流通過，於審查礦業法第</w:t>
      </w:r>
      <w:r w:rsidRPr="00AC77DF">
        <w:t>27</w:t>
      </w:r>
      <w:r w:rsidRPr="00AC77DF">
        <w:t>條所列情形時，因循消極，闕漏不備。另經濟部就花蓮縣政府查復亞泥公司礦區範圍部分似位屬地質敏感區，經濟部就此似屬地質敏感區之潛在災害，亦未詳予審查。</w:t>
      </w:r>
      <w:r w:rsidRPr="00AC77DF">
        <w:t xml:space="preserve"> </w:t>
      </w:r>
    </w:p>
    <w:p w:rsidR="003807A5" w:rsidRPr="00AC77DF" w:rsidRDefault="003807A5" w:rsidP="00234F21">
      <w:pPr>
        <w:pStyle w:val="1---"/>
        <w:ind w:firstLine="480"/>
        <w:rPr>
          <w:b/>
          <w:i/>
        </w:rPr>
      </w:pPr>
      <w:r w:rsidRPr="00AC77DF">
        <w:t>亞泥公司位於花蓮縣新城山礦區範圍內，包含花蓮縣縣定「富世遺址」在內，依據文化資產保存法第</w:t>
      </w:r>
      <w:r w:rsidRPr="00AC77DF">
        <w:t>58</w:t>
      </w:r>
      <w:r w:rsidRPr="00AC77DF">
        <w:t>條第</w:t>
      </w:r>
      <w:r w:rsidRPr="00AC77DF">
        <w:t>22</w:t>
      </w:r>
      <w:r w:rsidRPr="00AC77DF">
        <w:t>項規定，在「富世遺址」指定範圍內，不得辦理採礦，經濟部竟違法准許上開採礦權展延，審查決斷</w:t>
      </w:r>
      <w:r w:rsidR="00CF3D37">
        <w:rPr>
          <w:rFonts w:hint="eastAsia"/>
          <w:lang w:eastAsia="zh-TW"/>
        </w:rPr>
        <w:t>有失</w:t>
      </w:r>
      <w:r w:rsidRPr="00AC77DF">
        <w:t>周妥。</w:t>
      </w:r>
    </w:p>
    <w:p w:rsidR="003807A5" w:rsidRPr="00AC77DF" w:rsidRDefault="00287E7B" w:rsidP="00564517">
      <w:pPr>
        <w:pStyle w:val="1--13"/>
        <w:spacing w:before="180" w:after="180"/>
      </w:pPr>
      <w:r w:rsidRPr="008E1832">
        <w:rPr>
          <w:rFonts w:hint="eastAsia"/>
        </w:rPr>
        <w:t>˙</w:t>
      </w:r>
      <w:r w:rsidR="003807A5" w:rsidRPr="00AC77DF">
        <w:t>展限案審核違失</w:t>
      </w:r>
    </w:p>
    <w:p w:rsidR="003807A5" w:rsidRPr="00AC77DF" w:rsidRDefault="003807A5" w:rsidP="00234F21">
      <w:pPr>
        <w:pStyle w:val="1---"/>
        <w:ind w:firstLine="480"/>
        <w:rPr>
          <w:b/>
          <w:i/>
        </w:rPr>
      </w:pPr>
      <w:r w:rsidRPr="00AC77DF">
        <w:t>花蓮縣政府於</w:t>
      </w:r>
      <w:r w:rsidRPr="00AC77DF">
        <w:t>106</w:t>
      </w:r>
      <w:r w:rsidRPr="00AC77DF">
        <w:t>年</w:t>
      </w:r>
      <w:r w:rsidRPr="00AC77DF">
        <w:t>1</w:t>
      </w:r>
      <w:r w:rsidRPr="00AC77DF">
        <w:t>月間就亞泥公司礦業權展限案，曾表達涉及該府八不政策及「花蓮縣維護自然生態環境永續發展自治條例</w:t>
      </w:r>
      <w:r w:rsidRPr="00170436">
        <w:rPr>
          <w:spacing w:val="-28"/>
        </w:rPr>
        <w:t>」，</w:t>
      </w:r>
      <w:r w:rsidRPr="00AC77DF">
        <w:t>「敬請緩議」之反對意見，惟礦務局疏未考量，並</w:t>
      </w:r>
      <w:r w:rsidRPr="00AC77DF">
        <w:lastRenderedPageBreak/>
        <w:t>逕自認定該府所復對本案履勘無意見，即為「同意展限</w:t>
      </w:r>
      <w:r w:rsidRPr="00983675">
        <w:rPr>
          <w:spacing w:val="-26"/>
        </w:rPr>
        <w:t>」</w:t>
      </w:r>
      <w:r w:rsidRPr="00AC77DF">
        <w:t>，未為進一步查詢或確認。</w:t>
      </w:r>
    </w:p>
    <w:p w:rsidR="003807A5" w:rsidRPr="00AC77DF" w:rsidRDefault="003807A5" w:rsidP="00234F21">
      <w:pPr>
        <w:pStyle w:val="1---"/>
        <w:ind w:firstLine="480"/>
      </w:pPr>
      <w:r w:rsidRPr="00AC77DF">
        <w:t>經濟部礦務局明知亞泥公司新城山礦區範圍內，存在有</w:t>
      </w:r>
      <w:r w:rsidRPr="00AC77DF">
        <w:t>98</w:t>
      </w:r>
      <w:r w:rsidRPr="00AC77DF">
        <w:t>年始公告之</w:t>
      </w:r>
      <w:r w:rsidRPr="00AC77DF">
        <w:t>3</w:t>
      </w:r>
      <w:r w:rsidRPr="00AC77DF">
        <w:t>條土石流潛勢溪流，於展限案審核期間，疑有欺瞞不法情事；而經濟部輕忽亞泥公司礦業權展限案具爭議性，且為</w:t>
      </w:r>
      <w:r w:rsidRPr="00AC77DF">
        <w:t>20</w:t>
      </w:r>
      <w:r w:rsidRPr="00AC77DF">
        <w:t>餘年來首件陳核至經濟部之展限案，卻未力求切實執行職務，僅</w:t>
      </w:r>
      <w:r w:rsidRPr="00AC77DF">
        <w:t>2</w:t>
      </w:r>
      <w:r w:rsidRPr="00AC77DF">
        <w:t>日內即迅速核准，亦未見其就礦業權者獲得展限之預期利益與</w:t>
      </w:r>
      <w:r w:rsidRPr="0025002C">
        <w:rPr>
          <w:rFonts w:hint="eastAsia"/>
        </w:rPr>
        <w:t>原基法</w:t>
      </w:r>
      <w:r w:rsidRPr="00AC77DF">
        <w:t>第</w:t>
      </w:r>
      <w:r w:rsidRPr="00AC77DF">
        <w:t>21</w:t>
      </w:r>
      <w:r w:rsidRPr="00AC77DF">
        <w:t>條規定之公益維護</w:t>
      </w:r>
      <w:r w:rsidR="00CF3D37">
        <w:rPr>
          <w:rFonts w:hint="eastAsia"/>
          <w:lang w:eastAsia="zh-TW"/>
        </w:rPr>
        <w:t>權</w:t>
      </w:r>
      <w:r w:rsidRPr="00AC77DF">
        <w:t>衡輕重，致侵害原住民族之生存權及平等權；前經行政院院長</w:t>
      </w:r>
      <w:r w:rsidRPr="00AC77DF">
        <w:t>106</w:t>
      </w:r>
      <w:r w:rsidRPr="00AC77DF">
        <w:t>年</w:t>
      </w:r>
      <w:r w:rsidRPr="00AC77DF">
        <w:t>6</w:t>
      </w:r>
      <w:r w:rsidRPr="00AC77DF">
        <w:t>月</w:t>
      </w:r>
      <w:r w:rsidRPr="00AC77DF">
        <w:t>13</w:t>
      </w:r>
      <w:r w:rsidRPr="00AC77DF">
        <w:t>日指示於</w:t>
      </w:r>
      <w:r w:rsidRPr="00AC77DF">
        <w:t>1</w:t>
      </w:r>
      <w:r w:rsidRPr="00AC77DF">
        <w:t>週內檢視該展限案之核准程序有無不法時，再度忽視前述應不予核准展限之情形，仍認為展限程序合法，未為任何修正。</w:t>
      </w:r>
    </w:p>
    <w:p w:rsidR="003807A5" w:rsidRPr="00AC77DF" w:rsidRDefault="00287E7B" w:rsidP="00564517">
      <w:pPr>
        <w:pStyle w:val="1--13"/>
        <w:spacing w:before="180" w:after="180"/>
      </w:pPr>
      <w:r w:rsidRPr="008E1832">
        <w:rPr>
          <w:rFonts w:hint="eastAsia"/>
        </w:rPr>
        <w:t>˙</w:t>
      </w:r>
      <w:r w:rsidR="003807A5" w:rsidRPr="00AC77DF">
        <w:t>現行法制</w:t>
      </w:r>
      <w:r w:rsidR="00E0475A">
        <w:rPr>
          <w:rFonts w:hint="eastAsia"/>
        </w:rPr>
        <w:t>適用問題</w:t>
      </w:r>
    </w:p>
    <w:p w:rsidR="003807A5" w:rsidRPr="00AC77DF" w:rsidRDefault="003807A5" w:rsidP="00234F21">
      <w:pPr>
        <w:pStyle w:val="1---"/>
        <w:ind w:firstLine="480"/>
      </w:pPr>
      <w:r w:rsidRPr="00AC77DF">
        <w:t>現行礦業法之適用存有諸多不當之處，例如對於有關礦業權設定及展限核准之審核等事項，均非妥適，主管機關經濟部應儘速妥予研議檢討修正。</w:t>
      </w:r>
    </w:p>
    <w:p w:rsidR="003807A5" w:rsidRPr="00AC77DF" w:rsidRDefault="003807A5" w:rsidP="00234F21">
      <w:pPr>
        <w:pStyle w:val="1---"/>
        <w:ind w:firstLine="480"/>
      </w:pPr>
      <w:r w:rsidRPr="00AC77DF">
        <w:t>行政院秘書長於</w:t>
      </w:r>
      <w:r w:rsidRPr="00AC77DF">
        <w:t>105</w:t>
      </w:r>
      <w:r w:rsidRPr="00AC77DF">
        <w:t>年</w:t>
      </w:r>
      <w:r w:rsidRPr="00AC77DF">
        <w:t>11</w:t>
      </w:r>
      <w:r w:rsidRPr="00AC77DF">
        <w:t>月</w:t>
      </w:r>
      <w:r w:rsidRPr="00AC77DF">
        <w:t>22</w:t>
      </w:r>
      <w:r w:rsidRPr="00AC77DF">
        <w:t>日函請相關部會依行政院政務委員張景森及林萬億於同年</w:t>
      </w:r>
      <w:r w:rsidRPr="00AC77DF">
        <w:t>11</w:t>
      </w:r>
      <w:r w:rsidRPr="00AC77DF">
        <w:t>月</w:t>
      </w:r>
      <w:r w:rsidRPr="00AC77DF">
        <w:t>7</w:t>
      </w:r>
      <w:r w:rsidRPr="00AC77DF">
        <w:t>日共同主持「研商礦業案件踐行原基法第</w:t>
      </w:r>
      <w:r w:rsidRPr="00AC77DF">
        <w:t>21</w:t>
      </w:r>
      <w:r w:rsidRPr="00AC77DF">
        <w:t>條規定之時點」會議時，所為之裁示，致使該法條規定有關原住民族土地及自然資源權利保障之目的均無法達成，實質上被排除適用，有未依法行政之違失。</w:t>
      </w:r>
    </w:p>
    <w:p w:rsidR="003807A5" w:rsidRPr="00AC77DF" w:rsidRDefault="00287E7B" w:rsidP="00564517">
      <w:pPr>
        <w:pStyle w:val="1--13"/>
        <w:spacing w:before="180" w:after="180"/>
      </w:pPr>
      <w:r w:rsidRPr="008E1832">
        <w:rPr>
          <w:rFonts w:hint="eastAsia"/>
        </w:rPr>
        <w:t>˙</w:t>
      </w:r>
      <w:r w:rsidR="003807A5" w:rsidRPr="00AC77DF">
        <w:t>地方政府未</w:t>
      </w:r>
      <w:r w:rsidR="00FE5E5C">
        <w:rPr>
          <w:rFonts w:hint="eastAsia"/>
        </w:rPr>
        <w:t>積</w:t>
      </w:r>
      <w:r w:rsidR="003807A5" w:rsidRPr="00AC77DF">
        <w:t>極要求返還土地</w:t>
      </w:r>
    </w:p>
    <w:p w:rsidR="003807A5" w:rsidRPr="00AC77DF" w:rsidRDefault="003807A5" w:rsidP="00234F21">
      <w:pPr>
        <w:pStyle w:val="1---"/>
        <w:ind w:firstLine="480"/>
        <w:rPr>
          <w:b/>
          <w:i/>
        </w:rPr>
      </w:pPr>
      <w:r w:rsidRPr="00AC77DF">
        <w:t>花蓮縣政府既因維護自然環境生態永續發展而不允</w:t>
      </w:r>
      <w:r w:rsidR="00FE5E5C">
        <w:rPr>
          <w:rFonts w:hint="eastAsia"/>
        </w:rPr>
        <w:t>許</w:t>
      </w:r>
      <w:r w:rsidRPr="00AC77DF">
        <w:t>出租</w:t>
      </w:r>
      <w:r w:rsidRPr="00AC77DF">
        <w:lastRenderedPageBreak/>
        <w:t>礦場用地，卻又未積極依循民事訴訟程序請求返還土地，任令亞泥公司繼續使用收益前述原住民保留地，形同「坐在權利上睡覺</w:t>
      </w:r>
      <w:r w:rsidRPr="00983675">
        <w:rPr>
          <w:spacing w:val="-26"/>
        </w:rPr>
        <w:t>」</w:t>
      </w:r>
      <w:r w:rsidRPr="00AC77DF">
        <w:t>，雖經審計部指正，該府</w:t>
      </w:r>
      <w:r w:rsidR="00FE5E5C">
        <w:rPr>
          <w:rFonts w:hint="eastAsia"/>
        </w:rPr>
        <w:t>卻</w:t>
      </w:r>
      <w:r w:rsidRPr="00AC77DF">
        <w:t>仍置之不理。</w:t>
      </w:r>
    </w:p>
    <w:p w:rsidR="003807A5" w:rsidRPr="00AC77DF" w:rsidRDefault="003807A5" w:rsidP="00234F21">
      <w:pPr>
        <w:pStyle w:val="1---"/>
        <w:ind w:firstLine="480"/>
        <w:rPr>
          <w:b/>
          <w:i/>
        </w:rPr>
      </w:pPr>
      <w:r w:rsidRPr="00AC77DF">
        <w:t>花蓮縣政府就本案礦業用地續租申請案所持態度及政策反覆且相關行政作為延宕。</w:t>
      </w:r>
    </w:p>
    <w:p w:rsidR="003807A5" w:rsidRPr="00AC77DF" w:rsidRDefault="003807A5" w:rsidP="00234F21">
      <w:pPr>
        <w:pStyle w:val="1---"/>
        <w:ind w:firstLine="480"/>
      </w:pPr>
      <w:r w:rsidRPr="00AC77DF">
        <w:t>依據本案調查意見</w:t>
      </w:r>
      <w:r w:rsidRPr="00F85A65">
        <w:rPr>
          <w:rStyle w:val="aff2"/>
        </w:rPr>
        <w:footnoteReference w:id="139"/>
      </w:r>
      <w:r w:rsidRPr="00AC77DF">
        <w:t>，監察院糾正經濟部及花蓮縣政府；並函請行政院、經濟部檢討改進及妥處見復；另函請法務部轉飭所屬調查局就案關人員有無涉及刑事不法情事，查處見復。</w:t>
      </w:r>
    </w:p>
    <w:p w:rsidR="003807A5" w:rsidRPr="00AC77DF" w:rsidRDefault="007460A4" w:rsidP="000B692A">
      <w:pPr>
        <w:pStyle w:val="afff1"/>
        <w:spacing w:before="360" w:after="360"/>
      </w:pPr>
      <w:r>
        <w:rPr>
          <w:rFonts w:hint="eastAsia"/>
        </w:rPr>
        <w:t>(三)</w:t>
      </w:r>
      <w:r w:rsidR="003807A5" w:rsidRPr="00AC77DF">
        <w:t>政府機關改善情形</w:t>
      </w:r>
    </w:p>
    <w:p w:rsidR="003807A5" w:rsidRPr="00AC77DF" w:rsidRDefault="003807A5" w:rsidP="00983675">
      <w:pPr>
        <w:pStyle w:val="1----"/>
        <w:ind w:left="600" w:hanging="360"/>
        <w:jc w:val="distribute"/>
      </w:pPr>
      <w:r w:rsidRPr="00AC77DF">
        <w:t>1</w:t>
      </w:r>
      <w:r w:rsidRPr="00AC77DF">
        <w:t>、經濟部未來針對礦業權展限案件，將與花蓮縣政府於意見</w:t>
      </w:r>
      <w:r w:rsidRPr="00983675">
        <w:rPr>
          <w:spacing w:val="-4"/>
        </w:rPr>
        <w:t>交流、公文書函意見表達間，做更明確的溝通，避免爭議。</w:t>
      </w:r>
    </w:p>
    <w:p w:rsidR="003807A5" w:rsidRPr="00AC77DF" w:rsidRDefault="003807A5" w:rsidP="00425EE5">
      <w:pPr>
        <w:pStyle w:val="1----"/>
        <w:ind w:left="600" w:hanging="360"/>
      </w:pPr>
      <w:r w:rsidRPr="00AC77DF">
        <w:t>2</w:t>
      </w:r>
      <w:r w:rsidRPr="00AC77DF">
        <w:t>、花蓮縣政府已追繳亞泥公司、台泥公司之礦業用地租金與孳息，並議處秀林鄉公所相關承辦人員，同時採取檢討改善措施。</w:t>
      </w:r>
    </w:p>
    <w:p w:rsidR="003807A5" w:rsidRPr="00AC77DF" w:rsidRDefault="007460A4" w:rsidP="000B692A">
      <w:pPr>
        <w:pStyle w:val="afff1"/>
        <w:spacing w:before="360" w:after="360"/>
      </w:pPr>
      <w:r>
        <w:rPr>
          <w:rFonts w:hint="eastAsia"/>
        </w:rPr>
        <w:t>(四)</w:t>
      </w:r>
      <w:r w:rsidR="003807A5" w:rsidRPr="00AC77DF">
        <w:t>案件進展</w:t>
      </w:r>
    </w:p>
    <w:p w:rsidR="003807A5" w:rsidRDefault="003807A5" w:rsidP="00234F21">
      <w:pPr>
        <w:pStyle w:val="1---"/>
        <w:ind w:firstLine="480"/>
        <w:rPr>
          <w:lang w:eastAsia="zh-TW"/>
        </w:rPr>
      </w:pPr>
      <w:r w:rsidRPr="00AC77DF">
        <w:t>本案監察院仍持續追蹤中。</w:t>
      </w:r>
    </w:p>
    <w:p w:rsidR="007460A4" w:rsidRDefault="007460A4" w:rsidP="00234F21">
      <w:pPr>
        <w:pStyle w:val="1---"/>
        <w:ind w:firstLine="480"/>
        <w:rPr>
          <w:lang w:eastAsia="zh-TW"/>
        </w:rPr>
      </w:pPr>
    </w:p>
    <w:p w:rsidR="00CF3D37" w:rsidRDefault="00CF3D37">
      <w:r>
        <w:rPr>
          <w:shadow/>
        </w:rPr>
        <w:br w:type="page"/>
      </w:r>
    </w:p>
    <w:tbl>
      <w:tblPr>
        <w:tblStyle w:val="aff5"/>
        <w:tblW w:w="0" w:type="auto"/>
        <w:tblInd w:w="113" w:type="dxa"/>
        <w:shd w:val="clear" w:color="auto" w:fill="D9D9D9" w:themeFill="background1" w:themeFillShade="D9"/>
        <w:tblLook w:val="04A0" w:firstRow="1" w:lastRow="0" w:firstColumn="1" w:lastColumn="0" w:noHBand="0" w:noVBand="1"/>
      </w:tblPr>
      <w:tblGrid>
        <w:gridCol w:w="5127"/>
      </w:tblGrid>
      <w:tr w:rsidR="007460A4" w:rsidTr="00983675">
        <w:tc>
          <w:tcPr>
            <w:tcW w:w="5127" w:type="dxa"/>
            <w:shd w:val="clear" w:color="auto" w:fill="D9D9D9" w:themeFill="background1" w:themeFillShade="D9"/>
          </w:tcPr>
          <w:p w:rsidR="007460A4" w:rsidRDefault="007460A4" w:rsidP="007460A4">
            <w:pPr>
              <w:pStyle w:val="11-"/>
              <w:spacing w:before="72" w:after="108"/>
              <w:rPr>
                <w:lang w:eastAsia="zh-TW"/>
              </w:rPr>
            </w:pPr>
            <w:r w:rsidRPr="00D6414B">
              <w:rPr>
                <w:rFonts w:hint="eastAsia"/>
              </w:rPr>
              <w:lastRenderedPageBreak/>
              <w:t>水源保護區現有礦區</w:t>
            </w:r>
            <w:r>
              <w:rPr>
                <w:rFonts w:hint="eastAsia"/>
                <w:lang w:eastAsia="zh-HK"/>
              </w:rPr>
              <w:t>對</w:t>
            </w:r>
            <w:r w:rsidRPr="00D6414B">
              <w:rPr>
                <w:rFonts w:hint="eastAsia"/>
              </w:rPr>
              <w:t>生態環境</w:t>
            </w:r>
            <w:r>
              <w:rPr>
                <w:rFonts w:hint="eastAsia"/>
                <w:lang w:eastAsia="zh-HK"/>
              </w:rPr>
              <w:t>影響</w:t>
            </w:r>
          </w:p>
        </w:tc>
      </w:tr>
    </w:tbl>
    <w:bookmarkStart w:id="641" w:name="_Toc4058828"/>
    <w:bookmarkStart w:id="642" w:name="_Toc535228417"/>
    <w:p w:rsidR="00D6414B" w:rsidRPr="00AC77DF" w:rsidRDefault="00D6414B" w:rsidP="007460A4">
      <w:pPr>
        <w:pStyle w:val="1---"/>
        <w:ind w:firstLine="480"/>
        <w:rPr>
          <w:i/>
        </w:rPr>
      </w:pPr>
      <w:r w:rsidRPr="00AC77DF">
        <w:rPr>
          <w:i/>
          <w:noProof/>
          <w:lang w:val="en-US" w:eastAsia="zh-TW"/>
        </w:rPr>
        <mc:AlternateContent>
          <mc:Choice Requires="wps">
            <w:drawing>
              <wp:anchor distT="0" distB="0" distL="114300" distR="114300" simplePos="0" relativeHeight="251966464" behindDoc="0" locked="1" layoutInCell="1" allowOverlap="1" wp14:anchorId="5AFB8C40" wp14:editId="7F4064FD">
                <wp:simplePos x="0" y="0"/>
                <wp:positionH relativeFrom="column">
                  <wp:posOffset>7989570</wp:posOffset>
                </wp:positionH>
                <wp:positionV relativeFrom="paragraph">
                  <wp:posOffset>-773430</wp:posOffset>
                </wp:positionV>
                <wp:extent cx="635000" cy="317500"/>
                <wp:effectExtent l="0" t="0" r="0" b="0"/>
                <wp:wrapNone/>
                <wp:docPr id="154" name="記錄"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832" w:rsidRDefault="00970832" w:rsidP="00D6414B">
                            <w:pPr>
                              <w:jc w:val="center"/>
                              <w:rPr>
                                <w:sz w:val="18"/>
                              </w:rPr>
                            </w:pPr>
                            <w:r>
                              <w:rPr>
                                <w:sz w:val="18"/>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7" type="#_x0000_t202" style="position:absolute;left:0;text-align:left;margin-left:629.1pt;margin-top:-60.9pt;width:50pt;height:25pt;z-index:2519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" stroked="f">
                <v:textbox>
                  <w:txbxContent>
                    <w:p w:rsidR="00895792" w:rsidRDefault="00895792" w:rsidP="00D6414B">
                      <w:pPr>
                        <w:jc w:val="center"/>
                        <w:rPr>
                          <w:sz w:val="18"/>
                        </w:rPr>
                      </w:pPr>
                      <w:r>
                        <w:rPr>
                          <w:sz w:val="18"/>
                        </w:rPr>
                        <w:t>00</w:t>
                      </w:r>
                    </w:p>
                  </w:txbxContent>
                </v:textbox>
                <w10:anchorlock/>
              </v:shape>
            </w:pict>
          </mc:Fallback>
        </mc:AlternateContent>
      </w:r>
      <w:r w:rsidRPr="00AC77DF">
        <w:rPr>
          <w:i/>
          <w:noProof/>
          <w:lang w:val="en-US" w:eastAsia="zh-TW"/>
        </w:rPr>
        <mc:AlternateContent>
          <mc:Choice Requires="wpg">
            <w:drawing>
              <wp:anchor distT="0" distB="0" distL="114300" distR="114300" simplePos="0" relativeHeight="251965440" behindDoc="0" locked="1" layoutInCell="0" allowOverlap="1" wp14:anchorId="646F33C5" wp14:editId="19220222">
                <wp:simplePos x="0" y="0"/>
                <wp:positionH relativeFrom="column">
                  <wp:posOffset>-1481455</wp:posOffset>
                </wp:positionH>
                <wp:positionV relativeFrom="paragraph">
                  <wp:posOffset>175260</wp:posOffset>
                </wp:positionV>
                <wp:extent cx="428625" cy="8658225"/>
                <wp:effectExtent l="0" t="0" r="9525" b="9525"/>
                <wp:wrapNone/>
                <wp:docPr id="155" name="裝訂線"/>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28625" cy="8658225"/>
                          <a:chOff x="745" y="1414"/>
                          <a:chExt cx="235" cy="13920"/>
                        </a:xfrm>
                      </wpg:grpSpPr>
                      <wps:wsp>
                        <wps:cNvPr id="156" name="Line 13"/>
                        <wps:cNvCnPr/>
                        <wps:spPr bwMode="auto">
                          <a:xfrm>
                            <a:off x="851" y="1414"/>
                            <a:ext cx="0" cy="139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7" name="Text Box 14"/>
                        <wps:cNvSpPr txBox="1">
                          <a:spLocks noChangeArrowheads="1"/>
                        </wps:cNvSpPr>
                        <wps:spPr bwMode="auto">
                          <a:xfrm>
                            <a:off x="745" y="5523"/>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D6414B">
                              <w:pPr>
                                <w:kinsoku w:val="0"/>
                                <w:wordWrap w:val="0"/>
                                <w:overflowPunct w:val="0"/>
                                <w:rPr>
                                  <w:sz w:val="20"/>
                                </w:rPr>
                              </w:pPr>
                              <w:r>
                                <w:rPr>
                                  <w:rFonts w:hint="eastAsia"/>
                                  <w:sz w:val="20"/>
                                </w:rPr>
                                <w:t>裝</w:t>
                              </w:r>
                            </w:p>
                          </w:txbxContent>
                        </wps:txbx>
                        <wps:bodyPr rot="0" vert="horz" wrap="square" lIns="0" tIns="0" rIns="0" bIns="0" anchor="t" anchorCtr="0" upright="1">
                          <a:noAutofit/>
                        </wps:bodyPr>
                      </wps:wsp>
                      <wps:wsp>
                        <wps:cNvPr id="158" name="Text Box 15"/>
                        <wps:cNvSpPr txBox="1">
                          <a:spLocks noChangeArrowheads="1"/>
                        </wps:cNvSpPr>
                        <wps:spPr bwMode="auto">
                          <a:xfrm>
                            <a:off x="745" y="8312"/>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D6414B">
                              <w:pPr>
                                <w:kinsoku w:val="0"/>
                                <w:wordWrap w:val="0"/>
                                <w:overflowPunct w:val="0"/>
                                <w:rPr>
                                  <w:sz w:val="20"/>
                                </w:rPr>
                              </w:pPr>
                              <w:r>
                                <w:rPr>
                                  <w:rFonts w:hint="eastAsia"/>
                                  <w:sz w:val="20"/>
                                </w:rPr>
                                <w:t>訂</w:t>
                              </w:r>
                            </w:p>
                          </w:txbxContent>
                        </wps:txbx>
                        <wps:bodyPr rot="0" vert="horz" wrap="square" lIns="0" tIns="0" rIns="0" bIns="0" anchor="t" anchorCtr="0" upright="1">
                          <a:noAutofit/>
                        </wps:bodyPr>
                      </wps:wsp>
                      <wps:wsp>
                        <wps:cNvPr id="159" name="Text Box 16"/>
                        <wps:cNvSpPr txBox="1">
                          <a:spLocks noChangeArrowheads="1"/>
                        </wps:cNvSpPr>
                        <wps:spPr bwMode="auto">
                          <a:xfrm>
                            <a:off x="745" y="11127"/>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D6414B">
                              <w:pPr>
                                <w:kinsoku w:val="0"/>
                                <w:wordWrap w:val="0"/>
                                <w:overflowPunct w:val="0"/>
                                <w:rPr>
                                  <w:sz w:val="20"/>
                                </w:rPr>
                              </w:pPr>
                              <w:r>
                                <w:rPr>
                                  <w:rFonts w:hint="eastAsia"/>
                                  <w:sz w:val="20"/>
                                </w:rPr>
                                <w:t>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58" style="position:absolute;left:0;text-align:left;margin-left:-116.65pt;margin-top:13.8pt;width:33.75pt;height:681.75pt;flip:x;z-index:251965440" coordorigin="745,1414" coordsize="235,1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" o:allowincell="f">
                <v:line id="Line 13" o:spid="_x0000_s1159" style="position:absolute;visibility:visible;mso-wrap-style:square" from="851,1414" to="851,1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pMAcIAAADcAAAADwAAAGRycy9kb3ducmV2LnhtbERPS2sCMRC+C/0PYQreNFtBbbdGqYJg&#10;XwdXBY/DZkyWbibLJtXtv28Ewdt8fM+ZLTpXizO1ofKs4GmYgSAuva7YKNjv1oNnECEia6w9k4I/&#10;CrCYP/RmmGt/4S2di2hECuGQowIbY5NLGUpLDsPQN8SJO/nWYUywNVK3eEnhrpajLJtIhxWnBosN&#10;rSyVP8WvU/A53dQHw8fi6/0Ulv7lYyu/jVWq/9i9vYKI1MW7+Obe6DR/PIHrM+kC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kpMAcIAAADcAAAADwAAAAAAAAAAAAAA&#10;AAChAgAAZHJzL2Rvd25yZXYueG1sUEsFBgAAAAAEAAQA+QAAAJADAAAAAA==&#10;">
                  <v:stroke dashstyle="1 1"/>
                </v:line>
                <v:shape id="Text Box 14" o:spid="_x0000_s1160" type="#_x0000_t202" style="position:absolute;left:745;top:5523;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DqaMIA&#10;AADcAAAADwAAAGRycy9kb3ducmV2LnhtbERPTYvCMBC9L/gfwgh701Shu1KNorLiunhRi3gcmrEt&#10;NpPSRK3/3gjC3ubxPmcya00lbtS40rKCQT8CQZxZXXKuID2seiMQziNrrCyTggc5mE07HxNMtL3z&#10;jm57n4sQwi5BBYX3dSKlywoy6Pq2Jg7c2TYGfYBNLnWD9xBuKjmMoi9psOTQUGBNy4Kyy/5qFGz0&#10;US7iNNplp5Ne/6y2cTr8i5X67LbzMQhPrf8Xv92/OsyPv+H1TLh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gOpowgAAANwAAAAPAAAAAAAAAAAAAAAAAJgCAABkcnMvZG93&#10;bnJldi54bWxQSwUGAAAAAAQABAD1AAAAhwMAAAAA&#10;" filled="f" stroked="f">
                  <v:stroke dashstyle="1 1"/>
                  <v:textbox inset="0,0,0,0">
                    <w:txbxContent>
                      <w:p w:rsidR="00895792" w:rsidRDefault="00895792" w:rsidP="00D6414B">
                        <w:pPr>
                          <w:kinsoku w:val="0"/>
                          <w:wordWrap w:val="0"/>
                          <w:overflowPunct w:val="0"/>
                          <w:rPr>
                            <w:sz w:val="20"/>
                          </w:rPr>
                        </w:pPr>
                        <w:r>
                          <w:rPr>
                            <w:rFonts w:hint="eastAsia"/>
                            <w:sz w:val="20"/>
                          </w:rPr>
                          <w:t>裝</w:t>
                        </w:r>
                      </w:p>
                    </w:txbxContent>
                  </v:textbox>
                </v:shape>
                <v:shape id="Text Box 15" o:spid="_x0000_s1161" type="#_x0000_t202" style="position:absolute;left:745;top:8312;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9+GsUA&#10;AADcAAAADwAAAGRycy9kb3ducmV2LnhtbESPQWvCQBCF7wX/wzKCt7pRSCnRVVQqttKLGsTjkB2T&#10;YHY2ZLea/nvnUOhthvfmvW/my9416k5dqD0bmIwTUMSFtzWXBvLT9vUdVIjIFhvPZOCXAiwXg5c5&#10;ZtY/+ED3YyyVhHDI0EAVY5tpHYqKHIaxb4lFu/rOYZS1K7Xt8CHhrtHTJHnTDmuWhgpb2lRU3I4/&#10;zsCXPet1mieH4nKxu4/td5pP96kxo2G/moGK1Md/89/1pxX8VGjlGZlAL5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H34axQAAANwAAAAPAAAAAAAAAAAAAAAAAJgCAABkcnMv&#10;ZG93bnJldi54bWxQSwUGAAAAAAQABAD1AAAAigMAAAAA&#10;" filled="f" stroked="f">
                  <v:stroke dashstyle="1 1"/>
                  <v:textbox inset="0,0,0,0">
                    <w:txbxContent>
                      <w:p w:rsidR="00895792" w:rsidRDefault="00895792" w:rsidP="00D6414B">
                        <w:pPr>
                          <w:kinsoku w:val="0"/>
                          <w:wordWrap w:val="0"/>
                          <w:overflowPunct w:val="0"/>
                          <w:rPr>
                            <w:sz w:val="20"/>
                          </w:rPr>
                        </w:pPr>
                        <w:r>
                          <w:rPr>
                            <w:rFonts w:hint="eastAsia"/>
                            <w:sz w:val="20"/>
                          </w:rPr>
                          <w:t>訂</w:t>
                        </w:r>
                      </w:p>
                    </w:txbxContent>
                  </v:textbox>
                </v:shape>
                <v:shape id="Text Box 16" o:spid="_x0000_s1162" type="#_x0000_t202" style="position:absolute;left:745;top:11127;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PbgcIA&#10;AADcAAAADwAAAGRycy9kb3ducmV2LnhtbERPTYvCMBC9L/gfwgh701Shy1qNorLiunhRi3gcmrEt&#10;NpPSRK3/3gjC3ubxPmcya00lbtS40rKCQT8CQZxZXXKuID2set8gnEfWWFkmBQ9yMJt2PiaYaHvn&#10;Hd32PhchhF2CCgrv60RKlxVk0PVtTRy4s20M+gCbXOoG7yHcVHIYRV/SYMmhocCalgVll/3VKNjo&#10;o1zEabTLTie9/llt43T4Fyv12W3nYxCeWv8vfrt/dZgfj+D1TLh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U9uBwgAAANwAAAAPAAAAAAAAAAAAAAAAAJgCAABkcnMvZG93&#10;bnJldi54bWxQSwUGAAAAAAQABAD1AAAAhwMAAAAA&#10;" filled="f" stroked="f">
                  <v:stroke dashstyle="1 1"/>
                  <v:textbox inset="0,0,0,0">
                    <w:txbxContent>
                      <w:p w:rsidR="00895792" w:rsidRDefault="00895792" w:rsidP="00D6414B">
                        <w:pPr>
                          <w:kinsoku w:val="0"/>
                          <w:wordWrap w:val="0"/>
                          <w:overflowPunct w:val="0"/>
                          <w:rPr>
                            <w:sz w:val="20"/>
                          </w:rPr>
                        </w:pPr>
                        <w:r>
                          <w:rPr>
                            <w:rFonts w:hint="eastAsia"/>
                            <w:sz w:val="20"/>
                          </w:rPr>
                          <w:t>線</w:t>
                        </w:r>
                      </w:p>
                    </w:txbxContent>
                  </v:textbox>
                </v:shape>
                <w10:anchorlock/>
              </v:group>
            </w:pict>
          </mc:Fallback>
        </mc:AlternateContent>
      </w:r>
      <w:r w:rsidRPr="00AC77DF">
        <w:rPr>
          <w:i/>
          <w:noProof/>
          <w:lang w:val="en-US" w:eastAsia="zh-TW"/>
        </w:rPr>
        <mc:AlternateContent>
          <mc:Choice Requires="wps">
            <w:drawing>
              <wp:anchor distT="0" distB="0" distL="114300" distR="114300" simplePos="0" relativeHeight="251964416" behindDoc="0" locked="1" layoutInCell="0" allowOverlap="1" wp14:anchorId="48B8859A" wp14:editId="69EA4813">
                <wp:simplePos x="0" y="0"/>
                <wp:positionH relativeFrom="column">
                  <wp:posOffset>-609600</wp:posOffset>
                </wp:positionH>
                <wp:positionV relativeFrom="page">
                  <wp:posOffset>443230</wp:posOffset>
                </wp:positionV>
                <wp:extent cx="636905" cy="396240"/>
                <wp:effectExtent l="9525" t="5080" r="10795" b="8255"/>
                <wp:wrapNone/>
                <wp:docPr id="160" name="函正本"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832" w:rsidRDefault="00970832" w:rsidP="00D6414B">
                            <w:pPr>
                              <w:jc w:val="center"/>
                              <w:rPr>
                                <w:color w:val="000000"/>
                                <w:sz w:val="36"/>
                              </w:rPr>
                            </w:pPr>
                            <w:r>
                              <w:rPr>
                                <w:rFonts w:hint="eastAsia"/>
                                <w:color w:val="000000"/>
                                <w:sz w:val="36"/>
                              </w:rPr>
                              <w:t>正本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63" type="#_x0000_t202" style="position:absolute;left:0;text-align:left;margin-left:-48pt;margin-top:34.9pt;width:50.15pt;height:31.2pt;z-index:251964416;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" o:allowincell="f" filled="f">
                <v:textbox inset=".5mm,,.5mm">
                  <w:txbxContent>
                    <w:p w:rsidR="00895792" w:rsidRDefault="00895792" w:rsidP="00D6414B">
                      <w:pPr>
                        <w:jc w:val="center"/>
                        <w:rPr>
                          <w:color w:val="000000"/>
                          <w:sz w:val="36"/>
                        </w:rPr>
                      </w:pPr>
                      <w:r>
                        <w:rPr>
                          <w:rFonts w:hint="eastAsia"/>
                          <w:color w:val="000000"/>
                          <w:sz w:val="36"/>
                        </w:rPr>
                        <w:t>正本</w:t>
                      </w:r>
                    </w:p>
                  </w:txbxContent>
                </v:textbox>
                <w10:wrap anchory="page"/>
                <w10:anchorlock/>
              </v:shape>
            </w:pict>
          </mc:Fallback>
        </mc:AlternateContent>
      </w:r>
      <w:r w:rsidRPr="00AC77DF">
        <w:rPr>
          <w:i/>
          <w:noProof/>
          <w:lang w:val="en-US" w:eastAsia="zh-TW"/>
        </w:rPr>
        <mc:AlternateContent>
          <mc:Choice Requires="wps">
            <w:drawing>
              <wp:anchor distT="0" distB="0" distL="114300" distR="114300" simplePos="0" relativeHeight="251963392" behindDoc="0" locked="1" layoutInCell="0" allowOverlap="1" wp14:anchorId="5BDBE6A7" wp14:editId="1E2C8823">
                <wp:simplePos x="0" y="0"/>
                <wp:positionH relativeFrom="column">
                  <wp:posOffset>-609600</wp:posOffset>
                </wp:positionH>
                <wp:positionV relativeFrom="page">
                  <wp:posOffset>442595</wp:posOffset>
                </wp:positionV>
                <wp:extent cx="636905" cy="396240"/>
                <wp:effectExtent l="9525" t="13970" r="10795" b="8890"/>
                <wp:wrapNone/>
                <wp:docPr id="161" name="函副本"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832" w:rsidRDefault="00970832" w:rsidP="00D6414B">
                            <w:pPr>
                              <w:jc w:val="center"/>
                              <w:rPr>
                                <w:color w:val="000000"/>
                                <w:sz w:val="36"/>
                              </w:rPr>
                            </w:pPr>
                            <w:r>
                              <w:rPr>
                                <w:rFonts w:hint="eastAsia"/>
                                <w:color w:val="000000"/>
                                <w:sz w:val="36"/>
                              </w:rPr>
                              <w:t>副本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64" type="#_x0000_t202" style="position:absolute;left:0;text-align:left;margin-left:-48pt;margin-top:34.85pt;width:50.15pt;height:31.2pt;z-index:251963392;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" o:allowincell="f" filled="f">
                <v:textbox inset=".5mm,,.5mm">
                  <w:txbxContent>
                    <w:p w:rsidR="00895792" w:rsidRDefault="00895792" w:rsidP="00D6414B">
                      <w:pPr>
                        <w:jc w:val="center"/>
                        <w:rPr>
                          <w:color w:val="000000"/>
                          <w:sz w:val="36"/>
                        </w:rPr>
                      </w:pPr>
                      <w:r>
                        <w:rPr>
                          <w:rFonts w:hint="eastAsia"/>
                          <w:color w:val="000000"/>
                          <w:sz w:val="36"/>
                        </w:rPr>
                        <w:t>副本</w:t>
                      </w:r>
                    </w:p>
                  </w:txbxContent>
                </v:textbox>
                <w10:wrap anchory="page"/>
                <w10:anchorlock/>
              </v:shape>
            </w:pict>
          </mc:Fallback>
        </mc:AlternateContent>
      </w:r>
      <w:r w:rsidRPr="00AC77DF">
        <w:rPr>
          <w:i/>
          <w:noProof/>
          <w:lang w:val="en-US" w:eastAsia="zh-TW"/>
        </w:rPr>
        <mc:AlternateContent>
          <mc:Choice Requires="wps">
            <w:drawing>
              <wp:anchor distT="0" distB="0" distL="114300" distR="114300" simplePos="0" relativeHeight="251962368" behindDoc="0" locked="1" layoutInCell="0" allowOverlap="1" wp14:anchorId="2D6F56AC" wp14:editId="235CC18E">
                <wp:simplePos x="0" y="0"/>
                <wp:positionH relativeFrom="column">
                  <wp:posOffset>2819400</wp:posOffset>
                </wp:positionH>
                <wp:positionV relativeFrom="page">
                  <wp:posOffset>443230</wp:posOffset>
                </wp:positionV>
                <wp:extent cx="1440180" cy="360045"/>
                <wp:effectExtent l="9525" t="5080" r="7620" b="6350"/>
                <wp:wrapNone/>
                <wp:docPr id="162" name="首長大名"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970832" w:rsidRDefault="00970832" w:rsidP="00D6414B">
                            <w:r>
                              <w:rPr>
                                <w:rFonts w:hint="eastAsia"/>
                              </w:rPr>
                              <w:t>院長王○○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65" type="#_x0000_t202" style="position:absolute;left:0;text-align:left;margin-left:222pt;margin-top:34.9pt;width:113.4pt;height:28.35pt;z-index:251962368;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" o:allowincell="f">
                <v:textbox>
                  <w:txbxContent>
                    <w:p w:rsidR="00895792" w:rsidRDefault="00895792" w:rsidP="00D6414B">
                      <w:r>
                        <w:rPr>
                          <w:rFonts w:hint="eastAsia"/>
                        </w:rPr>
                        <w:t>院長王○○</w:t>
                      </w:r>
                    </w:p>
                  </w:txbxContent>
                </v:textbox>
                <w10:wrap anchory="page"/>
                <w10:anchorlock/>
              </v:shape>
            </w:pict>
          </mc:Fallback>
        </mc:AlternateContent>
      </w:r>
      <w:r w:rsidRPr="00AC77DF">
        <w:rPr>
          <w:i/>
          <w:noProof/>
          <w:lang w:val="en-US" w:eastAsia="zh-TW"/>
        </w:rPr>
        <mc:AlternateContent>
          <mc:Choice Requires="wps">
            <w:drawing>
              <wp:anchor distT="0" distB="0" distL="114300" distR="114300" simplePos="0" relativeHeight="251961344" behindDoc="0" locked="1" layoutInCell="0" allowOverlap="1" wp14:anchorId="387A197C" wp14:editId="3F308D07">
                <wp:simplePos x="0" y="0"/>
                <wp:positionH relativeFrom="column">
                  <wp:posOffset>1381125</wp:posOffset>
                </wp:positionH>
                <wp:positionV relativeFrom="page">
                  <wp:posOffset>443230</wp:posOffset>
                </wp:positionV>
                <wp:extent cx="1440180" cy="360045"/>
                <wp:effectExtent l="9525" t="5080" r="7620" b="6350"/>
                <wp:wrapNone/>
                <wp:docPr id="163" name="文別"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970832" w:rsidRDefault="00970832" w:rsidP="00D6414B">
                            <w:pPr>
                              <w:rPr>
                                <w:rFonts w:ascii="標楷體"/>
                              </w:rPr>
                            </w:pPr>
                            <w:r>
                              <w:rPr>
                                <w:rFonts w:ascii="標楷體" w:hint="eastAsia"/>
                              </w:rPr>
                              <w:t>函;函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66" type="#_x0000_t202" style="position:absolute;left:0;text-align:left;margin-left:108.75pt;margin-top:34.9pt;width:113.4pt;height:28.35pt;z-index:251961344;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" o:allowincell="f">
                <v:textbox>
                  <w:txbxContent>
                    <w:p w:rsidR="00895792" w:rsidRDefault="00895792" w:rsidP="00D6414B">
                      <w:pPr>
                        <w:rPr>
                          <w:rFonts w:ascii="標楷體"/>
                        </w:rPr>
                      </w:pPr>
                      <w:r>
                        <w:rPr>
                          <w:rFonts w:ascii="標楷體" w:hint="eastAsia"/>
                        </w:rPr>
                        <w:t>函;函</w:t>
                      </w:r>
                    </w:p>
                  </w:txbxContent>
                </v:textbox>
                <w10:wrap anchory="page"/>
                <w10:anchorlock/>
              </v:shape>
            </w:pict>
          </mc:Fallback>
        </mc:AlternateContent>
      </w:r>
      <w:bookmarkEnd w:id="641"/>
    </w:p>
    <w:tbl>
      <w:tblPr>
        <w:tblW w:w="4777" w:type="pct"/>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44"/>
      </w:tblGrid>
      <w:tr w:rsidR="00D6414B" w:rsidRPr="00AC77DF" w:rsidTr="00983675">
        <w:tc>
          <w:tcPr>
            <w:tcW w:w="5000" w:type="pct"/>
          </w:tcPr>
          <w:p w:rsidR="00D6414B" w:rsidRPr="00AC77DF" w:rsidRDefault="00D6414B" w:rsidP="00983675">
            <w:pPr>
              <w:spacing w:line="360" w:lineRule="exact"/>
              <w:jc w:val="both"/>
              <w:rPr>
                <w:lang w:val="x-none"/>
              </w:rPr>
            </w:pPr>
            <w:r w:rsidRPr="00AC77DF">
              <w:rPr>
                <w:b/>
                <w:lang w:val="x-none"/>
              </w:rPr>
              <w:t>相關國際人權公約：</w:t>
            </w:r>
            <w:r w:rsidR="003A33BD" w:rsidRPr="003A33BD">
              <w:rPr>
                <w:rFonts w:hint="eastAsia"/>
              </w:rPr>
              <w:t>公民與政治權利國際公約第</w:t>
            </w:r>
            <w:r w:rsidR="003A33BD" w:rsidRPr="003A33BD">
              <w:rPr>
                <w:rFonts w:hint="eastAsia"/>
              </w:rPr>
              <w:t>1</w:t>
            </w:r>
            <w:r w:rsidR="003A33BD" w:rsidRPr="003A33BD">
              <w:rPr>
                <w:rFonts w:hint="eastAsia"/>
              </w:rPr>
              <w:t>條、經濟社會文化權利國際公約第</w:t>
            </w:r>
            <w:r w:rsidR="003A33BD" w:rsidRPr="003A33BD">
              <w:rPr>
                <w:rFonts w:hint="eastAsia"/>
              </w:rPr>
              <w:t>1</w:t>
            </w:r>
            <w:r w:rsidR="003A33BD" w:rsidRPr="003A33BD">
              <w:rPr>
                <w:rFonts w:hint="eastAsia"/>
              </w:rPr>
              <w:t>條、第</w:t>
            </w:r>
            <w:r w:rsidR="003A33BD" w:rsidRPr="003A33BD">
              <w:rPr>
                <w:rFonts w:hint="eastAsia"/>
              </w:rPr>
              <w:t>2</w:t>
            </w:r>
            <w:r w:rsidR="003A33BD" w:rsidRPr="003A33BD">
              <w:rPr>
                <w:rFonts w:hint="eastAsia"/>
              </w:rPr>
              <w:t>條</w:t>
            </w:r>
          </w:p>
        </w:tc>
      </w:tr>
    </w:tbl>
    <w:p w:rsidR="00D6414B" w:rsidRPr="00AC77DF" w:rsidRDefault="00F34382" w:rsidP="000B692A">
      <w:pPr>
        <w:pStyle w:val="afff1"/>
        <w:spacing w:before="360" w:after="360"/>
      </w:pPr>
      <w:r>
        <w:rPr>
          <w:rFonts w:hint="eastAsia"/>
        </w:rPr>
        <w:t>(一)</w:t>
      </w:r>
      <w:r w:rsidR="00D6414B" w:rsidRPr="00AC77DF">
        <w:t>案情簡述</w:t>
      </w:r>
    </w:p>
    <w:p w:rsidR="00D6414B" w:rsidRPr="00AC77DF" w:rsidRDefault="003A33BD" w:rsidP="00234F21">
      <w:pPr>
        <w:pStyle w:val="1---"/>
        <w:ind w:firstLine="480"/>
      </w:pPr>
      <w:r w:rsidRPr="003A33BD">
        <w:rPr>
          <w:rFonts w:hint="eastAsia"/>
        </w:rPr>
        <w:t>位於飲用水水源保護區之現有礦區，</w:t>
      </w:r>
      <w:r>
        <w:rPr>
          <w:rFonts w:hint="eastAsia"/>
        </w:rPr>
        <w:t>是否</w:t>
      </w:r>
      <w:r w:rsidRPr="003A33BD">
        <w:rPr>
          <w:rFonts w:hint="eastAsia"/>
        </w:rPr>
        <w:t>有不符生態環境</w:t>
      </w:r>
      <w:r>
        <w:rPr>
          <w:rFonts w:hint="eastAsia"/>
        </w:rPr>
        <w:t>要求</w:t>
      </w:r>
      <w:r w:rsidRPr="003A33BD">
        <w:rPr>
          <w:rFonts w:hint="eastAsia"/>
        </w:rPr>
        <w:t>、國土保安及公共利益需求等情，</w:t>
      </w:r>
      <w:r w:rsidR="001A2FF4">
        <w:rPr>
          <w:rFonts w:hint="eastAsia"/>
        </w:rPr>
        <w:t>實有深入瞭解之必要，</w:t>
      </w:r>
      <w:r w:rsidRPr="003A33BD">
        <w:rPr>
          <w:rFonts w:hint="eastAsia"/>
        </w:rPr>
        <w:t>爰</w:t>
      </w:r>
      <w:r>
        <w:rPr>
          <w:rFonts w:hint="eastAsia"/>
        </w:rPr>
        <w:t>經監察委員</w:t>
      </w:r>
      <w:r w:rsidRPr="003A33BD">
        <w:rPr>
          <w:rFonts w:hint="eastAsia"/>
        </w:rPr>
        <w:t>立案調查</w:t>
      </w:r>
      <w:r w:rsidR="00D6414B" w:rsidRPr="00AC77DF">
        <w:t>。</w:t>
      </w:r>
    </w:p>
    <w:p w:rsidR="00D6414B" w:rsidRPr="00AC77DF" w:rsidRDefault="00F34382" w:rsidP="000B692A">
      <w:pPr>
        <w:pStyle w:val="afff1"/>
        <w:spacing w:before="360" w:after="360"/>
      </w:pPr>
      <w:r>
        <w:rPr>
          <w:rFonts w:hint="eastAsia"/>
        </w:rPr>
        <w:t>(二)</w:t>
      </w:r>
      <w:r w:rsidR="00D6414B" w:rsidRPr="00AC77DF">
        <w:t>監察院調查發現與建議</w:t>
      </w:r>
    </w:p>
    <w:p w:rsidR="00D6414B" w:rsidRPr="00AC77DF" w:rsidRDefault="00287E7B" w:rsidP="00564517">
      <w:pPr>
        <w:pStyle w:val="1--13"/>
        <w:spacing w:before="180" w:after="180"/>
      </w:pPr>
      <w:r w:rsidRPr="008E1832">
        <w:rPr>
          <w:rFonts w:hint="eastAsia"/>
        </w:rPr>
        <w:t>˙</w:t>
      </w:r>
      <w:r w:rsidR="003A33BD">
        <w:rPr>
          <w:rFonts w:hint="eastAsia"/>
        </w:rPr>
        <w:t>未依規定駁回水源水質保護區之礦業用地</w:t>
      </w:r>
    </w:p>
    <w:p w:rsidR="003A33BD" w:rsidRDefault="003A33BD" w:rsidP="00234F21">
      <w:pPr>
        <w:pStyle w:val="1---"/>
        <w:ind w:firstLine="480"/>
        <w:rPr>
          <w:lang w:eastAsia="zh-TW"/>
        </w:rPr>
      </w:pPr>
      <w:r w:rsidRPr="003A33BD">
        <w:rPr>
          <w:rFonts w:hint="eastAsia"/>
        </w:rPr>
        <w:t>經濟部礦務局無視飲用水管理條例相關規定，竟未依礦業法第</w:t>
      </w:r>
      <w:r w:rsidRPr="003A33BD">
        <w:rPr>
          <w:rFonts w:hint="eastAsia"/>
        </w:rPr>
        <w:t>27</w:t>
      </w:r>
      <w:r w:rsidRPr="003A33BD">
        <w:rPr>
          <w:rFonts w:hint="eastAsia"/>
        </w:rPr>
        <w:t>條、第</w:t>
      </w:r>
      <w:r w:rsidRPr="003A33BD">
        <w:rPr>
          <w:rFonts w:hint="eastAsia"/>
        </w:rPr>
        <w:t>31</w:t>
      </w:r>
      <w:r w:rsidRPr="003A33BD">
        <w:rPr>
          <w:rFonts w:hint="eastAsia"/>
        </w:rPr>
        <w:t>條向轄區環保機關查詢，即分別於</w:t>
      </w:r>
      <w:r w:rsidRPr="003A33BD">
        <w:rPr>
          <w:rFonts w:hint="eastAsia"/>
        </w:rPr>
        <w:t>95</w:t>
      </w:r>
      <w:r w:rsidRPr="003A33BD">
        <w:rPr>
          <w:rFonts w:hint="eastAsia"/>
        </w:rPr>
        <w:t>年間核准高姓業者等多起</w:t>
      </w:r>
      <w:r w:rsidR="000C1025" w:rsidRPr="003A33BD">
        <w:rPr>
          <w:rFonts w:hint="eastAsia"/>
        </w:rPr>
        <w:t>位屬飲用水水源水質保護區</w:t>
      </w:r>
      <w:r w:rsidR="000C1025">
        <w:rPr>
          <w:rFonts w:hint="eastAsia"/>
        </w:rPr>
        <w:t>之</w:t>
      </w:r>
      <w:r w:rsidRPr="003A33BD">
        <w:rPr>
          <w:rFonts w:hint="eastAsia"/>
        </w:rPr>
        <w:t>礦業用地礦業權展限申請案，</w:t>
      </w:r>
      <w:r w:rsidR="000C1025">
        <w:rPr>
          <w:rFonts w:hint="eastAsia"/>
        </w:rPr>
        <w:t>未</w:t>
      </w:r>
      <w:r w:rsidR="000C1025" w:rsidRPr="003A33BD">
        <w:rPr>
          <w:rFonts w:hint="eastAsia"/>
        </w:rPr>
        <w:t>依法駁回</w:t>
      </w:r>
      <w:r w:rsidR="000C1025">
        <w:rPr>
          <w:rFonts w:hint="eastAsia"/>
        </w:rPr>
        <w:t>。又</w:t>
      </w:r>
      <w:r w:rsidRPr="003A33BD">
        <w:rPr>
          <w:rFonts w:hint="eastAsia"/>
        </w:rPr>
        <w:t>地方環保局已迭次明確告知礦業用地位於該保護區內，詎該局竟又分別於</w:t>
      </w:r>
      <w:r w:rsidRPr="003A33BD">
        <w:rPr>
          <w:rFonts w:hint="eastAsia"/>
        </w:rPr>
        <w:t>96</w:t>
      </w:r>
      <w:r w:rsidRPr="003A33BD">
        <w:rPr>
          <w:rFonts w:hint="eastAsia"/>
        </w:rPr>
        <w:t>至</w:t>
      </w:r>
      <w:r w:rsidRPr="003A33BD">
        <w:rPr>
          <w:rFonts w:hint="eastAsia"/>
        </w:rPr>
        <w:t>101</w:t>
      </w:r>
      <w:r w:rsidRPr="003A33BD">
        <w:rPr>
          <w:rFonts w:hint="eastAsia"/>
        </w:rPr>
        <w:t>年間擅自核准黃姓等多位業者礦業權展限，明顯違法，置國人飲用水安全於不顧。</w:t>
      </w:r>
    </w:p>
    <w:p w:rsidR="003A33BD" w:rsidRPr="003A33BD" w:rsidRDefault="00287E7B" w:rsidP="00564517">
      <w:pPr>
        <w:pStyle w:val="1--13"/>
        <w:spacing w:before="180" w:after="180"/>
      </w:pPr>
      <w:r w:rsidRPr="008E1832">
        <w:rPr>
          <w:rFonts w:hint="eastAsia"/>
        </w:rPr>
        <w:t>˙</w:t>
      </w:r>
      <w:r w:rsidR="003A33BD" w:rsidRPr="003A33BD">
        <w:rPr>
          <w:rFonts w:hint="eastAsia"/>
        </w:rPr>
        <w:t>審核機制</w:t>
      </w:r>
      <w:r w:rsidR="003A33BD">
        <w:rPr>
          <w:rFonts w:hint="eastAsia"/>
        </w:rPr>
        <w:t>未盡周妥</w:t>
      </w:r>
    </w:p>
    <w:p w:rsidR="003A33BD" w:rsidRDefault="003A33BD" w:rsidP="00234F21">
      <w:pPr>
        <w:pStyle w:val="1---"/>
        <w:ind w:firstLine="480"/>
        <w:rPr>
          <w:lang w:eastAsia="zh-TW"/>
        </w:rPr>
      </w:pPr>
      <w:r w:rsidRPr="003A33BD">
        <w:rPr>
          <w:rFonts w:hint="eastAsia"/>
        </w:rPr>
        <w:t>經濟部礦務局未健全審核機制，迄未將「礦業權設定、展</w:t>
      </w:r>
      <w:r w:rsidRPr="003A33BD">
        <w:rPr>
          <w:rFonts w:hint="eastAsia"/>
        </w:rPr>
        <w:lastRenderedPageBreak/>
        <w:t>限及礦區異動」等法定申請書件所應敘明「對飲用水等環境之影響」等涉及環保專業之永續經營事項，會請環保機關、專家學者或相</w:t>
      </w:r>
      <w:r w:rsidR="00DC61F3">
        <w:rPr>
          <w:rFonts w:hint="eastAsia"/>
        </w:rPr>
        <w:t>關單位人員參與審查或表示意見，任由未具環保專業之承辦人獨力審查</w:t>
      </w:r>
      <w:r w:rsidRPr="003A33BD">
        <w:rPr>
          <w:rFonts w:hint="eastAsia"/>
        </w:rPr>
        <w:t>，逕循行政程序簽辦後率為准駁之決定，肇致相關審查結果之專業性及周妥性</w:t>
      </w:r>
      <w:r w:rsidR="00DC61F3">
        <w:rPr>
          <w:rFonts w:hint="eastAsia"/>
        </w:rPr>
        <w:t>產生</w:t>
      </w:r>
      <w:r w:rsidRPr="003A33BD">
        <w:rPr>
          <w:rFonts w:hint="eastAsia"/>
        </w:rPr>
        <w:t>疑慮。</w:t>
      </w:r>
    </w:p>
    <w:p w:rsidR="003A33BD" w:rsidRPr="003A33BD" w:rsidRDefault="00287E7B" w:rsidP="00564517">
      <w:pPr>
        <w:pStyle w:val="1--13"/>
        <w:spacing w:before="180" w:after="180"/>
      </w:pPr>
      <w:r w:rsidRPr="008E1832">
        <w:rPr>
          <w:rFonts w:hint="eastAsia"/>
        </w:rPr>
        <w:t>˙</w:t>
      </w:r>
      <w:r w:rsidR="003A33BD">
        <w:rPr>
          <w:rFonts w:hint="eastAsia"/>
        </w:rPr>
        <w:t>未能瞭解水源水質實際狀態</w:t>
      </w:r>
    </w:p>
    <w:p w:rsidR="003A33BD" w:rsidRPr="003A33BD" w:rsidRDefault="003A33BD" w:rsidP="00234F21">
      <w:pPr>
        <w:pStyle w:val="1---"/>
        <w:ind w:firstLine="480"/>
      </w:pPr>
      <w:r w:rsidRPr="003A33BD">
        <w:rPr>
          <w:rFonts w:hint="eastAsia"/>
        </w:rPr>
        <w:t>國內飲用水水源水質保護區及飲用水取水口一定距離內地區自</w:t>
      </w:r>
      <w:r w:rsidRPr="003A33BD">
        <w:rPr>
          <w:rFonts w:hint="eastAsia"/>
        </w:rPr>
        <w:t>87</w:t>
      </w:r>
      <w:r w:rsidRPr="003A33BD">
        <w:rPr>
          <w:rFonts w:hint="eastAsia"/>
        </w:rPr>
        <w:t>至</w:t>
      </w:r>
      <w:r w:rsidRPr="003A33BD">
        <w:rPr>
          <w:rFonts w:hint="eastAsia"/>
        </w:rPr>
        <w:t>91</w:t>
      </w:r>
      <w:r w:rsidRPr="003A33BD">
        <w:rPr>
          <w:rFonts w:hint="eastAsia"/>
        </w:rPr>
        <w:t>年間完成劃定公告作業後迄今，已近</w:t>
      </w:r>
      <w:r w:rsidRPr="003A33BD">
        <w:rPr>
          <w:rFonts w:hint="eastAsia"/>
        </w:rPr>
        <w:t>20</w:t>
      </w:r>
      <w:r w:rsidRPr="003A33BD">
        <w:rPr>
          <w:rFonts w:hint="eastAsia"/>
        </w:rPr>
        <w:t>年，環保署竟尚未依法督同地方政府會商有關機關通盤檢討其內既有建築物及土地使用有無污染水源水質情形，僅就個案零星處理，致何類既存建物及土地使用應予拆除作業標準盡付闕如，除難以確保零星個案檢討及處理結果之一致性外，尤使保護區既存可能之污染行為有持續戕害水源之虞</w:t>
      </w:r>
      <w:r w:rsidR="0039375C">
        <w:rPr>
          <w:rFonts w:hint="eastAsia"/>
        </w:rPr>
        <w:t>。</w:t>
      </w:r>
    </w:p>
    <w:p w:rsidR="003A33BD" w:rsidRDefault="003A33BD" w:rsidP="00234F21">
      <w:pPr>
        <w:pStyle w:val="1---"/>
        <w:ind w:firstLine="480"/>
        <w:rPr>
          <w:lang w:eastAsia="zh-TW"/>
        </w:rPr>
      </w:pPr>
      <w:r w:rsidRPr="003A33BD">
        <w:rPr>
          <w:rFonts w:hint="eastAsia"/>
        </w:rPr>
        <w:t>「環境保護優先」既屬環境基本法明白揭櫫國內各級政府均應永矢咸遵之基本原則，環境權更屬全球力倡之新興人權，任何機關皆無以自絕於外，環保署尤應固守中央主管機關職責，強化此永續理念</w:t>
      </w:r>
      <w:r w:rsidR="0039375C">
        <w:rPr>
          <w:rFonts w:hint="eastAsia"/>
        </w:rPr>
        <w:t>，</w:t>
      </w:r>
      <w:r w:rsidRPr="003A33BD">
        <w:rPr>
          <w:rFonts w:hint="eastAsia"/>
        </w:rPr>
        <w:t>促請經濟部礦務局等各級政府積極落實於各項施政作為與管制措施</w:t>
      </w:r>
      <w:r w:rsidR="0039375C">
        <w:rPr>
          <w:rFonts w:hint="eastAsia"/>
        </w:rPr>
        <w:t>。然環保</w:t>
      </w:r>
      <w:r w:rsidRPr="003A33BD">
        <w:rPr>
          <w:rFonts w:hint="eastAsia"/>
        </w:rPr>
        <w:t>署與</w:t>
      </w:r>
      <w:r w:rsidR="0039375C" w:rsidRPr="003A33BD">
        <w:rPr>
          <w:rFonts w:hint="eastAsia"/>
        </w:rPr>
        <w:t>經濟部礦務局</w:t>
      </w:r>
      <w:r w:rsidRPr="003A33BD">
        <w:rPr>
          <w:rFonts w:hint="eastAsia"/>
        </w:rPr>
        <w:t>之相關公文及會議決議竟多次出現「參酌</w:t>
      </w:r>
      <w:r w:rsidRPr="00983675">
        <w:rPr>
          <w:rFonts w:hint="eastAsia"/>
          <w:spacing w:val="-28"/>
        </w:rPr>
        <w:t>」、</w:t>
      </w:r>
      <w:r w:rsidRPr="003A33BD">
        <w:rPr>
          <w:rFonts w:hint="eastAsia"/>
        </w:rPr>
        <w:t>「建議」等消極退縮用語，顯有自我矮化之可議心態，致國人環境人權難以確保。</w:t>
      </w:r>
    </w:p>
    <w:p w:rsidR="003A33BD" w:rsidRPr="003A33BD" w:rsidRDefault="00287E7B" w:rsidP="00564517">
      <w:pPr>
        <w:pStyle w:val="1--13"/>
        <w:spacing w:before="180" w:after="180"/>
      </w:pPr>
      <w:r w:rsidRPr="008E1832">
        <w:rPr>
          <w:rFonts w:hint="eastAsia"/>
        </w:rPr>
        <w:t>˙</w:t>
      </w:r>
      <w:r w:rsidR="003A33BD">
        <w:rPr>
          <w:rFonts w:hint="eastAsia"/>
        </w:rPr>
        <w:t>橫向聯</w:t>
      </w:r>
      <w:r w:rsidR="00DE66F8">
        <w:rPr>
          <w:rFonts w:hint="eastAsia"/>
        </w:rPr>
        <w:t>繫</w:t>
      </w:r>
      <w:r w:rsidR="003A33BD">
        <w:rPr>
          <w:rFonts w:ascii="華康正顏楷體W5" w:hAnsi="華康正顏楷體W5" w:cs="華康正顏楷體W5" w:hint="eastAsia"/>
        </w:rPr>
        <w:t>機制不</w:t>
      </w:r>
      <w:r w:rsidR="003A33BD">
        <w:rPr>
          <w:rFonts w:hint="eastAsia"/>
        </w:rPr>
        <w:t>足</w:t>
      </w:r>
    </w:p>
    <w:p w:rsidR="003A33BD" w:rsidRPr="003A33BD" w:rsidRDefault="003A33BD" w:rsidP="00234F21">
      <w:pPr>
        <w:pStyle w:val="1---"/>
        <w:ind w:firstLine="480"/>
      </w:pPr>
      <w:r w:rsidRPr="003A33BD">
        <w:rPr>
          <w:rFonts w:hint="eastAsia"/>
        </w:rPr>
        <w:t>飲用水水源水質保護區係屬國內第一級環境敏感地區，相關主管機</w:t>
      </w:r>
      <w:r>
        <w:rPr>
          <w:rFonts w:hint="eastAsia"/>
        </w:rPr>
        <w:t>關應</w:t>
      </w:r>
      <w:r w:rsidRPr="003A33BD">
        <w:rPr>
          <w:rFonts w:hint="eastAsia"/>
        </w:rPr>
        <w:t>充分合作偕</w:t>
      </w:r>
      <w:r>
        <w:rPr>
          <w:rFonts w:hint="eastAsia"/>
        </w:rPr>
        <w:t>同提升其保護強度，然經濟部與環保</w:t>
      </w:r>
      <w:r>
        <w:rPr>
          <w:rFonts w:hint="eastAsia"/>
        </w:rPr>
        <w:lastRenderedPageBreak/>
        <w:t>署卻未發揮共同一體之行政機能，</w:t>
      </w:r>
      <w:r w:rsidRPr="003A33BD">
        <w:rPr>
          <w:rFonts w:hint="eastAsia"/>
        </w:rPr>
        <w:t>未健全該保護區內既有礦場之橫向聯繫管制及聯合檢查機制，肇使保護區主管機關無以掌握轄內礦業權之異動與即時動態資訊，致未能適時勾稽查核與依法查處，遲至</w:t>
      </w:r>
      <w:r w:rsidR="0077027A">
        <w:rPr>
          <w:rFonts w:hint="eastAsia"/>
        </w:rPr>
        <w:t>監察院</w:t>
      </w:r>
      <w:r w:rsidRPr="003A33BD">
        <w:rPr>
          <w:rFonts w:hint="eastAsia"/>
        </w:rPr>
        <w:t>調查後，始被動察覺闕漏之處，行事消極因循。</w:t>
      </w:r>
    </w:p>
    <w:p w:rsidR="00D6414B" w:rsidRPr="00AC77DF" w:rsidRDefault="003A33BD" w:rsidP="00234F21">
      <w:pPr>
        <w:pStyle w:val="1---"/>
        <w:ind w:firstLine="480"/>
      </w:pPr>
      <w:r w:rsidRPr="003A33BD">
        <w:rPr>
          <w:rFonts w:hint="eastAsia"/>
        </w:rPr>
        <w:t>依據本案相關調查意見</w:t>
      </w:r>
      <w:r w:rsidRPr="00F85A65">
        <w:rPr>
          <w:rStyle w:val="aff2"/>
        </w:rPr>
        <w:footnoteReference w:id="140"/>
      </w:r>
      <w:r w:rsidRPr="003A33BD">
        <w:rPr>
          <w:rFonts w:hint="eastAsia"/>
        </w:rPr>
        <w:t>，監察院糾正經濟部，並函請行政院議處相關失職主管人員暨督飭所屬確實檢討改進見復。</w:t>
      </w:r>
    </w:p>
    <w:p w:rsidR="00D6414B" w:rsidRPr="00AC77DF" w:rsidRDefault="00F34382" w:rsidP="00DE66F8">
      <w:pPr>
        <w:pStyle w:val="afff1"/>
        <w:spacing w:before="360" w:after="360"/>
      </w:pPr>
      <w:r>
        <w:rPr>
          <w:rFonts w:hint="eastAsia"/>
        </w:rPr>
        <w:t>(三)</w:t>
      </w:r>
      <w:r w:rsidR="00D6414B" w:rsidRPr="00AC77DF">
        <w:t>政府機關改善情形</w:t>
      </w:r>
    </w:p>
    <w:p w:rsidR="003A33BD" w:rsidRPr="00A53715" w:rsidRDefault="00D6414B" w:rsidP="00425EE5">
      <w:pPr>
        <w:pStyle w:val="1----"/>
        <w:ind w:left="600" w:hanging="360"/>
      </w:pPr>
      <w:r w:rsidRPr="00AC77DF">
        <w:t>1</w:t>
      </w:r>
      <w:r w:rsidRPr="00AC77DF">
        <w:t>、</w:t>
      </w:r>
      <w:r w:rsidR="003A33BD" w:rsidRPr="00A53715">
        <w:rPr>
          <w:rFonts w:hint="eastAsia"/>
        </w:rPr>
        <w:t>經濟部為符合當前環境保護政策，於礦業法修正條文將增列礦場環境維護計畫應由環境工程技師簽證之規定；並納入主管機關得邀請專家學者參與探礦構想及其圖說、開採構想及其圖說之審查，以強化審查專業性。</w:t>
      </w:r>
    </w:p>
    <w:p w:rsidR="003A33BD" w:rsidRPr="00A53715" w:rsidRDefault="003A33BD" w:rsidP="00425EE5">
      <w:pPr>
        <w:pStyle w:val="1----"/>
        <w:ind w:left="600" w:hanging="360"/>
      </w:pPr>
      <w:r>
        <w:rPr>
          <w:rFonts w:hint="eastAsia"/>
        </w:rPr>
        <w:t>2</w:t>
      </w:r>
      <w:r>
        <w:rPr>
          <w:rFonts w:hint="eastAsia"/>
        </w:rPr>
        <w:t>、</w:t>
      </w:r>
      <w:r w:rsidRPr="00A53715">
        <w:rPr>
          <w:rFonts w:hint="eastAsia"/>
        </w:rPr>
        <w:t>環保署業於</w:t>
      </w:r>
      <w:r w:rsidRPr="00A53715">
        <w:rPr>
          <w:rFonts w:hint="eastAsia"/>
        </w:rPr>
        <w:t>106</w:t>
      </w:r>
      <w:r w:rsidRPr="00A53715">
        <w:rPr>
          <w:rFonts w:hint="eastAsia"/>
        </w:rPr>
        <w:t>年</w:t>
      </w:r>
      <w:r w:rsidRPr="00A53715">
        <w:rPr>
          <w:rFonts w:hint="eastAsia"/>
        </w:rPr>
        <w:t>10</w:t>
      </w:r>
      <w:r w:rsidRPr="00A53715">
        <w:rPr>
          <w:rFonts w:hint="eastAsia"/>
        </w:rPr>
        <w:t>月</w:t>
      </w:r>
      <w:r w:rsidRPr="00A53715">
        <w:rPr>
          <w:rFonts w:hint="eastAsia"/>
        </w:rPr>
        <w:t>30</w:t>
      </w:r>
      <w:r w:rsidRPr="00A53715">
        <w:rPr>
          <w:rFonts w:hint="eastAsia"/>
        </w:rPr>
        <w:t>日函請地方環保局再次調查飲用水水源水質保護區或飲用水取水口一定距離內有否污染性工廠等設施或場所；若有上述既有設施或場所，則評估有否污染水源水質情事，以及是否須依規定辦理後續會商有關機關等事宜。</w:t>
      </w:r>
    </w:p>
    <w:p w:rsidR="003A33BD" w:rsidRPr="00A53715" w:rsidRDefault="003A33BD" w:rsidP="00425EE5">
      <w:pPr>
        <w:pStyle w:val="1----"/>
        <w:ind w:left="600" w:hanging="360"/>
      </w:pPr>
      <w:r>
        <w:rPr>
          <w:rFonts w:hint="eastAsia"/>
        </w:rPr>
        <w:t>3</w:t>
      </w:r>
      <w:r>
        <w:rPr>
          <w:rFonts w:hint="eastAsia"/>
        </w:rPr>
        <w:t>、</w:t>
      </w:r>
      <w:r w:rsidRPr="00A53715">
        <w:rPr>
          <w:rFonts w:hint="eastAsia"/>
        </w:rPr>
        <w:t>環保署及地方環保局當以環境基本法之「環境保護優先」及兼顧環境人權為施政永矢咸遵之基本原則，業經該署於</w:t>
      </w:r>
      <w:r w:rsidRPr="00A53715">
        <w:rPr>
          <w:rFonts w:hint="eastAsia"/>
        </w:rPr>
        <w:t>106</w:t>
      </w:r>
      <w:r w:rsidRPr="00A53715">
        <w:rPr>
          <w:rFonts w:hint="eastAsia"/>
        </w:rPr>
        <w:t>年</w:t>
      </w:r>
      <w:r w:rsidRPr="00A53715">
        <w:rPr>
          <w:rFonts w:hint="eastAsia"/>
        </w:rPr>
        <w:t>10</w:t>
      </w:r>
      <w:r w:rsidRPr="00A53715">
        <w:rPr>
          <w:rFonts w:hint="eastAsia"/>
        </w:rPr>
        <w:t>月</w:t>
      </w:r>
      <w:r w:rsidRPr="00A53715">
        <w:rPr>
          <w:rFonts w:hint="eastAsia"/>
        </w:rPr>
        <w:t>31</w:t>
      </w:r>
      <w:r w:rsidRPr="00A53715">
        <w:rPr>
          <w:rFonts w:hint="eastAsia"/>
        </w:rPr>
        <w:t>日函文經濟部及副知該部礦務局、地方環保局，並重申飲用水管理條例相關規定在案。</w:t>
      </w:r>
    </w:p>
    <w:p w:rsidR="003A33BD" w:rsidRPr="00A53715" w:rsidRDefault="003A33BD" w:rsidP="00425EE5">
      <w:pPr>
        <w:pStyle w:val="1----"/>
        <w:ind w:left="600" w:hanging="360"/>
      </w:pPr>
      <w:r>
        <w:rPr>
          <w:rFonts w:hint="eastAsia"/>
        </w:rPr>
        <w:lastRenderedPageBreak/>
        <w:t>4</w:t>
      </w:r>
      <w:r>
        <w:rPr>
          <w:rFonts w:hint="eastAsia"/>
        </w:rPr>
        <w:t>、</w:t>
      </w:r>
      <w:r w:rsidRPr="00A53715">
        <w:rPr>
          <w:rFonts w:hint="eastAsia"/>
        </w:rPr>
        <w:t>經濟部已檢討就礦業權</w:t>
      </w:r>
      <w:r w:rsidR="00D2688B">
        <w:rPr>
          <w:rFonts w:hint="eastAsia"/>
        </w:rPr>
        <w:t>（</w:t>
      </w:r>
      <w:r w:rsidRPr="00A53715">
        <w:rPr>
          <w:rFonts w:hint="eastAsia"/>
        </w:rPr>
        <w:t>礦區範圍</w:t>
      </w:r>
      <w:r w:rsidR="00D2688B">
        <w:rPr>
          <w:rFonts w:hint="eastAsia"/>
        </w:rPr>
        <w:t>）</w:t>
      </w:r>
      <w:r w:rsidRPr="00A53715">
        <w:rPr>
          <w:rFonts w:hint="eastAsia"/>
        </w:rPr>
        <w:t>之設定、展限或增區審查及核定礦業用地等案件之准駁結果，要求礦務局副知轄區地方環保局，以利其依飲用水管理條例相關規定進行管理及查處作業。環保署則為健全其橫向聯繫管制及聯合檢查機制，已檢討督促地方環保局配合經濟部會同辦理各項案件勘查事宜。地方環保局並將不定期辦理稽查管制，加強跨</w:t>
      </w:r>
      <w:r w:rsidR="00811A95">
        <w:rPr>
          <w:rFonts w:hint="eastAsia"/>
        </w:rPr>
        <w:t>單位</w:t>
      </w:r>
      <w:r w:rsidRPr="00A53715">
        <w:rPr>
          <w:rFonts w:hint="eastAsia"/>
        </w:rPr>
        <w:t>橫向聯繫作業。該署另已於</w:t>
      </w:r>
      <w:r w:rsidRPr="00A53715">
        <w:rPr>
          <w:rFonts w:hint="eastAsia"/>
        </w:rPr>
        <w:t>106</w:t>
      </w:r>
      <w:r w:rsidRPr="00A53715">
        <w:rPr>
          <w:rFonts w:hint="eastAsia"/>
        </w:rPr>
        <w:t>年</w:t>
      </w:r>
      <w:r w:rsidRPr="00A53715">
        <w:rPr>
          <w:rFonts w:hint="eastAsia"/>
        </w:rPr>
        <w:t>11</w:t>
      </w:r>
      <w:r w:rsidRPr="00A53715">
        <w:rPr>
          <w:rFonts w:hint="eastAsia"/>
        </w:rPr>
        <w:t>月</w:t>
      </w:r>
      <w:r w:rsidRPr="00A53715">
        <w:rPr>
          <w:rFonts w:hint="eastAsia"/>
        </w:rPr>
        <w:t>7</w:t>
      </w:r>
      <w:r w:rsidRPr="00A53715">
        <w:rPr>
          <w:rFonts w:hint="eastAsia"/>
        </w:rPr>
        <w:t>日召開飲用水管理業務檢討會議，討論健全橫向聯繫管制及聯合檢查機制相關措施，以確保飲用水水源水質安全。</w:t>
      </w:r>
    </w:p>
    <w:p w:rsidR="00D6414B" w:rsidRPr="00AC77DF" w:rsidRDefault="003A33BD" w:rsidP="00425EE5">
      <w:pPr>
        <w:pStyle w:val="1----"/>
        <w:ind w:left="600" w:hanging="360"/>
      </w:pPr>
      <w:r>
        <w:rPr>
          <w:rFonts w:hint="eastAsia"/>
        </w:rPr>
        <w:t>5</w:t>
      </w:r>
      <w:r>
        <w:rPr>
          <w:rFonts w:hint="eastAsia"/>
        </w:rPr>
        <w:t>、</w:t>
      </w:r>
      <w:r w:rsidRPr="00A53715">
        <w:rPr>
          <w:rFonts w:hint="eastAsia"/>
        </w:rPr>
        <w:t>經濟部未來將就已申報開工且取得礦業用地之正常作業礦場，依礦場安全法等相關規定，定期或不定期會同環保等相關主管機關實施聯合監督檢查及加強管理，並朝建</w:t>
      </w:r>
      <w:r w:rsidR="00F254FF">
        <w:rPr>
          <w:rFonts w:hint="eastAsia"/>
        </w:rPr>
        <w:t>立</w:t>
      </w:r>
      <w:r w:rsidRPr="00A53715">
        <w:rPr>
          <w:rFonts w:hint="eastAsia"/>
        </w:rPr>
        <w:t>聯合監督檢查機制方向辦理。</w:t>
      </w:r>
    </w:p>
    <w:p w:rsidR="00D6414B" w:rsidRPr="00AC77DF" w:rsidRDefault="00F34382" w:rsidP="00DE66F8">
      <w:pPr>
        <w:pStyle w:val="afff1"/>
        <w:spacing w:before="360" w:after="360"/>
      </w:pPr>
      <w:r>
        <w:rPr>
          <w:rFonts w:hint="eastAsia"/>
        </w:rPr>
        <w:t>(四)</w:t>
      </w:r>
      <w:r w:rsidR="00D6414B" w:rsidRPr="00AC77DF">
        <w:t>案件進展</w:t>
      </w:r>
    </w:p>
    <w:p w:rsidR="00D6414B" w:rsidRDefault="003A33BD" w:rsidP="00234F21">
      <w:pPr>
        <w:pStyle w:val="1---"/>
        <w:ind w:firstLine="480"/>
        <w:rPr>
          <w:lang w:eastAsia="zh-TW"/>
        </w:rPr>
      </w:pPr>
      <w:r w:rsidRPr="003A33BD">
        <w:rPr>
          <w:rFonts w:hint="eastAsia"/>
        </w:rPr>
        <w:t>為維護及</w:t>
      </w:r>
      <w:r w:rsidR="00D70326" w:rsidRPr="003A33BD">
        <w:rPr>
          <w:rFonts w:hint="eastAsia"/>
        </w:rPr>
        <w:t>保障</w:t>
      </w:r>
      <w:r w:rsidRPr="003A33BD">
        <w:rPr>
          <w:rFonts w:hint="eastAsia"/>
        </w:rPr>
        <w:t>潔淨飲用水源，監察院持續追蹤相關主管機關辦理情形。</w:t>
      </w:r>
    </w:p>
    <w:p w:rsidR="00F34382" w:rsidRDefault="00F34382" w:rsidP="00234F21">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3681"/>
      </w:tblGrid>
      <w:tr w:rsidR="00F34382" w:rsidTr="00983675">
        <w:tc>
          <w:tcPr>
            <w:tcW w:w="3681" w:type="dxa"/>
            <w:shd w:val="clear" w:color="auto" w:fill="D9D9D9" w:themeFill="background1" w:themeFillShade="D9"/>
          </w:tcPr>
          <w:p w:rsidR="00F34382" w:rsidRDefault="00F34382" w:rsidP="00F34382">
            <w:pPr>
              <w:pStyle w:val="11-"/>
              <w:spacing w:before="72" w:after="108"/>
              <w:rPr>
                <w:lang w:eastAsia="zh-TW"/>
              </w:rPr>
            </w:pPr>
            <w:r w:rsidRPr="00AC77DF">
              <w:t>保安林現有礦區開採爭議</w:t>
            </w:r>
          </w:p>
        </w:tc>
      </w:tr>
    </w:tbl>
    <w:bookmarkStart w:id="643" w:name="_Toc4058829"/>
    <w:p w:rsidR="003807A5" w:rsidRPr="00AC77DF" w:rsidRDefault="003807A5" w:rsidP="00F34382">
      <w:pPr>
        <w:pStyle w:val="1---"/>
        <w:ind w:firstLine="480"/>
        <w:rPr>
          <w:i/>
        </w:rPr>
      </w:pPr>
      <w:r w:rsidRPr="00AC77DF">
        <w:rPr>
          <w:i/>
          <w:noProof/>
          <w:lang w:val="en-US" w:eastAsia="zh-TW"/>
        </w:rPr>
        <mc:AlternateContent>
          <mc:Choice Requires="wps">
            <w:drawing>
              <wp:anchor distT="0" distB="0" distL="114300" distR="114300" simplePos="0" relativeHeight="251877376" behindDoc="0" locked="1" layoutInCell="1" allowOverlap="1" wp14:anchorId="449F1D5C" wp14:editId="273627C4">
                <wp:simplePos x="0" y="0"/>
                <wp:positionH relativeFrom="column">
                  <wp:posOffset>7989570</wp:posOffset>
                </wp:positionH>
                <wp:positionV relativeFrom="paragraph">
                  <wp:posOffset>-773430</wp:posOffset>
                </wp:positionV>
                <wp:extent cx="635000" cy="317500"/>
                <wp:effectExtent l="0" t="0" r="0" b="0"/>
                <wp:wrapNone/>
                <wp:docPr id="21" name="記錄"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832" w:rsidRDefault="00970832" w:rsidP="00435D8C">
                            <w:pPr>
                              <w:jc w:val="center"/>
                              <w:rPr>
                                <w:sz w:val="18"/>
                              </w:rPr>
                            </w:pPr>
                            <w:r>
                              <w:rPr>
                                <w:sz w:val="18"/>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67" type="#_x0000_t202" style="position:absolute;left:0;text-align:left;margin-left:629.1pt;margin-top:-60.9pt;width:50pt;height:25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" stroked="f">
                <v:textbox>
                  <w:txbxContent>
                    <w:p w:rsidR="00895792" w:rsidRDefault="00895792" w:rsidP="00435D8C">
                      <w:pPr>
                        <w:jc w:val="center"/>
                        <w:rPr>
                          <w:sz w:val="18"/>
                        </w:rPr>
                      </w:pPr>
                      <w:r>
                        <w:rPr>
                          <w:sz w:val="18"/>
                        </w:rPr>
                        <w:t>00</w:t>
                      </w:r>
                    </w:p>
                  </w:txbxContent>
                </v:textbox>
                <w10:anchorlock/>
              </v:shape>
            </w:pict>
          </mc:Fallback>
        </mc:AlternateContent>
      </w:r>
      <w:r w:rsidRPr="00AC77DF">
        <w:rPr>
          <w:i/>
          <w:noProof/>
          <w:lang w:val="en-US" w:eastAsia="zh-TW"/>
        </w:rPr>
        <mc:AlternateContent>
          <mc:Choice Requires="wpg">
            <w:drawing>
              <wp:anchor distT="0" distB="0" distL="114300" distR="114300" simplePos="0" relativeHeight="251876352" behindDoc="0" locked="1" layoutInCell="0" allowOverlap="1" wp14:anchorId="63A05FC5" wp14:editId="1A86F30B">
                <wp:simplePos x="0" y="0"/>
                <wp:positionH relativeFrom="column">
                  <wp:posOffset>-1481455</wp:posOffset>
                </wp:positionH>
                <wp:positionV relativeFrom="paragraph">
                  <wp:posOffset>175260</wp:posOffset>
                </wp:positionV>
                <wp:extent cx="428625" cy="8658225"/>
                <wp:effectExtent l="0" t="0" r="9525" b="9525"/>
                <wp:wrapNone/>
                <wp:docPr id="22" name="裝訂線"/>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28625" cy="8658225"/>
                          <a:chOff x="745" y="1414"/>
                          <a:chExt cx="235" cy="13920"/>
                        </a:xfrm>
                      </wpg:grpSpPr>
                      <wps:wsp>
                        <wps:cNvPr id="23" name="Line 13"/>
                        <wps:cNvCnPr/>
                        <wps:spPr bwMode="auto">
                          <a:xfrm>
                            <a:off x="851" y="1414"/>
                            <a:ext cx="0" cy="139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 name="Text Box 14"/>
                        <wps:cNvSpPr txBox="1">
                          <a:spLocks noChangeArrowheads="1"/>
                        </wps:cNvSpPr>
                        <wps:spPr bwMode="auto">
                          <a:xfrm>
                            <a:off x="745" y="5523"/>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435D8C">
                              <w:pPr>
                                <w:kinsoku w:val="0"/>
                                <w:wordWrap w:val="0"/>
                                <w:overflowPunct w:val="0"/>
                                <w:rPr>
                                  <w:sz w:val="20"/>
                                </w:rPr>
                              </w:pPr>
                              <w:r>
                                <w:rPr>
                                  <w:rFonts w:hint="eastAsia"/>
                                  <w:sz w:val="20"/>
                                </w:rPr>
                                <w:t>裝</w:t>
                              </w:r>
                            </w:p>
                          </w:txbxContent>
                        </wps:txbx>
                        <wps:bodyPr rot="0" vert="horz" wrap="square" lIns="0" tIns="0" rIns="0" bIns="0" anchor="t" anchorCtr="0" upright="1">
                          <a:noAutofit/>
                        </wps:bodyPr>
                      </wps:wsp>
                      <wps:wsp>
                        <wps:cNvPr id="25" name="Text Box 15"/>
                        <wps:cNvSpPr txBox="1">
                          <a:spLocks noChangeArrowheads="1"/>
                        </wps:cNvSpPr>
                        <wps:spPr bwMode="auto">
                          <a:xfrm>
                            <a:off x="745" y="8312"/>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435D8C">
                              <w:pPr>
                                <w:kinsoku w:val="0"/>
                                <w:wordWrap w:val="0"/>
                                <w:overflowPunct w:val="0"/>
                                <w:rPr>
                                  <w:sz w:val="20"/>
                                </w:rPr>
                              </w:pPr>
                              <w:r>
                                <w:rPr>
                                  <w:rFonts w:hint="eastAsia"/>
                                  <w:sz w:val="20"/>
                                </w:rPr>
                                <w:t>訂</w:t>
                              </w:r>
                            </w:p>
                          </w:txbxContent>
                        </wps:txbx>
                        <wps:bodyPr rot="0" vert="horz" wrap="square" lIns="0" tIns="0" rIns="0" bIns="0" anchor="t" anchorCtr="0" upright="1">
                          <a:noAutofit/>
                        </wps:bodyPr>
                      </wps:wsp>
                      <wps:wsp>
                        <wps:cNvPr id="26" name="Text Box 16"/>
                        <wps:cNvSpPr txBox="1">
                          <a:spLocks noChangeArrowheads="1"/>
                        </wps:cNvSpPr>
                        <wps:spPr bwMode="auto">
                          <a:xfrm>
                            <a:off x="745" y="11127"/>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435D8C">
                              <w:pPr>
                                <w:kinsoku w:val="0"/>
                                <w:wordWrap w:val="0"/>
                                <w:overflowPunct w:val="0"/>
                                <w:rPr>
                                  <w:sz w:val="20"/>
                                </w:rPr>
                              </w:pPr>
                              <w:r>
                                <w:rPr>
                                  <w:rFonts w:hint="eastAsia"/>
                                  <w:sz w:val="20"/>
                                </w:rPr>
                                <w:t>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68" style="position:absolute;left:0;text-align:left;margin-left:-116.65pt;margin-top:13.8pt;width:33.75pt;height:681.75pt;flip:x;z-index:251876352" coordorigin="745,1414" coordsize="235,1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" o:allowincell="f">
                <v:line id="Line 13" o:spid="_x0000_s1169" style="position:absolute;visibility:visible;mso-wrap-style:square" from="851,1414" to="851,1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UVHsQAAADbAAAADwAAAGRycy9kb3ducmV2LnhtbESPQWsCMRSE70L/Q3iF3jRbhdpujWIL&#10;gm314Krg8bF5Joubl2WT6vbfN4LgcZiZb5jJrHO1OFMbKs8KngcZCOLS64qNgt120X8FESKyxtoz&#10;KfijALPpQ2+CufYX3tC5iEYkCIccFdgYm1zKUFpyGAa+IU7e0bcOY5KtkbrFS4K7Wg6z7EU6rDgt&#10;WGzo01J5Kn6dgp/xst4bPhSrr2P48G/fG7k2Vqmnx27+DiJSF+/hW3upFQxHcP2SfoC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pRUexAAAANsAAAAPAAAAAAAAAAAA&#10;AAAAAKECAABkcnMvZG93bnJldi54bWxQSwUGAAAAAAQABAD5AAAAkgMAAAAA&#10;">
                  <v:stroke dashstyle="1 1"/>
                </v:line>
                <v:shape id="Text Box 14" o:spid="_x0000_s1170" type="#_x0000_t202" style="position:absolute;left:745;top:5523;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YLC8QA&#10;AADbAAAADwAAAGRycy9kb3ducmV2LnhtbESPQWvCQBSE7wX/w/IEb7ppMFJSV6miaMWLNhSPj+wz&#10;CWbfhuyq8d+7BaHHYWa+YabzztTiRq2rLCt4H0UgiHOrKy4UZD/r4QcI55E11pZJwYMczGe9tymm&#10;2t75QLejL0SAsEtRQel9k0rp8pIMupFtiIN3tq1BH2RbSN3iPcBNLeMomkiDFYeFEhtalpRfjlej&#10;4Fv/ykWSRYf8dNKb1XqfZPEuUWrQ774+QXjq/H/41d5qBfEY/r6EH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mCwvEAAAA2wAAAA8AAAAAAAAAAAAAAAAAmAIAAGRycy9k&#10;b3ducmV2LnhtbFBLBQYAAAAABAAEAPUAAACJAwAAAAA=&#10;" filled="f" stroked="f">
                  <v:stroke dashstyle="1 1"/>
                  <v:textbox inset="0,0,0,0">
                    <w:txbxContent>
                      <w:p w:rsidR="00895792" w:rsidRDefault="00895792" w:rsidP="00435D8C">
                        <w:pPr>
                          <w:kinsoku w:val="0"/>
                          <w:wordWrap w:val="0"/>
                          <w:overflowPunct w:val="0"/>
                          <w:rPr>
                            <w:sz w:val="20"/>
                          </w:rPr>
                        </w:pPr>
                        <w:r>
                          <w:rPr>
                            <w:rFonts w:hint="eastAsia"/>
                            <w:sz w:val="20"/>
                          </w:rPr>
                          <w:t>裝</w:t>
                        </w:r>
                      </w:p>
                    </w:txbxContent>
                  </v:textbox>
                </v:shape>
                <v:shape id="Text Box 15" o:spid="_x0000_s1171" type="#_x0000_t202" style="position:absolute;left:745;top:8312;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qukMMA&#10;AADbAAAADwAAAGRycy9kb3ducmV2LnhtbESPQYvCMBSE7wv+h/AEb2tqoYtUo6gouuJFt4jHR/Ns&#10;i81LaaLWf28WFvY4zMw3zHTemVo8qHWVZQWjYQSCOLe64kJB9rP5HINwHlljbZkUvMjBfNb7mGKq&#10;7ZOP9Dj5QgQIuxQVlN43qZQuL8mgG9qGOHhX2xr0QbaF1C0+A9zUMo6iL2mw4rBQYkOrkvLb6W4U&#10;fOuzXCZZdMwvF71dbw5JFu8TpQb9bjEB4anz/+G/9k4riBP4/RJ+gJ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qukMMAAADbAAAADwAAAAAAAAAAAAAAAACYAgAAZHJzL2Rv&#10;d25yZXYueG1sUEsFBgAAAAAEAAQA9QAAAIgDAAAAAA==&#10;" filled="f" stroked="f">
                  <v:stroke dashstyle="1 1"/>
                  <v:textbox inset="0,0,0,0">
                    <w:txbxContent>
                      <w:p w:rsidR="00895792" w:rsidRDefault="00895792" w:rsidP="00435D8C">
                        <w:pPr>
                          <w:kinsoku w:val="0"/>
                          <w:wordWrap w:val="0"/>
                          <w:overflowPunct w:val="0"/>
                          <w:rPr>
                            <w:sz w:val="20"/>
                          </w:rPr>
                        </w:pPr>
                        <w:r>
                          <w:rPr>
                            <w:rFonts w:hint="eastAsia"/>
                            <w:sz w:val="20"/>
                          </w:rPr>
                          <w:t>訂</w:t>
                        </w:r>
                      </w:p>
                    </w:txbxContent>
                  </v:textbox>
                </v:shape>
                <v:shape id="Text Box 16" o:spid="_x0000_s1172" type="#_x0000_t202" style="position:absolute;left:745;top:11127;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gw58MA&#10;AADbAAAADwAAAGRycy9kb3ducmV2LnhtbESPQYvCMBSE7wv+h/AEb2tqobJUo6gourIXtYjHR/Ns&#10;i81LaaJ2/71ZWPA4zMw3zHTemVo8qHWVZQWjYQSCOLe64kJBdtp8foFwHlljbZkU/JKD+az3McVU&#10;2ycf6HH0hQgQdikqKL1vUildXpJBN7QNcfCutjXog2wLqVt8BripZRxFY2mw4rBQYkOrkvLb8W4U&#10;fOuzXCZZdMgvF71db36SLN4nSg363WICwlPn3+H/9k4riMfw9yX8AD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gw58MAAADbAAAADwAAAAAAAAAAAAAAAACYAgAAZHJzL2Rv&#10;d25yZXYueG1sUEsFBgAAAAAEAAQA9QAAAIgDAAAAAA==&#10;" filled="f" stroked="f">
                  <v:stroke dashstyle="1 1"/>
                  <v:textbox inset="0,0,0,0">
                    <w:txbxContent>
                      <w:p w:rsidR="00895792" w:rsidRDefault="00895792" w:rsidP="00435D8C">
                        <w:pPr>
                          <w:kinsoku w:val="0"/>
                          <w:wordWrap w:val="0"/>
                          <w:overflowPunct w:val="0"/>
                          <w:rPr>
                            <w:sz w:val="20"/>
                          </w:rPr>
                        </w:pPr>
                        <w:r>
                          <w:rPr>
                            <w:rFonts w:hint="eastAsia"/>
                            <w:sz w:val="20"/>
                          </w:rPr>
                          <w:t>線</w:t>
                        </w:r>
                      </w:p>
                    </w:txbxContent>
                  </v:textbox>
                </v:shape>
                <w10:anchorlock/>
              </v:group>
            </w:pict>
          </mc:Fallback>
        </mc:AlternateContent>
      </w:r>
      <w:r w:rsidRPr="00AC77DF">
        <w:rPr>
          <w:i/>
          <w:noProof/>
          <w:lang w:val="en-US" w:eastAsia="zh-TW"/>
        </w:rPr>
        <mc:AlternateContent>
          <mc:Choice Requires="wps">
            <w:drawing>
              <wp:anchor distT="0" distB="0" distL="114300" distR="114300" simplePos="0" relativeHeight="251875328" behindDoc="0" locked="1" layoutInCell="0" allowOverlap="1" wp14:anchorId="4626A4BE" wp14:editId="538AEC42">
                <wp:simplePos x="0" y="0"/>
                <wp:positionH relativeFrom="column">
                  <wp:posOffset>-609600</wp:posOffset>
                </wp:positionH>
                <wp:positionV relativeFrom="page">
                  <wp:posOffset>443230</wp:posOffset>
                </wp:positionV>
                <wp:extent cx="636905" cy="396240"/>
                <wp:effectExtent l="9525" t="5080" r="10795" b="8255"/>
                <wp:wrapNone/>
                <wp:docPr id="27" name="函正本"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832" w:rsidRDefault="00970832" w:rsidP="00435D8C">
                            <w:pPr>
                              <w:jc w:val="center"/>
                              <w:rPr>
                                <w:color w:val="000000"/>
                                <w:sz w:val="36"/>
                              </w:rPr>
                            </w:pPr>
                            <w:r>
                              <w:rPr>
                                <w:rFonts w:hint="eastAsia"/>
                                <w:color w:val="000000"/>
                                <w:sz w:val="36"/>
                              </w:rPr>
                              <w:t>正本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73" type="#_x0000_t202" style="position:absolute;left:0;text-align:left;margin-left:-48pt;margin-top:34.9pt;width:50.15pt;height:31.2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" o:allowincell="f" filled="f">
                <v:textbox inset=".5mm,,.5mm">
                  <w:txbxContent>
                    <w:p w:rsidR="00895792" w:rsidRDefault="00895792" w:rsidP="00435D8C">
                      <w:pPr>
                        <w:jc w:val="center"/>
                        <w:rPr>
                          <w:color w:val="000000"/>
                          <w:sz w:val="36"/>
                        </w:rPr>
                      </w:pPr>
                      <w:r>
                        <w:rPr>
                          <w:rFonts w:hint="eastAsia"/>
                          <w:color w:val="000000"/>
                          <w:sz w:val="36"/>
                        </w:rPr>
                        <w:t>正本</w:t>
                      </w:r>
                    </w:p>
                  </w:txbxContent>
                </v:textbox>
                <w10:wrap anchory="page"/>
                <w10:anchorlock/>
              </v:shape>
            </w:pict>
          </mc:Fallback>
        </mc:AlternateContent>
      </w:r>
      <w:r w:rsidRPr="00AC77DF">
        <w:rPr>
          <w:i/>
          <w:noProof/>
          <w:lang w:val="en-US" w:eastAsia="zh-TW"/>
        </w:rPr>
        <mc:AlternateContent>
          <mc:Choice Requires="wps">
            <w:drawing>
              <wp:anchor distT="0" distB="0" distL="114300" distR="114300" simplePos="0" relativeHeight="251874304" behindDoc="0" locked="1" layoutInCell="0" allowOverlap="1" wp14:anchorId="139674A6" wp14:editId="0E05C186">
                <wp:simplePos x="0" y="0"/>
                <wp:positionH relativeFrom="column">
                  <wp:posOffset>-609600</wp:posOffset>
                </wp:positionH>
                <wp:positionV relativeFrom="page">
                  <wp:posOffset>442595</wp:posOffset>
                </wp:positionV>
                <wp:extent cx="636905" cy="396240"/>
                <wp:effectExtent l="9525" t="13970" r="10795" b="8890"/>
                <wp:wrapNone/>
                <wp:docPr id="28" name="函副本"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832" w:rsidRDefault="00970832" w:rsidP="00435D8C">
                            <w:pPr>
                              <w:jc w:val="center"/>
                              <w:rPr>
                                <w:color w:val="000000"/>
                                <w:sz w:val="36"/>
                              </w:rPr>
                            </w:pPr>
                            <w:r>
                              <w:rPr>
                                <w:rFonts w:hint="eastAsia"/>
                                <w:color w:val="000000"/>
                                <w:sz w:val="36"/>
                              </w:rPr>
                              <w:t>副本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74" type="#_x0000_t202" style="position:absolute;left:0;text-align:left;margin-left:-48pt;margin-top:34.85pt;width:50.15pt;height:31.2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" o:allowincell="f" filled="f">
                <v:textbox inset=".5mm,,.5mm">
                  <w:txbxContent>
                    <w:p w:rsidR="00895792" w:rsidRDefault="00895792" w:rsidP="00435D8C">
                      <w:pPr>
                        <w:jc w:val="center"/>
                        <w:rPr>
                          <w:color w:val="000000"/>
                          <w:sz w:val="36"/>
                        </w:rPr>
                      </w:pPr>
                      <w:r>
                        <w:rPr>
                          <w:rFonts w:hint="eastAsia"/>
                          <w:color w:val="000000"/>
                          <w:sz w:val="36"/>
                        </w:rPr>
                        <w:t>副本</w:t>
                      </w:r>
                    </w:p>
                  </w:txbxContent>
                </v:textbox>
                <w10:wrap anchory="page"/>
                <w10:anchorlock/>
              </v:shape>
            </w:pict>
          </mc:Fallback>
        </mc:AlternateContent>
      </w:r>
      <w:r w:rsidRPr="00AC77DF">
        <w:rPr>
          <w:i/>
          <w:noProof/>
          <w:lang w:val="en-US" w:eastAsia="zh-TW"/>
        </w:rPr>
        <mc:AlternateContent>
          <mc:Choice Requires="wps">
            <w:drawing>
              <wp:anchor distT="0" distB="0" distL="114300" distR="114300" simplePos="0" relativeHeight="251873280" behindDoc="0" locked="1" layoutInCell="0" allowOverlap="1" wp14:anchorId="0DDDF485" wp14:editId="16FA46B2">
                <wp:simplePos x="0" y="0"/>
                <wp:positionH relativeFrom="column">
                  <wp:posOffset>2819400</wp:posOffset>
                </wp:positionH>
                <wp:positionV relativeFrom="page">
                  <wp:posOffset>443230</wp:posOffset>
                </wp:positionV>
                <wp:extent cx="1440180" cy="360045"/>
                <wp:effectExtent l="9525" t="5080" r="7620" b="6350"/>
                <wp:wrapNone/>
                <wp:docPr id="29" name="首長大名"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970832" w:rsidRDefault="00970832" w:rsidP="00435D8C">
                            <w:r>
                              <w:rPr>
                                <w:rFonts w:hint="eastAsia"/>
                              </w:rPr>
                              <w:t>院長王○○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75" type="#_x0000_t202" style="position:absolute;left:0;text-align:left;margin-left:222pt;margin-top:34.9pt;width:113.4pt;height:28.35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" o:allowincell="f">
                <v:textbox>
                  <w:txbxContent>
                    <w:p w:rsidR="00895792" w:rsidRDefault="00895792" w:rsidP="00435D8C">
                      <w:r>
                        <w:rPr>
                          <w:rFonts w:hint="eastAsia"/>
                        </w:rPr>
                        <w:t>院長王○○</w:t>
                      </w:r>
                    </w:p>
                  </w:txbxContent>
                </v:textbox>
                <w10:wrap anchory="page"/>
                <w10:anchorlock/>
              </v:shape>
            </w:pict>
          </mc:Fallback>
        </mc:AlternateContent>
      </w:r>
      <w:r w:rsidRPr="00AC77DF">
        <w:rPr>
          <w:i/>
          <w:noProof/>
          <w:lang w:val="en-US" w:eastAsia="zh-TW"/>
        </w:rPr>
        <mc:AlternateContent>
          <mc:Choice Requires="wps">
            <w:drawing>
              <wp:anchor distT="0" distB="0" distL="114300" distR="114300" simplePos="0" relativeHeight="251872256" behindDoc="0" locked="1" layoutInCell="0" allowOverlap="1" wp14:anchorId="1A76CCDE" wp14:editId="5A9E2EF2">
                <wp:simplePos x="0" y="0"/>
                <wp:positionH relativeFrom="column">
                  <wp:posOffset>1381125</wp:posOffset>
                </wp:positionH>
                <wp:positionV relativeFrom="page">
                  <wp:posOffset>443230</wp:posOffset>
                </wp:positionV>
                <wp:extent cx="1440180" cy="360045"/>
                <wp:effectExtent l="9525" t="5080" r="7620" b="6350"/>
                <wp:wrapNone/>
                <wp:docPr id="30" name="文別"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970832" w:rsidRDefault="00970832" w:rsidP="00435D8C">
                            <w:pPr>
                              <w:rPr>
                                <w:rFonts w:ascii="標楷體"/>
                              </w:rPr>
                            </w:pPr>
                            <w:r>
                              <w:rPr>
                                <w:rFonts w:ascii="標楷體" w:hint="eastAsia"/>
                              </w:rPr>
                              <w:t>函;函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76" type="#_x0000_t202" style="position:absolute;left:0;text-align:left;margin-left:108.75pt;margin-top:34.9pt;width:113.4pt;height:28.35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" o:allowincell="f">
                <v:textbox>
                  <w:txbxContent>
                    <w:p w:rsidR="00895792" w:rsidRDefault="00895792" w:rsidP="00435D8C">
                      <w:pPr>
                        <w:rPr>
                          <w:rFonts w:ascii="標楷體"/>
                        </w:rPr>
                      </w:pPr>
                      <w:r>
                        <w:rPr>
                          <w:rFonts w:ascii="標楷體" w:hint="eastAsia"/>
                        </w:rPr>
                        <w:t>函;函</w:t>
                      </w:r>
                    </w:p>
                  </w:txbxContent>
                </v:textbox>
                <w10:wrap anchory="page"/>
                <w10:anchorlock/>
              </v:shape>
            </w:pict>
          </mc:Fallback>
        </mc:AlternateContent>
      </w:r>
      <w:bookmarkEnd w:id="642"/>
      <w:bookmarkEnd w:id="643"/>
    </w:p>
    <w:tbl>
      <w:tblPr>
        <w:tblW w:w="4756" w:type="pct"/>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16"/>
      </w:tblGrid>
      <w:tr w:rsidR="003807A5" w:rsidRPr="00AC77DF" w:rsidTr="00983675">
        <w:tc>
          <w:tcPr>
            <w:tcW w:w="5000" w:type="pct"/>
          </w:tcPr>
          <w:p w:rsidR="003807A5" w:rsidRPr="00AC77DF" w:rsidRDefault="003807A5" w:rsidP="00055ED7">
            <w:pPr>
              <w:spacing w:line="340" w:lineRule="exact"/>
              <w:jc w:val="both"/>
              <w:rPr>
                <w:lang w:val="x-none"/>
              </w:rPr>
            </w:pPr>
            <w:r w:rsidRPr="00AC77DF">
              <w:rPr>
                <w:b/>
                <w:lang w:val="x-none"/>
              </w:rPr>
              <w:t>相關國際人權公約：</w:t>
            </w:r>
            <w:r w:rsidRPr="00AC77DF">
              <w:t>世界人權宣言第</w:t>
            </w:r>
            <w:r w:rsidRPr="00AC77DF">
              <w:t>3</w:t>
            </w:r>
            <w:r w:rsidRPr="00AC77DF">
              <w:t>條、人類環境宣言之共同信念第</w:t>
            </w:r>
            <w:r w:rsidRPr="00AC77DF">
              <w:t>1</w:t>
            </w:r>
            <w:r w:rsidRPr="00AC77DF">
              <w:t>條、第</w:t>
            </w:r>
            <w:r w:rsidRPr="00AC77DF">
              <w:t>2</w:t>
            </w:r>
            <w:r w:rsidRPr="00AC77DF">
              <w:t>條、經濟社會文化權利國際公約第</w:t>
            </w:r>
            <w:r w:rsidRPr="00AC77DF">
              <w:t>11</w:t>
            </w:r>
            <w:r w:rsidRPr="00AC77DF">
              <w:t>條第</w:t>
            </w:r>
            <w:r w:rsidRPr="00AC77DF">
              <w:t>1</w:t>
            </w:r>
            <w:r w:rsidRPr="00AC77DF">
              <w:t>款</w:t>
            </w:r>
          </w:p>
          <w:p w:rsidR="003807A5" w:rsidRPr="00AC77DF" w:rsidRDefault="003807A5" w:rsidP="00055ED7">
            <w:pPr>
              <w:spacing w:line="340" w:lineRule="exact"/>
              <w:jc w:val="both"/>
              <w:rPr>
                <w:b/>
              </w:rPr>
            </w:pPr>
            <w:r w:rsidRPr="00AC77DF">
              <w:rPr>
                <w:b/>
              </w:rPr>
              <w:lastRenderedPageBreak/>
              <w:t>世界人權宣言第</w:t>
            </w:r>
            <w:r w:rsidRPr="00AC77DF">
              <w:rPr>
                <w:b/>
              </w:rPr>
              <w:t>3</w:t>
            </w:r>
            <w:r w:rsidRPr="00AC77DF">
              <w:rPr>
                <w:b/>
              </w:rPr>
              <w:t xml:space="preserve">條　</w:t>
            </w:r>
          </w:p>
          <w:p w:rsidR="003807A5" w:rsidRPr="00AC77DF" w:rsidRDefault="003807A5" w:rsidP="00055ED7">
            <w:pPr>
              <w:spacing w:line="340" w:lineRule="exact"/>
              <w:jc w:val="both"/>
              <w:rPr>
                <w:b/>
              </w:rPr>
            </w:pPr>
            <w:r w:rsidRPr="00AC77DF">
              <w:t>人人有權享有生命、自由和人身安全。</w:t>
            </w:r>
          </w:p>
          <w:p w:rsidR="003807A5" w:rsidRPr="00AC77DF" w:rsidRDefault="003807A5" w:rsidP="00055ED7">
            <w:pPr>
              <w:spacing w:line="340" w:lineRule="exact"/>
              <w:jc w:val="both"/>
              <w:rPr>
                <w:b/>
              </w:rPr>
            </w:pPr>
            <w:r w:rsidRPr="00AC77DF">
              <w:rPr>
                <w:b/>
              </w:rPr>
              <w:t>人類環境宣言之共同信念第</w:t>
            </w:r>
            <w:r w:rsidRPr="00AC77DF">
              <w:rPr>
                <w:b/>
              </w:rPr>
              <w:t>1</w:t>
            </w:r>
            <w:r w:rsidRPr="00AC77DF">
              <w:rPr>
                <w:b/>
              </w:rPr>
              <w:t>條</w:t>
            </w:r>
          </w:p>
          <w:p w:rsidR="003807A5" w:rsidRPr="00AC77DF" w:rsidRDefault="003807A5" w:rsidP="00055ED7">
            <w:pPr>
              <w:kinsoku w:val="0"/>
              <w:spacing w:line="340" w:lineRule="exact"/>
              <w:jc w:val="both"/>
            </w:pPr>
            <w:r w:rsidRPr="00AC77DF">
              <w:t>人類有權在一種能夠過着尊嚴和福利的生活的環境中，享有自由、平等和充足的生活條件的基本權利，並且負有保護和改善這一代和將來的世世代代的環境的莊嚴責任。在這方面，促進或維護種族隔離、種族分離與歧視、殖民主義和其它形式的壓迫及外國統治的政策，應該受到譴責和必須消除。</w:t>
            </w:r>
          </w:p>
          <w:p w:rsidR="003807A5" w:rsidRPr="00AC77DF" w:rsidRDefault="003807A5" w:rsidP="00055ED7">
            <w:pPr>
              <w:spacing w:line="340" w:lineRule="exact"/>
              <w:jc w:val="both"/>
              <w:rPr>
                <w:b/>
              </w:rPr>
            </w:pPr>
            <w:r w:rsidRPr="00AC77DF">
              <w:rPr>
                <w:b/>
              </w:rPr>
              <w:t>人類環境宣言之共同信念第</w:t>
            </w:r>
            <w:r w:rsidRPr="00AC77DF">
              <w:rPr>
                <w:b/>
              </w:rPr>
              <w:t>2</w:t>
            </w:r>
            <w:r w:rsidRPr="00AC77DF">
              <w:rPr>
                <w:b/>
              </w:rPr>
              <w:t>條</w:t>
            </w:r>
          </w:p>
          <w:p w:rsidR="003807A5" w:rsidRPr="00AC77DF" w:rsidRDefault="003807A5" w:rsidP="00055ED7">
            <w:pPr>
              <w:spacing w:line="340" w:lineRule="exact"/>
              <w:jc w:val="both"/>
            </w:pPr>
            <w:r w:rsidRPr="00AC77DF">
              <w:t>為了這一代和將來的世世代代的利益，地球上的自然資源，其中包括空氣、水、土地、植物和動物，特別是自然生態類中具有代表性的標本，必須通過周密計劃或適當管理加以保護。</w:t>
            </w:r>
          </w:p>
          <w:p w:rsidR="003807A5" w:rsidRPr="00AC77DF" w:rsidRDefault="003807A5" w:rsidP="00055ED7">
            <w:pPr>
              <w:spacing w:line="340" w:lineRule="exact"/>
              <w:jc w:val="both"/>
              <w:rPr>
                <w:b/>
                <w:lang w:val="x-none"/>
              </w:rPr>
            </w:pPr>
            <w:r w:rsidRPr="00AC77DF">
              <w:rPr>
                <w:b/>
              </w:rPr>
              <w:t>經濟</w:t>
            </w:r>
            <w:r w:rsidRPr="00AC77DF">
              <w:rPr>
                <w:b/>
                <w:lang w:val="x-none"/>
              </w:rPr>
              <w:t>社會文化權利國際公約第</w:t>
            </w:r>
            <w:r w:rsidRPr="00AC77DF">
              <w:rPr>
                <w:b/>
                <w:lang w:val="x-none"/>
              </w:rPr>
              <w:t>11</w:t>
            </w:r>
            <w:r w:rsidRPr="00AC77DF">
              <w:rPr>
                <w:b/>
                <w:lang w:val="x-none"/>
              </w:rPr>
              <w:t>條</w:t>
            </w:r>
          </w:p>
          <w:p w:rsidR="003807A5" w:rsidRPr="00AC77DF" w:rsidRDefault="003807A5" w:rsidP="00055ED7">
            <w:pPr>
              <w:kinsoku w:val="0"/>
              <w:spacing w:line="340" w:lineRule="exact"/>
              <w:ind w:left="480" w:hangingChars="200" w:hanging="480"/>
              <w:jc w:val="both"/>
              <w:rPr>
                <w:lang w:val="x-none"/>
              </w:rPr>
            </w:pPr>
            <w:r w:rsidRPr="00AC77DF">
              <w:rPr>
                <w:lang w:val="x-none"/>
              </w:rPr>
              <w:t>一、本公約締約國確認人人有權享受其本人及家屬所需之適當生活程度，包括適當之衣食住及不斷改善之生活環境。締約國將採取適當步驟確保此種權利之實現，同時確認在此方面基於自由同意之國際合作極為重要。</w:t>
            </w:r>
          </w:p>
          <w:p w:rsidR="003807A5" w:rsidRPr="00AC77DF" w:rsidRDefault="003807A5" w:rsidP="00055ED7">
            <w:pPr>
              <w:kinsoku w:val="0"/>
              <w:spacing w:line="340" w:lineRule="exact"/>
              <w:ind w:left="480" w:hangingChars="200" w:hanging="480"/>
              <w:jc w:val="both"/>
              <w:rPr>
                <w:lang w:val="x-none"/>
              </w:rPr>
            </w:pPr>
            <w:r w:rsidRPr="00AC77DF">
              <w:rPr>
                <w:lang w:val="x-none"/>
              </w:rPr>
              <w:t>二、本公約締約國既確認人人有免受饑餓之基本權利，應個別及經由國際合作，採取為下列目的所需之措施，包括特定方案在內：</w:t>
            </w:r>
          </w:p>
          <w:p w:rsidR="003807A5" w:rsidRPr="00AC77DF" w:rsidRDefault="00055ED7" w:rsidP="00055ED7">
            <w:pPr>
              <w:spacing w:line="340" w:lineRule="exact"/>
              <w:ind w:left="910" w:hangingChars="379" w:hanging="910"/>
              <w:jc w:val="distribute"/>
              <w:rPr>
                <w:lang w:val="x-none"/>
              </w:rPr>
            </w:pPr>
            <w:r>
              <w:rPr>
                <w:rFonts w:hint="eastAsia"/>
                <w:lang w:val="x-none"/>
              </w:rPr>
              <w:t xml:space="preserve">　　</w:t>
            </w:r>
            <w:r>
              <w:rPr>
                <w:rFonts w:hint="eastAsia"/>
                <w:lang w:val="x-none"/>
              </w:rPr>
              <w:t>(</w:t>
            </w:r>
            <w:r w:rsidR="003807A5" w:rsidRPr="00AC77DF">
              <w:rPr>
                <w:lang w:val="x-none"/>
              </w:rPr>
              <w:t>一</w:t>
            </w:r>
            <w:r>
              <w:rPr>
                <w:rFonts w:hint="eastAsia"/>
                <w:lang w:val="x-none"/>
              </w:rPr>
              <w:t>)</w:t>
            </w:r>
            <w:r w:rsidR="003807A5" w:rsidRPr="00AC77DF">
              <w:rPr>
                <w:lang w:val="x-none"/>
              </w:rPr>
              <w:t>充分利用技術與科學知識、傳佈營養原則之知識、及發展或改革土地制度而使天然資源獲得最有效之</w:t>
            </w:r>
            <w:r w:rsidR="003807A5" w:rsidRPr="00055ED7">
              <w:rPr>
                <w:spacing w:val="-4"/>
                <w:lang w:val="x-none"/>
              </w:rPr>
              <w:t>開發與利用，以改進糧食生產、保貯及分配之方法；</w:t>
            </w:r>
          </w:p>
          <w:p w:rsidR="003807A5" w:rsidRPr="00AC77DF" w:rsidRDefault="00055ED7" w:rsidP="00055ED7">
            <w:pPr>
              <w:spacing w:line="340" w:lineRule="exact"/>
              <w:ind w:left="910" w:hangingChars="379" w:hanging="910"/>
              <w:jc w:val="both"/>
              <w:rPr>
                <w:lang w:val="x-none"/>
              </w:rPr>
            </w:pPr>
            <w:r>
              <w:rPr>
                <w:rFonts w:hint="eastAsia"/>
                <w:lang w:val="x-none"/>
              </w:rPr>
              <w:t xml:space="preserve">　　</w:t>
            </w:r>
            <w:r>
              <w:rPr>
                <w:rFonts w:hint="eastAsia"/>
                <w:lang w:val="x-none"/>
              </w:rPr>
              <w:t>(</w:t>
            </w:r>
            <w:r w:rsidR="003807A5" w:rsidRPr="00AC77DF">
              <w:rPr>
                <w:lang w:val="x-none"/>
              </w:rPr>
              <w:t>二</w:t>
            </w:r>
            <w:r>
              <w:rPr>
                <w:rFonts w:hint="eastAsia"/>
                <w:lang w:val="x-none"/>
              </w:rPr>
              <w:t>)</w:t>
            </w:r>
            <w:r w:rsidR="003807A5" w:rsidRPr="00AC77DF">
              <w:rPr>
                <w:lang w:val="x-none"/>
              </w:rPr>
              <w:t>計及糧食輸入及輸出國家雙方問題，確保世界糧食供應按照需要，公平分配。</w:t>
            </w:r>
          </w:p>
        </w:tc>
      </w:tr>
    </w:tbl>
    <w:p w:rsidR="003807A5" w:rsidRPr="00AC77DF" w:rsidRDefault="00F34382" w:rsidP="00DE66F8">
      <w:pPr>
        <w:pStyle w:val="afff1"/>
        <w:spacing w:before="360" w:after="360"/>
      </w:pPr>
      <w:r>
        <w:rPr>
          <w:rFonts w:hint="eastAsia"/>
        </w:rPr>
        <w:lastRenderedPageBreak/>
        <w:t>(一)</w:t>
      </w:r>
      <w:r w:rsidR="003807A5" w:rsidRPr="00AC77DF">
        <w:t>案情簡述</w:t>
      </w:r>
    </w:p>
    <w:p w:rsidR="003807A5" w:rsidRPr="00AC77DF" w:rsidRDefault="000916CC" w:rsidP="00234F21">
      <w:pPr>
        <w:pStyle w:val="1---"/>
        <w:ind w:firstLine="480"/>
      </w:pPr>
      <w:r>
        <w:rPr>
          <w:rFonts w:hint="eastAsia"/>
          <w:lang w:eastAsia="zh-TW"/>
        </w:rPr>
        <w:t>監察院</w:t>
      </w:r>
      <w:r w:rsidR="003807A5" w:rsidRPr="00AC77DF">
        <w:t>於調查亞泥公司於太魯閣國家公園之礦業權</w:t>
      </w:r>
      <w:r w:rsidR="003807A5">
        <w:rPr>
          <w:rFonts w:hint="eastAsia"/>
        </w:rPr>
        <w:t>審查</w:t>
      </w:r>
      <w:r w:rsidR="003807A5" w:rsidRPr="00AC77DF">
        <w:t>案時，發現所涉案情涵蓋礦業法、</w:t>
      </w:r>
      <w:r w:rsidR="003807A5" w:rsidRPr="0025002C">
        <w:rPr>
          <w:rFonts w:hint="eastAsia"/>
        </w:rPr>
        <w:t>原基法</w:t>
      </w:r>
      <w:r w:rsidR="003807A5" w:rsidRPr="00AC77DF">
        <w:t>、森林法、水土保持等相關法律及其子法，分屬經濟部（礦務局、工業局</w:t>
      </w:r>
      <w:r w:rsidR="003807A5" w:rsidRPr="00055ED7">
        <w:rPr>
          <w:spacing w:val="-28"/>
        </w:rPr>
        <w:t>）</w:t>
      </w:r>
      <w:r w:rsidR="003807A5" w:rsidRPr="00AC77DF">
        <w:t>、原住民族委員會、行政院農委會林務局、行政院</w:t>
      </w:r>
      <w:r w:rsidR="003807A5" w:rsidRPr="0025002C">
        <w:rPr>
          <w:rFonts w:hint="eastAsia"/>
        </w:rPr>
        <w:t>環保署</w:t>
      </w:r>
      <w:r w:rsidR="003807A5" w:rsidRPr="00AC77DF">
        <w:t>、內政部營建署、內政部、文化部、相關地方政府等機關主管，調查範圍既廣泛又複雜</w:t>
      </w:r>
      <w:r w:rsidR="006F3DE0">
        <w:t>。</w:t>
      </w:r>
      <w:r w:rsidR="003807A5" w:rsidRPr="00AC77DF">
        <w:t>導演齊柏林於</w:t>
      </w:r>
      <w:r w:rsidR="003807A5" w:rsidRPr="00AC77DF">
        <w:t>106</w:t>
      </w:r>
      <w:r w:rsidR="003807A5" w:rsidRPr="00AC77DF">
        <w:t>年</w:t>
      </w:r>
      <w:r w:rsidR="003807A5" w:rsidRPr="00AC77DF">
        <w:t>6</w:t>
      </w:r>
      <w:r w:rsidR="003807A5" w:rsidRPr="00AC77DF">
        <w:t>月間墜機身亡</w:t>
      </w:r>
      <w:r w:rsidR="006F3DE0">
        <w:t>，</w:t>
      </w:r>
      <w:r w:rsidR="006F3DE0">
        <w:rPr>
          <w:rFonts w:hint="eastAsia"/>
        </w:rPr>
        <w:t>其</w:t>
      </w:r>
      <w:r w:rsidR="003807A5" w:rsidRPr="00AC77DF">
        <w:t>所拍攝影片引起全民</w:t>
      </w:r>
      <w:r w:rsidR="006F3DE0">
        <w:rPr>
          <w:rFonts w:hint="eastAsia"/>
        </w:rPr>
        <w:t>關注。</w:t>
      </w:r>
      <w:r w:rsidR="006F3DE0" w:rsidRPr="00AC77DF">
        <w:t>為加速聚焦，釐清疑點，監察委員</w:t>
      </w:r>
      <w:r w:rsidR="006F3DE0">
        <w:rPr>
          <w:rFonts w:hint="eastAsia"/>
        </w:rPr>
        <w:t>爰</w:t>
      </w:r>
      <w:r w:rsidR="006F3DE0" w:rsidRPr="00AC77DF">
        <w:t>就</w:t>
      </w:r>
      <w:r w:rsidR="006F3DE0">
        <w:t>位於保安林之現有礦區</w:t>
      </w:r>
      <w:r w:rsidR="006F3DE0" w:rsidRPr="00AC77DF">
        <w:t>立案調查。</w:t>
      </w:r>
    </w:p>
    <w:p w:rsidR="003807A5" w:rsidRPr="00AC77DF" w:rsidRDefault="00F34382" w:rsidP="00DE66F8">
      <w:pPr>
        <w:pStyle w:val="afff1"/>
        <w:spacing w:before="360" w:after="360"/>
      </w:pPr>
      <w:r>
        <w:rPr>
          <w:rFonts w:hint="eastAsia"/>
        </w:rPr>
        <w:t>(二)</w:t>
      </w:r>
      <w:r w:rsidR="003807A5" w:rsidRPr="00AC77DF">
        <w:t>監察院調查發現與建議</w:t>
      </w:r>
    </w:p>
    <w:p w:rsidR="003807A5" w:rsidRPr="00AC77DF" w:rsidRDefault="00287E7B" w:rsidP="00564517">
      <w:pPr>
        <w:pStyle w:val="1--13"/>
        <w:spacing w:before="180" w:after="180"/>
      </w:pPr>
      <w:r w:rsidRPr="008E1832">
        <w:rPr>
          <w:rFonts w:hint="eastAsia"/>
        </w:rPr>
        <w:t>˙</w:t>
      </w:r>
      <w:r w:rsidR="003807A5" w:rsidRPr="00AC77DF">
        <w:t>保安林探採礦政策宜審慎評估</w:t>
      </w:r>
    </w:p>
    <w:p w:rsidR="003807A5" w:rsidRPr="00AC77DF" w:rsidRDefault="003807A5" w:rsidP="00234F21">
      <w:pPr>
        <w:pStyle w:val="1---"/>
        <w:ind w:firstLine="480"/>
      </w:pPr>
      <w:r w:rsidRPr="00AC77DF">
        <w:t>截至</w:t>
      </w:r>
      <w:r w:rsidRPr="00AC77DF">
        <w:t>106</w:t>
      </w:r>
      <w:r w:rsidRPr="00AC77DF">
        <w:t>年</w:t>
      </w:r>
      <w:r w:rsidRPr="00AC77DF">
        <w:t>8</w:t>
      </w:r>
      <w:r w:rsidRPr="00AC77DF">
        <w:t>月底止，全國計有</w:t>
      </w:r>
      <w:r w:rsidRPr="00AC77DF">
        <w:t>13</w:t>
      </w:r>
      <w:r w:rsidRPr="00AC77DF">
        <w:t>個礦區其礦業用地位於保安林內，重複保安林面積約</w:t>
      </w:r>
      <w:r w:rsidRPr="00AC77DF">
        <w:t>131.7784</w:t>
      </w:r>
      <w:r w:rsidRPr="00AC77DF">
        <w:t>公頃。揆諸保安林劃設</w:t>
      </w:r>
      <w:r w:rsidR="008F31E9" w:rsidRPr="00AC77DF">
        <w:t>主要</w:t>
      </w:r>
      <w:r w:rsidRPr="00AC77DF">
        <w:t>目的係為鞏固土石、涵養水源，惟採礦後岩盤露出，土壤淺薄，復育造林不易，難以復原。近來極端氣候變遷，風災豪雨頻仍，土石崩落坍塌隨時可能發生，山林保育工作已刻不容緩，時值礦業政策與礦業法規檢討修正之關鍵時機，現行保安林探採礦政策宜配合審慎評估檢討。</w:t>
      </w:r>
    </w:p>
    <w:p w:rsidR="003807A5" w:rsidRPr="00AC77DF" w:rsidRDefault="00287E7B" w:rsidP="00564517">
      <w:pPr>
        <w:pStyle w:val="1--13"/>
        <w:spacing w:before="180" w:after="180"/>
      </w:pPr>
      <w:r w:rsidRPr="008E1832">
        <w:rPr>
          <w:rFonts w:hint="eastAsia"/>
        </w:rPr>
        <w:t>˙</w:t>
      </w:r>
      <w:r w:rsidR="003807A5" w:rsidRPr="00AC77DF">
        <w:t>礦務局恣意解釋法令，架空林業主管機關權責</w:t>
      </w:r>
    </w:p>
    <w:p w:rsidR="003807A5" w:rsidRPr="00AC77DF" w:rsidRDefault="003807A5" w:rsidP="00234F21">
      <w:pPr>
        <w:pStyle w:val="1---"/>
        <w:ind w:firstLine="480"/>
      </w:pPr>
      <w:r w:rsidRPr="00AC77DF">
        <w:t>經濟部依據礦業法第</w:t>
      </w:r>
      <w:r w:rsidRPr="00AC77DF">
        <w:t>31</w:t>
      </w:r>
      <w:r w:rsidRPr="00AC77DF">
        <w:t>條對於礦業權展限之申請採「原則</w:t>
      </w:r>
      <w:r w:rsidRPr="00AC77DF">
        <w:lastRenderedPageBreak/>
        <w:t>同意，例外駁回」方式，致使礦務局可自行以礦業權申請展限案無申請增區行為，</w:t>
      </w:r>
      <w:r w:rsidR="004D394F">
        <w:rPr>
          <w:rFonts w:hint="eastAsia"/>
        </w:rPr>
        <w:t>毋</w:t>
      </w:r>
      <w:r w:rsidR="00CA676D">
        <w:rPr>
          <w:rFonts w:hint="eastAsia"/>
        </w:rPr>
        <w:t>須</w:t>
      </w:r>
      <w:r w:rsidRPr="00AC77DF">
        <w:t>就原領礦業權範圍再次取得林業主管機關之意見，而逕為核定，林業主管機關之權責顯被架空。縱林業主管機關已依法建議不宜將涉入保安林之區域列入礦業權展限範圍內（如益興礦業股份有限公司於</w:t>
      </w:r>
      <w:r w:rsidRPr="00AC77DF">
        <w:t>101</w:t>
      </w:r>
      <w:r w:rsidRPr="00AC77DF">
        <w:t>年間為所領臺濟採字第</w:t>
      </w:r>
      <w:r w:rsidRPr="00AC77DF">
        <w:t>5563</w:t>
      </w:r>
      <w:r w:rsidRPr="00AC77DF">
        <w:t>號礦業權展限案、台灣糖業股份有限公司於</w:t>
      </w:r>
      <w:r w:rsidRPr="00AC77DF">
        <w:t>102</w:t>
      </w:r>
      <w:r w:rsidRPr="00AC77DF">
        <w:t>年間為所領臺濟採字第</w:t>
      </w:r>
      <w:r w:rsidRPr="00AC77DF">
        <w:t>5442</w:t>
      </w:r>
      <w:r w:rsidRPr="00AC77DF">
        <w:t>、</w:t>
      </w:r>
      <w:r w:rsidRPr="00AC77DF">
        <w:t>5443</w:t>
      </w:r>
      <w:r w:rsidRPr="00AC77DF">
        <w:t>、</w:t>
      </w:r>
      <w:r w:rsidRPr="00AC77DF">
        <w:t>5444</w:t>
      </w:r>
      <w:r w:rsidRPr="00AC77DF">
        <w:t>、</w:t>
      </w:r>
      <w:r w:rsidRPr="00AC77DF">
        <w:t>5445</w:t>
      </w:r>
      <w:r w:rsidRPr="00AC77DF">
        <w:t>號礦業權展限案等</w:t>
      </w:r>
      <w:r w:rsidRPr="00D54AFE">
        <w:rPr>
          <w:spacing w:val="-28"/>
        </w:rPr>
        <w:t>）</w:t>
      </w:r>
      <w:r w:rsidRPr="00AC77DF">
        <w:t>，然礦務局仍核准上開礦業權展限，且未將礦業權展限結果函復農委會知悉。</w:t>
      </w:r>
    </w:p>
    <w:p w:rsidR="003807A5" w:rsidRPr="00AC77DF" w:rsidRDefault="00287E7B" w:rsidP="00564517">
      <w:pPr>
        <w:pStyle w:val="1--13"/>
        <w:spacing w:before="180" w:after="180"/>
      </w:pPr>
      <w:r w:rsidRPr="008E1832">
        <w:rPr>
          <w:rFonts w:hint="eastAsia"/>
        </w:rPr>
        <w:t>˙</w:t>
      </w:r>
      <w:r w:rsidR="003807A5" w:rsidRPr="00AC77DF">
        <w:t>保安林地租金與環境損失顯失均衡</w:t>
      </w:r>
    </w:p>
    <w:p w:rsidR="003807A5" w:rsidRPr="00AC77DF" w:rsidRDefault="003807A5" w:rsidP="00234F21">
      <w:pPr>
        <w:pStyle w:val="1---"/>
        <w:ind w:firstLine="480"/>
      </w:pPr>
      <w:r w:rsidRPr="00AC77DF">
        <w:t>農委會僅以保安林地市價年息</w:t>
      </w:r>
      <w:r w:rsidRPr="00AC77DF">
        <w:t>4%</w:t>
      </w:r>
      <w:r w:rsidRPr="00AC77DF">
        <w:t>計算土地租金，租金低廉，然保安林兼具防禦危害與保護公眾利益之功能，出租作為礦業用地後，炸山採礦，山林掏空，除嚴重影響森林生態外，亦改變原有地形地貌，外部環境成本高昂。農委會所收租金與環境所受損失顯失均衡，應儘速檢討保安林地土地租金計算方式，以合理反映採礦外溢之環境成本。</w:t>
      </w:r>
    </w:p>
    <w:p w:rsidR="003807A5" w:rsidRPr="00AC77DF" w:rsidRDefault="00287E7B" w:rsidP="00564517">
      <w:pPr>
        <w:pStyle w:val="1--13"/>
        <w:spacing w:before="180" w:after="180"/>
      </w:pPr>
      <w:r w:rsidRPr="008E1832">
        <w:rPr>
          <w:rFonts w:hint="eastAsia"/>
        </w:rPr>
        <w:t>˙</w:t>
      </w:r>
      <w:r w:rsidR="003807A5" w:rsidRPr="00AC77DF">
        <w:t>保安林礦區租約久懸未決</w:t>
      </w:r>
    </w:p>
    <w:p w:rsidR="003807A5" w:rsidRPr="00AC77DF" w:rsidRDefault="003807A5" w:rsidP="00234F21">
      <w:pPr>
        <w:pStyle w:val="1---"/>
        <w:ind w:firstLine="480"/>
      </w:pPr>
      <w:r w:rsidRPr="00AC77DF">
        <w:t>目前保安林礦區中，計有</w:t>
      </w:r>
      <w:r w:rsidRPr="00AC77DF">
        <w:t>7</w:t>
      </w:r>
      <w:r w:rsidRPr="00AC77DF">
        <w:t>筆租約，面積</w:t>
      </w:r>
      <w:r w:rsidRPr="00AC77DF">
        <w:t>16.9237</w:t>
      </w:r>
      <w:r w:rsidRPr="00AC77DF">
        <w:t>公頃之出租林地，因租約屆期而為停工狀態，其等租約多數逾期超過</w:t>
      </w:r>
      <w:r w:rsidRPr="00AC77DF">
        <w:t>1</w:t>
      </w:r>
      <w:r w:rsidRPr="00AC77DF">
        <w:t>年以上，部分契約甚至已逾期超過</w:t>
      </w:r>
      <w:r w:rsidRPr="00AC77DF">
        <w:t>6</w:t>
      </w:r>
      <w:r w:rsidRPr="00AC77DF">
        <w:t>年，卻久懸未決，空窗經年，相關監管規定與退場機制形同虛設。為避免肇生後續山林復育及水土保持等疑慮，農委會與經濟部應儘速研商後續因應方案及制度化處理機制，依法妥適處理。</w:t>
      </w:r>
    </w:p>
    <w:p w:rsidR="003807A5" w:rsidRPr="00AC77DF" w:rsidRDefault="00287E7B" w:rsidP="00564517">
      <w:pPr>
        <w:pStyle w:val="1--13"/>
        <w:spacing w:before="180" w:after="180"/>
      </w:pPr>
      <w:r w:rsidRPr="008E1832">
        <w:rPr>
          <w:rFonts w:hint="eastAsia"/>
        </w:rPr>
        <w:lastRenderedPageBreak/>
        <w:t>˙</w:t>
      </w:r>
      <w:r w:rsidR="003807A5" w:rsidRPr="00AC77DF">
        <w:t>橫向聯繫機制付之闕如</w:t>
      </w:r>
    </w:p>
    <w:p w:rsidR="003807A5" w:rsidRPr="00AC77DF" w:rsidRDefault="003807A5" w:rsidP="00234F21">
      <w:pPr>
        <w:pStyle w:val="1---"/>
        <w:ind w:firstLine="480"/>
      </w:pPr>
      <w:r w:rsidRPr="00AC77DF">
        <w:t>經濟部未依據保安林經營準則相關規定會同農委會及直轄市、縣（市）政府共同監督礦業權者對於水土保持之實施及維護，逕由各機關自行辦理，橫向聯繫機制付之闕如。</w:t>
      </w:r>
    </w:p>
    <w:p w:rsidR="003807A5" w:rsidRPr="00AC77DF" w:rsidRDefault="003807A5" w:rsidP="00234F21">
      <w:pPr>
        <w:pStyle w:val="1---"/>
        <w:ind w:firstLine="480"/>
      </w:pPr>
      <w:r w:rsidRPr="00AC77DF">
        <w:t>依據本案調查意見</w:t>
      </w:r>
      <w:r w:rsidRPr="00F85A65">
        <w:rPr>
          <w:rStyle w:val="aff2"/>
        </w:rPr>
        <w:footnoteReference w:id="141"/>
      </w:r>
      <w:r w:rsidRPr="00AC77DF">
        <w:t>，監察院糾正經濟部及農委會；另函請行政院督飭所屬確實檢討改進。</w:t>
      </w:r>
    </w:p>
    <w:p w:rsidR="003807A5" w:rsidRPr="00AC77DF" w:rsidRDefault="00F34382" w:rsidP="00DE66F8">
      <w:pPr>
        <w:pStyle w:val="afff1"/>
        <w:spacing w:before="360" w:after="360"/>
      </w:pPr>
      <w:r>
        <w:rPr>
          <w:rFonts w:hint="eastAsia"/>
        </w:rPr>
        <w:t>(三)</w:t>
      </w:r>
      <w:r w:rsidR="003807A5" w:rsidRPr="00AC77DF">
        <w:t>政府機關改善情形</w:t>
      </w:r>
    </w:p>
    <w:p w:rsidR="003807A5" w:rsidRPr="00AC77DF" w:rsidRDefault="003807A5" w:rsidP="00425EE5">
      <w:pPr>
        <w:pStyle w:val="1----"/>
        <w:ind w:left="600" w:hanging="360"/>
      </w:pPr>
      <w:r w:rsidRPr="00AC77DF">
        <w:t>1</w:t>
      </w:r>
      <w:r w:rsidRPr="00AC77DF">
        <w:t>、針對礦業權審核流程</w:t>
      </w:r>
      <w:r w:rsidRPr="00D54AFE">
        <w:rPr>
          <w:spacing w:val="-28"/>
        </w:rPr>
        <w:t>：</w:t>
      </w:r>
      <w:r w:rsidRPr="00AC77DF">
        <w:t>（</w:t>
      </w:r>
      <w:r w:rsidRPr="00AC77DF">
        <w:t>1</w:t>
      </w:r>
      <w:r w:rsidRPr="00AC77DF">
        <w:t>）經濟部（礦務局）已於現場勘查階段，邀請相關主管機關（林務局等）派員勘查並表示意見。倘相關（如農業）主管機關之意見並無法令禁止或限制條件情形下，依各機關之意見內容辦理，依法准駁</w:t>
      </w:r>
      <w:r w:rsidRPr="00D54AFE">
        <w:rPr>
          <w:spacing w:val="-28"/>
        </w:rPr>
        <w:t>。</w:t>
      </w:r>
      <w:r w:rsidRPr="00AC77DF">
        <w:t>（</w:t>
      </w:r>
      <w:r w:rsidRPr="00AC77DF">
        <w:t>2</w:t>
      </w:r>
      <w:r w:rsidRPr="00AC77DF">
        <w:t>）礦業主管機關未來核准礦業權時，除依現行礦業登記規則第</w:t>
      </w:r>
      <w:r w:rsidRPr="00AC77DF">
        <w:t>42</w:t>
      </w:r>
      <w:r w:rsidRPr="00AC77DF">
        <w:t>條規定，檢具礦區圖通知礦區所在地地方政府外，同時將相關核准函等資料及資訊副知林務局等相關主管機關，強化機關橫向聯繫</w:t>
      </w:r>
      <w:r w:rsidRPr="00D54AFE">
        <w:rPr>
          <w:spacing w:val="-28"/>
        </w:rPr>
        <w:t>。</w:t>
      </w:r>
      <w:r w:rsidRPr="00AC77DF">
        <w:t>（</w:t>
      </w:r>
      <w:r w:rsidRPr="00AC77DF">
        <w:t>3</w:t>
      </w:r>
      <w:r w:rsidRPr="00AC77DF">
        <w:t>）為落實機關間橫向業務，經濟部已檢討更新相關礦業權設權及礦業權展限流程圖，爾後於相關案件之受理審查（會勘）及核准時均會邀請並副知相關主管機關。</w:t>
      </w:r>
    </w:p>
    <w:p w:rsidR="003807A5" w:rsidRPr="00AC77DF" w:rsidRDefault="003807A5" w:rsidP="00425EE5">
      <w:pPr>
        <w:pStyle w:val="1----"/>
        <w:ind w:left="600" w:hanging="360"/>
      </w:pPr>
      <w:r w:rsidRPr="00AC77DF">
        <w:t>2</w:t>
      </w:r>
      <w:r w:rsidRPr="00AC77DF">
        <w:t>、針對保安林地租金部分，林務局已委託中興大學進行「臺灣國有林地礦區生態損害補價（含社會經濟價值評估）費用」相關資料蒐集及建立計算式，未來將生態系服務價值</w:t>
      </w:r>
      <w:r w:rsidRPr="00AC77DF">
        <w:lastRenderedPageBreak/>
        <w:t>予以量化並貨幣化後，與不動產估價師查估林地市價相加，作為核計租金之基礎，再依規加乘租金率計收每年之租金。</w:t>
      </w:r>
    </w:p>
    <w:p w:rsidR="003807A5" w:rsidRPr="00AC77DF" w:rsidRDefault="003807A5" w:rsidP="00425EE5">
      <w:pPr>
        <w:pStyle w:val="1----"/>
        <w:ind w:left="600" w:hanging="360"/>
      </w:pPr>
      <w:r w:rsidRPr="00AC77DF">
        <w:t>3</w:t>
      </w:r>
      <w:r w:rsidRPr="00AC77DF">
        <w:t>、針對礦場監督檢查</w:t>
      </w:r>
      <w:r w:rsidRPr="00D54AFE">
        <w:rPr>
          <w:spacing w:val="-28"/>
        </w:rPr>
        <w:t>：</w:t>
      </w:r>
      <w:r w:rsidRPr="00AC77DF">
        <w:t>（</w:t>
      </w:r>
      <w:r w:rsidRPr="00AC77DF">
        <w:t>1</w:t>
      </w:r>
      <w:r w:rsidRPr="00AC77DF">
        <w:t>）為維護礦場安全，依礦場安全法第</w:t>
      </w:r>
      <w:r w:rsidRPr="00AC77DF">
        <w:t>34</w:t>
      </w:r>
      <w:r w:rsidRPr="00AC77DF">
        <w:t>條及同法施行細則第</w:t>
      </w:r>
      <w:r w:rsidRPr="00AC77DF">
        <w:t>214</w:t>
      </w:r>
      <w:r w:rsidRPr="00AC77DF">
        <w:t>條規定，每</w:t>
      </w:r>
      <w:r w:rsidRPr="00AC77DF">
        <w:t>1</w:t>
      </w:r>
      <w:r w:rsidRPr="00AC77DF">
        <w:t>至</w:t>
      </w:r>
      <w:r w:rsidRPr="00AC77DF">
        <w:t>2</w:t>
      </w:r>
      <w:r w:rsidRPr="00AC77DF">
        <w:t>個月派員並實施監督檢查，並視個案情形邀請相關機關（土地、水土保持、地方環境保護及特定目的事業主管機關等）共同前往礦場實施聯合監督檢查。未來將朝制定聯合監督檢查機制，落實加強辦理</w:t>
      </w:r>
      <w:r w:rsidRPr="00D54AFE">
        <w:rPr>
          <w:spacing w:val="-28"/>
        </w:rPr>
        <w:t>。</w:t>
      </w:r>
      <w:r w:rsidRPr="00AC77DF">
        <w:t>（</w:t>
      </w:r>
      <w:r w:rsidRPr="00AC77DF">
        <w:t>2</w:t>
      </w:r>
      <w:r w:rsidRPr="00AC77DF">
        <w:t>）督導礦方切實依照相關計畫施工開採，經檢查結果做成會談紀錄，如有不合規定者，限期礦方改善，若有立即發生危害之虞，則同時暫行停止工作，並定期追蹤辦理改善情形，強化共識，積極落實，以確保飲用水水源水質安全；如有涉及違反其他法令規定部分（如土地、森林、水土保持或環境保護等法規），則移請各該主管機關逕依權責辦理，加強機關橫向聯繫管制工作。</w:t>
      </w:r>
    </w:p>
    <w:p w:rsidR="003807A5" w:rsidRPr="00AC77DF" w:rsidRDefault="00F34382" w:rsidP="00DE66F8">
      <w:pPr>
        <w:pStyle w:val="afff1"/>
        <w:spacing w:before="360" w:after="360"/>
      </w:pPr>
      <w:r>
        <w:rPr>
          <w:rFonts w:hint="eastAsia"/>
        </w:rPr>
        <w:t>(四)</w:t>
      </w:r>
      <w:r w:rsidR="003807A5" w:rsidRPr="00AC77DF">
        <w:t>案件進展</w:t>
      </w:r>
    </w:p>
    <w:p w:rsidR="003807A5" w:rsidRDefault="003807A5" w:rsidP="00234F21">
      <w:pPr>
        <w:pStyle w:val="1---"/>
        <w:ind w:firstLine="480"/>
        <w:rPr>
          <w:lang w:eastAsia="zh-TW"/>
        </w:rPr>
      </w:pPr>
      <w:r w:rsidRPr="00AC77DF">
        <w:t>本案持續追蹤中。</w:t>
      </w:r>
    </w:p>
    <w:p w:rsidR="00F34382" w:rsidRDefault="00F34382" w:rsidP="00234F21">
      <w:pPr>
        <w:pStyle w:val="1---"/>
        <w:ind w:firstLine="480"/>
        <w:rPr>
          <w:lang w:eastAsia="zh-TW"/>
        </w:rPr>
      </w:pPr>
    </w:p>
    <w:p w:rsidR="000916CC" w:rsidRDefault="000916CC">
      <w:bookmarkStart w:id="644" w:name="_Toc535228418"/>
      <w:bookmarkStart w:id="645" w:name="_Toc4058830"/>
      <w:r>
        <w:rPr>
          <w:shadow/>
        </w:rPr>
        <w:br w:type="page"/>
      </w:r>
    </w:p>
    <w:tbl>
      <w:tblPr>
        <w:tblStyle w:val="aff5"/>
        <w:tblW w:w="0" w:type="auto"/>
        <w:tblInd w:w="113" w:type="dxa"/>
        <w:shd w:val="clear" w:color="auto" w:fill="D9D9D9" w:themeFill="background1" w:themeFillShade="D9"/>
        <w:tblLook w:val="04A0" w:firstRow="1" w:lastRow="0" w:firstColumn="1" w:lastColumn="0" w:noHBand="0" w:noVBand="1"/>
      </w:tblPr>
      <w:tblGrid>
        <w:gridCol w:w="3284"/>
      </w:tblGrid>
      <w:tr w:rsidR="00F34382" w:rsidTr="004469D9">
        <w:tc>
          <w:tcPr>
            <w:tcW w:w="3284" w:type="dxa"/>
            <w:shd w:val="clear" w:color="auto" w:fill="D9D9D9" w:themeFill="background1" w:themeFillShade="D9"/>
          </w:tcPr>
          <w:p w:rsidR="00F34382" w:rsidRDefault="00F34382" w:rsidP="00F34382">
            <w:pPr>
              <w:pStyle w:val="11-"/>
              <w:spacing w:before="72" w:after="108"/>
              <w:rPr>
                <w:lang w:eastAsia="zh-TW"/>
              </w:rPr>
            </w:pPr>
            <w:r w:rsidRPr="00AC77DF">
              <w:lastRenderedPageBreak/>
              <w:t>濱海渡假村開發爭議案</w:t>
            </w:r>
            <w:bookmarkEnd w:id="644"/>
            <w:bookmarkEnd w:id="645"/>
          </w:p>
        </w:tc>
      </w:tr>
    </w:tbl>
    <w:p w:rsidR="003807A5" w:rsidRPr="00AC77DF" w:rsidRDefault="003807A5" w:rsidP="00F34382">
      <w:pPr>
        <w:pStyle w:val="1---"/>
        <w:ind w:firstLine="480"/>
      </w:pPr>
    </w:p>
    <w:tbl>
      <w:tblPr>
        <w:tblW w:w="4777" w:type="pct"/>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44"/>
      </w:tblGrid>
      <w:tr w:rsidR="003807A5" w:rsidRPr="00AC77DF" w:rsidTr="000916CC">
        <w:trPr>
          <w:trHeight w:val="1155"/>
        </w:trPr>
        <w:tc>
          <w:tcPr>
            <w:tcW w:w="5000" w:type="pct"/>
          </w:tcPr>
          <w:p w:rsidR="003807A5" w:rsidRPr="00AC77DF" w:rsidRDefault="003807A5" w:rsidP="004469D9">
            <w:pPr>
              <w:spacing w:line="360" w:lineRule="exact"/>
              <w:jc w:val="both"/>
              <w:rPr>
                <w:lang w:val="x-none"/>
              </w:rPr>
            </w:pPr>
            <w:r w:rsidRPr="00AC77DF">
              <w:rPr>
                <w:b/>
                <w:lang w:val="x-none"/>
              </w:rPr>
              <w:t>相關國際人權公約：</w:t>
            </w:r>
            <w:r w:rsidRPr="00AC77DF">
              <w:t>經濟社會文化權利國際公約第</w:t>
            </w:r>
            <w:r w:rsidRPr="00AC77DF">
              <w:t>1</w:t>
            </w:r>
            <w:r w:rsidRPr="00AC77DF">
              <w:t>條、第</w:t>
            </w:r>
            <w:r w:rsidRPr="00AC77DF">
              <w:t>12</w:t>
            </w:r>
            <w:r w:rsidRPr="00AC77DF">
              <w:t>條、公民與政治權利國際公約第</w:t>
            </w:r>
            <w:r w:rsidRPr="00AC77DF">
              <w:t>1</w:t>
            </w:r>
            <w:r w:rsidRPr="00AC77DF">
              <w:t>條、經濟社會文化權利國際公約第</w:t>
            </w:r>
            <w:r w:rsidRPr="00AC77DF">
              <w:t>14</w:t>
            </w:r>
            <w:r w:rsidRPr="00AC77DF">
              <w:t>號一般性意見</w:t>
            </w:r>
          </w:p>
        </w:tc>
      </w:tr>
    </w:tbl>
    <w:p w:rsidR="003807A5" w:rsidRPr="00AC77DF" w:rsidRDefault="00F34382" w:rsidP="00DE66F8">
      <w:pPr>
        <w:pStyle w:val="afff1"/>
        <w:spacing w:before="360" w:after="360"/>
      </w:pPr>
      <w:r>
        <w:rPr>
          <w:rFonts w:hint="eastAsia"/>
        </w:rPr>
        <w:t>(一)</w:t>
      </w:r>
      <w:r w:rsidR="003807A5" w:rsidRPr="00AC77DF">
        <w:t>案情簡述</w:t>
      </w:r>
    </w:p>
    <w:p w:rsidR="003807A5" w:rsidRDefault="003807A5" w:rsidP="00234F21">
      <w:pPr>
        <w:pStyle w:val="1---"/>
        <w:ind w:firstLine="480"/>
        <w:rPr>
          <w:lang w:eastAsia="zh-TW"/>
        </w:rPr>
      </w:pPr>
      <w:r w:rsidRPr="00AC77DF">
        <w:t>臺東縣都蘭灣「杉原棕櫚濱海渡假村」開發案規模達</w:t>
      </w:r>
      <w:r w:rsidRPr="00AC77DF">
        <w:t>25.5994</w:t>
      </w:r>
      <w:r w:rsidRPr="00AC77DF">
        <w:t>公頃，</w:t>
      </w:r>
      <w:r w:rsidRPr="00AC77DF">
        <w:t>558</w:t>
      </w:r>
      <w:r w:rsidRPr="00AC77DF">
        <w:t>間房間，為都蘭灣當地最大之旅館開發案，其環境影響說明書及開發許可、興辦事業計畫早於</w:t>
      </w:r>
      <w:r w:rsidRPr="00AC77DF">
        <w:t>91</w:t>
      </w:r>
      <w:r w:rsidRPr="00AC77DF">
        <w:t>及</w:t>
      </w:r>
      <w:r w:rsidRPr="00AC77DF">
        <w:t>93</w:t>
      </w:r>
      <w:r w:rsidRPr="00AC77DF">
        <w:t>年間審核通過，嗣因停滯多年而再於</w:t>
      </w:r>
      <w:r w:rsidRPr="00AC77DF">
        <w:t>99</w:t>
      </w:r>
      <w:r w:rsidRPr="00AC77DF">
        <w:t>年間依規定提出環境現況差異分析及對策檢討報告，經多年審查始於</w:t>
      </w:r>
      <w:r w:rsidRPr="00AC77DF">
        <w:t>105</w:t>
      </w:r>
      <w:r w:rsidRPr="00AC77DF">
        <w:t>年間通過。然其因時空環境變遷，且該案離海岸不遠，疑有牴觸海岸管理法之虞。又當地</w:t>
      </w:r>
      <w:r w:rsidR="006A4812">
        <w:rPr>
          <w:rFonts w:hint="eastAsia"/>
        </w:rPr>
        <w:t>包含</w:t>
      </w:r>
      <w:r w:rsidRPr="00AC77DF">
        <w:t>加路蘭、刺桐、都蘭三個原住民族部落生活空間，涉及原基法第</w:t>
      </w:r>
      <w:r w:rsidRPr="00AC77DF">
        <w:t>21</w:t>
      </w:r>
      <w:r w:rsidRPr="00AC77DF">
        <w:t>條有關原住民族諮商同意踐行程序議題。本案共</w:t>
      </w:r>
      <w:r w:rsidRPr="00AC77DF">
        <w:t>19</w:t>
      </w:r>
      <w:r w:rsidRPr="00AC77DF">
        <w:t>筆共</w:t>
      </w:r>
      <w:r w:rsidRPr="00AC77DF">
        <w:t>7.9153</w:t>
      </w:r>
      <w:r w:rsidRPr="00AC77DF">
        <w:t>公頃國有土地（占開發面積</w:t>
      </w:r>
      <w:r w:rsidRPr="00AC77DF">
        <w:t>30.92</w:t>
      </w:r>
      <w:r w:rsidR="00F9266D">
        <w:t>%</w:t>
      </w:r>
      <w:r w:rsidRPr="00AC77DF">
        <w:t>），係開發公司於</w:t>
      </w:r>
      <w:r w:rsidRPr="00AC77DF">
        <w:t>98</w:t>
      </w:r>
      <w:r w:rsidRPr="00AC77DF">
        <w:t>年向國產署申請以委託經營方式取得使用權，惟其約定</w:t>
      </w:r>
      <w:r w:rsidRPr="00AC77DF">
        <w:t>10</w:t>
      </w:r>
      <w:r w:rsidRPr="00AC77DF">
        <w:t>年之契約期間僅收取權利金</w:t>
      </w:r>
      <w:r w:rsidRPr="00AC77DF">
        <w:t>309</w:t>
      </w:r>
      <w:r w:rsidRPr="00AC77DF">
        <w:t>萬</w:t>
      </w:r>
      <w:r w:rsidRPr="00AC77DF">
        <w:t>8,660</w:t>
      </w:r>
      <w:r w:rsidRPr="00AC77DF">
        <w:t>元（包括訂約權利金</w:t>
      </w:r>
      <w:r w:rsidRPr="00AC77DF">
        <w:t>265</w:t>
      </w:r>
      <w:r w:rsidRPr="00AC77DF">
        <w:t>萬</w:t>
      </w:r>
      <w:r w:rsidRPr="00AC77DF">
        <w:t>2,200</w:t>
      </w:r>
      <w:r w:rsidRPr="00AC77DF">
        <w:t>元，及經營權利金每年為</w:t>
      </w:r>
      <w:r w:rsidRPr="00AC77DF">
        <w:t>4</w:t>
      </w:r>
      <w:r w:rsidRPr="00AC77DF">
        <w:t>萬</w:t>
      </w:r>
      <w:r w:rsidRPr="00AC77DF">
        <w:t>4,646</w:t>
      </w:r>
      <w:r w:rsidRPr="00AC77DF">
        <w:t>元</w:t>
      </w:r>
      <w:r w:rsidRPr="00D54AFE">
        <w:rPr>
          <w:spacing w:val="-28"/>
        </w:rPr>
        <w:t>）</w:t>
      </w:r>
      <w:r w:rsidRPr="00AC77DF">
        <w:t>，平均每坪每年租金僅</w:t>
      </w:r>
      <w:r w:rsidRPr="00AC77DF">
        <w:t>12.94</w:t>
      </w:r>
      <w:r w:rsidR="006A4812">
        <w:t>元，致遭批評賤租國土，</w:t>
      </w:r>
      <w:r w:rsidRPr="00AC77DF">
        <w:t>引發外界質疑，爰經監察委員立案調查。</w:t>
      </w:r>
    </w:p>
    <w:p w:rsidR="00E852D8" w:rsidRPr="00AC77DF" w:rsidRDefault="00E852D8" w:rsidP="00234F21">
      <w:pPr>
        <w:pStyle w:val="1---"/>
        <w:ind w:firstLine="480"/>
        <w:rPr>
          <w:lang w:eastAsia="zh-TW"/>
        </w:rPr>
      </w:pPr>
    </w:p>
    <w:p w:rsidR="003807A5" w:rsidRPr="00AC77DF" w:rsidRDefault="00F34382" w:rsidP="00DE66F8">
      <w:pPr>
        <w:pStyle w:val="afff1"/>
        <w:spacing w:before="360" w:after="360"/>
      </w:pPr>
      <w:r>
        <w:rPr>
          <w:rFonts w:hint="eastAsia"/>
        </w:rPr>
        <w:lastRenderedPageBreak/>
        <w:t>(二)</w:t>
      </w:r>
      <w:r w:rsidR="003807A5" w:rsidRPr="00AC77DF">
        <w:t>監察院調查發現與建議</w:t>
      </w:r>
    </w:p>
    <w:p w:rsidR="003807A5" w:rsidRPr="00AC77DF" w:rsidRDefault="00287E7B" w:rsidP="00564517">
      <w:pPr>
        <w:pStyle w:val="1--13"/>
        <w:spacing w:before="180" w:after="180"/>
      </w:pPr>
      <w:r w:rsidRPr="008E1832">
        <w:rPr>
          <w:rFonts w:hint="eastAsia"/>
        </w:rPr>
        <w:t>˙</w:t>
      </w:r>
      <w:r w:rsidR="003807A5" w:rsidRPr="00AC77DF">
        <w:t>通過環境影響評估案件未設定有效期限</w:t>
      </w:r>
    </w:p>
    <w:p w:rsidR="003807A5" w:rsidRPr="00AC77DF" w:rsidRDefault="003807A5" w:rsidP="00234F21">
      <w:pPr>
        <w:pStyle w:val="1---"/>
        <w:ind w:firstLine="480"/>
      </w:pPr>
      <w:r w:rsidRPr="00AC77DF">
        <w:t>本案「環境現況差異分析及對策檢討報告暨第二次變更內容對照表」經環保署審查通過在案。然現行制度對通過環評審查案件並未設定有效期限，所憑藉環境現況差異分析審查通過或駁回等相關機制未臻明確，肇致陳年案件於時空變遷後再繼續開發之適宜性常遭受質疑。又因環境改變甚大時，造成審查程序反覆補件，卻未明定退場機制或其他通過與否之要件，造成社會紛擾不斷並延宕審查程序。</w:t>
      </w:r>
    </w:p>
    <w:p w:rsidR="003807A5" w:rsidRPr="00AC77DF" w:rsidRDefault="00287E7B" w:rsidP="00564517">
      <w:pPr>
        <w:pStyle w:val="1--13"/>
        <w:spacing w:before="180" w:after="180"/>
      </w:pPr>
      <w:r w:rsidRPr="008E1832">
        <w:rPr>
          <w:rFonts w:hint="eastAsia"/>
        </w:rPr>
        <w:t>˙</w:t>
      </w:r>
      <w:r w:rsidR="003807A5" w:rsidRPr="00AC77DF">
        <w:t>未完成審查即先施工</w:t>
      </w:r>
    </w:p>
    <w:p w:rsidR="003807A5" w:rsidRPr="00AC77DF" w:rsidRDefault="003807A5" w:rsidP="00234F21">
      <w:pPr>
        <w:pStyle w:val="1---"/>
        <w:ind w:firstLine="480"/>
      </w:pPr>
      <w:r w:rsidRPr="00AC77DF">
        <w:t>環保署於</w:t>
      </w:r>
      <w:r w:rsidRPr="00AC77DF">
        <w:t>105</w:t>
      </w:r>
      <w:r w:rsidRPr="00AC77DF">
        <w:t>年</w:t>
      </w:r>
      <w:r w:rsidRPr="00AC77DF">
        <w:t>6</w:t>
      </w:r>
      <w:r w:rsidRPr="00AC77DF">
        <w:t>月</w:t>
      </w:r>
      <w:r w:rsidRPr="00AC77DF">
        <w:t>29</w:t>
      </w:r>
      <w:r w:rsidRPr="00AC77DF">
        <w:t>日完成杉原棕櫚渡假村開發案現況差異分析審查前，臺東縣政府即先於</w:t>
      </w:r>
      <w:r w:rsidRPr="00AC77DF">
        <w:t>101</w:t>
      </w:r>
      <w:r w:rsidRPr="00AC77DF">
        <w:t>年</w:t>
      </w:r>
      <w:r w:rsidRPr="00AC77DF">
        <w:t>10</w:t>
      </w:r>
      <w:r w:rsidRPr="00AC77DF">
        <w:t>月</w:t>
      </w:r>
      <w:r w:rsidRPr="00AC77DF">
        <w:t>9</w:t>
      </w:r>
      <w:r w:rsidRPr="00AC77DF">
        <w:t>日同意開發單位水土保持開工，致開發單位進場整地施工，未符合環境影響評估法規定。</w:t>
      </w:r>
    </w:p>
    <w:p w:rsidR="003807A5" w:rsidRPr="00AC77DF" w:rsidRDefault="00287E7B" w:rsidP="00564517">
      <w:pPr>
        <w:pStyle w:val="1--13"/>
        <w:spacing w:before="180" w:after="180"/>
      </w:pPr>
      <w:r w:rsidRPr="008E1832">
        <w:rPr>
          <w:rFonts w:hint="eastAsia"/>
        </w:rPr>
        <w:t>˙</w:t>
      </w:r>
      <w:r w:rsidR="003807A5" w:rsidRPr="00AC77DF">
        <w:t>權利金計收制度有待檢討</w:t>
      </w:r>
    </w:p>
    <w:p w:rsidR="003807A5" w:rsidRPr="00AC77DF" w:rsidRDefault="003807A5" w:rsidP="00234F21">
      <w:pPr>
        <w:pStyle w:val="1---"/>
        <w:ind w:firstLine="480"/>
      </w:pPr>
      <w:r w:rsidRPr="00AC77DF">
        <w:t>國產署北區分署臺東辦事處於</w:t>
      </w:r>
      <w:r w:rsidRPr="00AC77DF">
        <w:t>98</w:t>
      </w:r>
      <w:r w:rsidRPr="00AC77DF">
        <w:t>年</w:t>
      </w:r>
      <w:r w:rsidRPr="00AC77DF">
        <w:t>6</w:t>
      </w:r>
      <w:r w:rsidRPr="00AC77DF">
        <w:t>月</w:t>
      </w:r>
      <w:r w:rsidRPr="00AC77DF">
        <w:t>1</w:t>
      </w:r>
      <w:r w:rsidRPr="00AC77DF">
        <w:t>日與開發公司簽訂公用財產委託經營契約，將產價評定合計</w:t>
      </w:r>
      <w:r w:rsidRPr="00AC77DF">
        <w:t>1</w:t>
      </w:r>
      <w:r w:rsidRPr="00AC77DF">
        <w:t>億</w:t>
      </w:r>
      <w:r w:rsidRPr="00AC77DF">
        <w:t>5,901</w:t>
      </w:r>
      <w:r w:rsidRPr="00AC77DF">
        <w:t>萬</w:t>
      </w:r>
      <w:r w:rsidRPr="00AC77DF">
        <w:t>8,000</w:t>
      </w:r>
      <w:r w:rsidRPr="00AC77DF">
        <w:t>元之本案開發範圍內國有土地委託經營，惟其依行為時「國有非公用財產委託經營實施要點」規定，約定</w:t>
      </w:r>
      <w:r w:rsidRPr="00AC77DF">
        <w:t>10</w:t>
      </w:r>
      <w:r w:rsidRPr="00AC77DF">
        <w:t>年契約期間僅收取權利金</w:t>
      </w:r>
      <w:r w:rsidRPr="00AC77DF">
        <w:t>309</w:t>
      </w:r>
      <w:r w:rsidRPr="00AC77DF">
        <w:t>萬</w:t>
      </w:r>
      <w:r w:rsidRPr="00AC77DF">
        <w:t>8,660</w:t>
      </w:r>
      <w:r w:rsidRPr="00AC77DF">
        <w:t>元，平均每坪每年租金僅</w:t>
      </w:r>
      <w:r w:rsidRPr="00AC77DF">
        <w:t>12.942</w:t>
      </w:r>
      <w:r w:rsidRPr="00AC77DF">
        <w:t>元，顯見國有土地委託經營之權利金計收制度，亟待檢討。依當時規</w:t>
      </w:r>
      <w:r w:rsidRPr="00AC77DF">
        <w:lastRenderedPageBreak/>
        <w:t>定以公告現值（訂約權利金）及申報地價（每年經營權利金）為計算基礎，實務上有偏離市場行情之虞，每年經營權利金未能隨年度申報地價之變動而調整，為本案權利金過低之重要原因。</w:t>
      </w:r>
    </w:p>
    <w:p w:rsidR="003807A5" w:rsidRPr="00AC77DF" w:rsidRDefault="00287E7B" w:rsidP="00564517">
      <w:pPr>
        <w:pStyle w:val="1--13"/>
        <w:spacing w:before="180" w:after="180"/>
      </w:pPr>
      <w:r w:rsidRPr="008E1832">
        <w:rPr>
          <w:rFonts w:hint="eastAsia"/>
        </w:rPr>
        <w:t>˙</w:t>
      </w:r>
      <w:r w:rsidR="003807A5" w:rsidRPr="00AC77DF">
        <w:t>海岸管理立法與執行空窗期應審慎因應</w:t>
      </w:r>
    </w:p>
    <w:p w:rsidR="003807A5" w:rsidRPr="00AC77DF" w:rsidRDefault="003807A5" w:rsidP="00234F21">
      <w:pPr>
        <w:pStyle w:val="1---"/>
        <w:ind w:firstLine="480"/>
      </w:pPr>
      <w:r w:rsidRPr="00AC77DF">
        <w:t>本案位屬行政院前核定「臺灣沿海地區自然環境保護計畫」中「花東沿海保護區計畫」所劃設之「一般保護區</w:t>
      </w:r>
      <w:r w:rsidRPr="00D54AFE">
        <w:rPr>
          <w:spacing w:val="-28"/>
        </w:rPr>
        <w:t>」</w:t>
      </w:r>
      <w:r w:rsidRPr="00AC77DF">
        <w:t>，以及區域計畫指定之景觀道路（省道台</w:t>
      </w:r>
      <w:r w:rsidRPr="00AC77DF">
        <w:t>11</w:t>
      </w:r>
      <w:r w:rsidRPr="00AC77DF">
        <w:t>線）兩側</w:t>
      </w:r>
      <w:r w:rsidRPr="00AC77DF">
        <w:t>1</w:t>
      </w:r>
      <w:r w:rsidRPr="00AC77DF">
        <w:t>公里範圍內，而於將來或有可能公告為海岸管理法所定之「二級海岸保護區」及「重要海岸景觀區」範圍，惟因該等區位之劃設及保護計畫之擬訂尚未完成，致本案無法依海岸管理法及「一級海岸保護區以外特定區位利用管理辦法」審查許可。</w:t>
      </w:r>
    </w:p>
    <w:p w:rsidR="003807A5" w:rsidRPr="00AC77DF" w:rsidRDefault="00287E7B" w:rsidP="00564517">
      <w:pPr>
        <w:pStyle w:val="1--13"/>
        <w:spacing w:before="180" w:after="180"/>
      </w:pPr>
      <w:r w:rsidRPr="008E1832">
        <w:rPr>
          <w:rFonts w:hint="eastAsia"/>
        </w:rPr>
        <w:t>˙</w:t>
      </w:r>
      <w:r w:rsidR="003807A5" w:rsidRPr="00AC77DF">
        <w:t>原住民族傳統領域之認定</w:t>
      </w:r>
    </w:p>
    <w:p w:rsidR="003807A5" w:rsidRPr="00AC77DF" w:rsidRDefault="003807A5" w:rsidP="00234F21">
      <w:pPr>
        <w:pStyle w:val="1---"/>
        <w:ind w:firstLine="480"/>
      </w:pPr>
      <w:r w:rsidRPr="00AC77DF">
        <w:t>原住民族委員會雖於</w:t>
      </w:r>
      <w:r w:rsidRPr="00AC77DF">
        <w:t>102</w:t>
      </w:r>
      <w:r w:rsidRPr="00AC77DF">
        <w:t>年</w:t>
      </w:r>
      <w:r w:rsidRPr="00AC77DF">
        <w:t>3</w:t>
      </w:r>
      <w:r w:rsidRPr="00AC77DF">
        <w:t>月將我國原住民族傳統領域調查成果登載於該會全球資訊網站並函知有關機關，惟相關法規因遲未完成法制作業，致該通案調查成果及認定程序遭受質疑。該會嗣於</w:t>
      </w:r>
      <w:r w:rsidRPr="00AC77DF">
        <w:t>106</w:t>
      </w:r>
      <w:r w:rsidRPr="00AC77DF">
        <w:t>年</w:t>
      </w:r>
      <w:r w:rsidRPr="00AC77DF">
        <w:t>2</w:t>
      </w:r>
      <w:r w:rsidRPr="00AC77DF">
        <w:t>月</w:t>
      </w:r>
      <w:r w:rsidRPr="00AC77DF">
        <w:t>14</w:t>
      </w:r>
      <w:r w:rsidRPr="00AC77DF">
        <w:t>日發布「原住民族土地或部落範圍土地劃設辦法</w:t>
      </w:r>
      <w:r w:rsidRPr="00D54AFE">
        <w:rPr>
          <w:spacing w:val="-28"/>
        </w:rPr>
        <w:t>」</w:t>
      </w:r>
      <w:r w:rsidRPr="00AC77DF">
        <w:t>，至於該劃設作業完成前，先依上開調查成果將本案基地認定為加路蘭及都蘭部落傳統領域範圍，並要求踐行原基法第</w:t>
      </w:r>
      <w:r w:rsidRPr="00AC77DF">
        <w:t>21</w:t>
      </w:r>
      <w:r w:rsidRPr="00AC77DF">
        <w:t>條程序，涉個案事實認定，應對外說明。</w:t>
      </w:r>
    </w:p>
    <w:p w:rsidR="003807A5" w:rsidRPr="00AC77DF" w:rsidRDefault="000B4370" w:rsidP="00564517">
      <w:pPr>
        <w:pStyle w:val="1--13"/>
        <w:spacing w:before="180" w:after="180"/>
      </w:pPr>
      <w:r w:rsidRPr="008E1832">
        <w:rPr>
          <w:rFonts w:hint="eastAsia"/>
        </w:rPr>
        <w:t>˙</w:t>
      </w:r>
      <w:r w:rsidR="003807A5" w:rsidRPr="00AC77DF">
        <w:t>觀光發展與環境保護之權衡</w:t>
      </w:r>
    </w:p>
    <w:p w:rsidR="003807A5" w:rsidRPr="00AC77DF" w:rsidRDefault="003807A5" w:rsidP="00234F21">
      <w:pPr>
        <w:pStyle w:val="1---"/>
        <w:ind w:firstLine="480"/>
      </w:pPr>
      <w:r w:rsidRPr="00AC77DF">
        <w:t>環境保護與觀光發展之爭議，行政院既決議進行東部地區</w:t>
      </w:r>
      <w:r w:rsidRPr="00AC77DF">
        <w:lastRenderedPageBreak/>
        <w:t>整體觀光發展之政策環評，作為東海岸風景區之上位政策指導及審查依據，有關機關應積極辦理。</w:t>
      </w:r>
    </w:p>
    <w:p w:rsidR="003807A5" w:rsidRPr="00E852D8" w:rsidRDefault="003807A5" w:rsidP="00E852D8">
      <w:pPr>
        <w:pStyle w:val="1---"/>
        <w:ind w:firstLine="472"/>
        <w:jc w:val="distribute"/>
        <w:rPr>
          <w:spacing w:val="-2"/>
        </w:rPr>
      </w:pPr>
      <w:r w:rsidRPr="00E852D8">
        <w:rPr>
          <w:spacing w:val="-2"/>
        </w:rPr>
        <w:t>依據本案調查意見</w:t>
      </w:r>
      <w:r w:rsidRPr="00E852D8">
        <w:rPr>
          <w:rStyle w:val="aff2"/>
          <w:spacing w:val="-2"/>
        </w:rPr>
        <w:footnoteReference w:id="142"/>
      </w:r>
      <w:r w:rsidRPr="00E852D8">
        <w:rPr>
          <w:spacing w:val="-2"/>
        </w:rPr>
        <w:t>，監察院函請環保署等機關檢討改進。</w:t>
      </w:r>
    </w:p>
    <w:p w:rsidR="003807A5" w:rsidRPr="00AC77DF" w:rsidRDefault="00F34382" w:rsidP="00DE66F8">
      <w:pPr>
        <w:pStyle w:val="afff1"/>
        <w:spacing w:before="360" w:after="360"/>
      </w:pPr>
      <w:r>
        <w:rPr>
          <w:rFonts w:hint="eastAsia"/>
        </w:rPr>
        <w:t>(三)</w:t>
      </w:r>
      <w:r w:rsidR="003807A5" w:rsidRPr="00AC77DF">
        <w:t>政府機關改善情形</w:t>
      </w:r>
    </w:p>
    <w:p w:rsidR="003807A5" w:rsidRPr="00AC77DF" w:rsidRDefault="003807A5" w:rsidP="00425EE5">
      <w:pPr>
        <w:pStyle w:val="1----"/>
        <w:ind w:left="600" w:hanging="360"/>
        <w:rPr>
          <w:b/>
          <w:i/>
        </w:rPr>
      </w:pPr>
      <w:r w:rsidRPr="00AC77DF">
        <w:t>1</w:t>
      </w:r>
      <w:r w:rsidRPr="00AC77DF">
        <w:t>、環保署於</w:t>
      </w:r>
      <w:r w:rsidRPr="00AC77DF">
        <w:t>106</w:t>
      </w:r>
      <w:r w:rsidRPr="00AC77DF">
        <w:t>年</w:t>
      </w:r>
      <w:r w:rsidRPr="00AC77DF">
        <w:t>9</w:t>
      </w:r>
      <w:r w:rsidRPr="00AC77DF">
        <w:t>月</w:t>
      </w:r>
      <w:r w:rsidRPr="00AC77DF">
        <w:t>20</w:t>
      </w:r>
      <w:r w:rsidRPr="00AC77DF">
        <w:t>日預告修正「環境影響評估法」草案，規範開發單位應提出環境現況差異分析及對策檢討報告之情形，且經主管機關審查發現開發行為之實施對環境有重大不利影響，得變更或廢止審查結論。針對開發行為於公告審查結論逾</w:t>
      </w:r>
      <w:r w:rsidRPr="00AC77DF">
        <w:t>10</w:t>
      </w:r>
      <w:r w:rsidRPr="00AC77DF">
        <w:t>年未開發時，環評審查結論失效之要件，將依法制作業程序辦理公聽研商會議。</w:t>
      </w:r>
    </w:p>
    <w:p w:rsidR="003807A5" w:rsidRPr="00AC77DF" w:rsidRDefault="003807A5" w:rsidP="00425EE5">
      <w:pPr>
        <w:pStyle w:val="1----"/>
        <w:ind w:left="600" w:hanging="360"/>
        <w:rPr>
          <w:i/>
        </w:rPr>
      </w:pPr>
      <w:r w:rsidRPr="00AC77DF">
        <w:t>2</w:t>
      </w:r>
      <w:r w:rsidRPr="00AC77DF">
        <w:t>、環保署環境督察總隊於</w:t>
      </w:r>
      <w:r w:rsidRPr="00AC77DF">
        <w:t>106</w:t>
      </w:r>
      <w:r w:rsidRPr="00AC77DF">
        <w:t>年</w:t>
      </w:r>
      <w:r w:rsidRPr="00AC77DF">
        <w:t>8</w:t>
      </w:r>
      <w:r w:rsidRPr="00AC77DF">
        <w:t>月及</w:t>
      </w:r>
      <w:r w:rsidRPr="00AC77DF">
        <w:t>9</w:t>
      </w:r>
      <w:r w:rsidRPr="00AC77DF">
        <w:t>月間</w:t>
      </w:r>
      <w:r w:rsidRPr="00AC77DF">
        <w:t>2</w:t>
      </w:r>
      <w:r w:rsidRPr="00AC77DF">
        <w:t>次派員至現場監督查核，現場尚無施工行為。</w:t>
      </w:r>
    </w:p>
    <w:p w:rsidR="003807A5" w:rsidRPr="00AC77DF" w:rsidRDefault="003807A5" w:rsidP="00425EE5">
      <w:pPr>
        <w:pStyle w:val="1----"/>
        <w:ind w:left="600" w:hanging="360"/>
        <w:rPr>
          <w:b/>
          <w:i/>
        </w:rPr>
      </w:pPr>
      <w:r w:rsidRPr="00AC77DF">
        <w:t>3</w:t>
      </w:r>
      <w:r w:rsidRPr="00AC77DF">
        <w:t>、財政部國產署於</w:t>
      </w:r>
      <w:r w:rsidRPr="00AC77DF">
        <w:t>106</w:t>
      </w:r>
      <w:r w:rsidRPr="00AC77DF">
        <w:t>年</w:t>
      </w:r>
      <w:r w:rsidRPr="00AC77DF">
        <w:t>6</w:t>
      </w:r>
      <w:r w:rsidRPr="00AC77DF">
        <w:t>月至</w:t>
      </w:r>
      <w:r w:rsidRPr="00AC77DF">
        <w:t>11</w:t>
      </w:r>
      <w:r w:rsidRPr="00AC77DF">
        <w:t>月間邀集中央及直轄市地方目的事業主管機關，研商國有非公用財產委託經營訂約權利金之計收機制。經營權利金考量在同一委託經營案內皆屬整體規劃範圍，統一以出租基地基準計收。</w:t>
      </w:r>
    </w:p>
    <w:p w:rsidR="003807A5" w:rsidRPr="00AC77DF" w:rsidRDefault="003807A5" w:rsidP="00425EE5">
      <w:pPr>
        <w:pStyle w:val="1----"/>
        <w:ind w:left="600" w:hanging="360"/>
        <w:rPr>
          <w:b/>
          <w:i/>
        </w:rPr>
      </w:pPr>
      <w:r w:rsidRPr="00AC77DF">
        <w:t>4</w:t>
      </w:r>
      <w:r w:rsidRPr="00AC77DF">
        <w:t>、內政部營建署委託辦理「海岸地區特定區位審議機制探討</w:t>
      </w:r>
      <w:r w:rsidRPr="00D54AFE">
        <w:rPr>
          <w:spacing w:val="-28"/>
        </w:rPr>
        <w:t>」</w:t>
      </w:r>
      <w:r w:rsidRPr="00AC77DF">
        <w:t>，優先將</w:t>
      </w:r>
      <w:r w:rsidRPr="00E852D8">
        <w:rPr>
          <w:spacing w:val="-8"/>
        </w:rPr>
        <w:t>台</w:t>
      </w:r>
      <w:r w:rsidRPr="00AC77DF">
        <w:t>1</w:t>
      </w:r>
      <w:r w:rsidRPr="00E852D8">
        <w:rPr>
          <w:spacing w:val="-8"/>
        </w:rPr>
        <w:t>1</w:t>
      </w:r>
      <w:r w:rsidRPr="00AC77DF">
        <w:t>線向海側為重要海岸景觀區之範圍，刻循行政程序辦理劃設作業。</w:t>
      </w:r>
    </w:p>
    <w:p w:rsidR="003807A5" w:rsidRPr="00AC77DF" w:rsidRDefault="003807A5" w:rsidP="00425EE5">
      <w:pPr>
        <w:pStyle w:val="1----"/>
        <w:ind w:left="600" w:hanging="360"/>
        <w:rPr>
          <w:b/>
          <w:i/>
        </w:rPr>
      </w:pPr>
      <w:r w:rsidRPr="00AC77DF">
        <w:t>5</w:t>
      </w:r>
      <w:r w:rsidRPr="00AC77DF">
        <w:t>、臺東縣政府</w:t>
      </w:r>
      <w:r w:rsidRPr="00AC77DF">
        <w:t>106</w:t>
      </w:r>
      <w:r w:rsidRPr="00AC77DF">
        <w:t>年</w:t>
      </w:r>
      <w:r w:rsidRPr="00AC77DF">
        <w:t>9</w:t>
      </w:r>
      <w:r w:rsidRPr="00AC77DF">
        <w:t>月</w:t>
      </w:r>
      <w:r w:rsidRPr="00AC77DF">
        <w:t>20</w:t>
      </w:r>
      <w:r w:rsidRPr="00AC77DF">
        <w:t>日函復，已踐行原基法第</w:t>
      </w:r>
      <w:r w:rsidRPr="00AC77DF">
        <w:t>21</w:t>
      </w:r>
      <w:r w:rsidRPr="00AC77DF">
        <w:t>條規定諮商同意程序，要開發單位辦理原住民族諮商並取得</w:t>
      </w:r>
      <w:r w:rsidRPr="00AC77DF">
        <w:lastRenderedPageBreak/>
        <w:t>同意。</w:t>
      </w:r>
    </w:p>
    <w:p w:rsidR="003807A5" w:rsidRPr="00AC77DF" w:rsidRDefault="003807A5" w:rsidP="00425EE5">
      <w:pPr>
        <w:pStyle w:val="1----"/>
        <w:ind w:left="600" w:hanging="360"/>
        <w:rPr>
          <w:b/>
          <w:i/>
        </w:rPr>
      </w:pPr>
      <w:r w:rsidRPr="00AC77DF">
        <w:t>6</w:t>
      </w:r>
      <w:r w:rsidRPr="00AC77DF">
        <w:t>、交通部觀光局辦理「東部地區觀光政策環評</w:t>
      </w:r>
      <w:r w:rsidRPr="00D54AFE">
        <w:rPr>
          <w:spacing w:val="-28"/>
        </w:rPr>
        <w:t>」</w:t>
      </w:r>
      <w:r w:rsidRPr="00AC77DF">
        <w:t>，業於</w:t>
      </w:r>
      <w:r w:rsidRPr="00AC77DF">
        <w:t>106</w:t>
      </w:r>
      <w:r w:rsidRPr="00AC77DF">
        <w:t>年</w:t>
      </w:r>
      <w:r w:rsidRPr="00AC77DF">
        <w:t>7</w:t>
      </w:r>
      <w:r w:rsidRPr="00AC77DF">
        <w:t>月</w:t>
      </w:r>
      <w:r w:rsidRPr="00AC77DF">
        <w:t>7</w:t>
      </w:r>
      <w:r w:rsidRPr="00AC77DF">
        <w:t>日委託辦理「花東地區整體觀光發展政策環境影響評估案」。</w:t>
      </w:r>
    </w:p>
    <w:p w:rsidR="003807A5" w:rsidRPr="00AC77DF" w:rsidRDefault="00F34382" w:rsidP="00DE66F8">
      <w:pPr>
        <w:pStyle w:val="afff1"/>
        <w:spacing w:before="360" w:after="360"/>
      </w:pPr>
      <w:r>
        <w:rPr>
          <w:rFonts w:hint="eastAsia"/>
        </w:rPr>
        <w:t>(四)</w:t>
      </w:r>
      <w:r w:rsidR="003807A5" w:rsidRPr="00AC77DF">
        <w:t>案件進展</w:t>
      </w:r>
    </w:p>
    <w:p w:rsidR="003807A5" w:rsidRDefault="003807A5" w:rsidP="00234F21">
      <w:pPr>
        <w:pStyle w:val="1---"/>
        <w:ind w:firstLine="480"/>
        <w:rPr>
          <w:lang w:eastAsia="zh-TW"/>
        </w:rPr>
      </w:pPr>
      <w:r w:rsidRPr="00AC77DF">
        <w:t>本案監察院仍列管追蹤中。</w:t>
      </w:r>
    </w:p>
    <w:p w:rsidR="00F34382" w:rsidRDefault="00F34382" w:rsidP="00234F21">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4531"/>
      </w:tblGrid>
      <w:tr w:rsidR="00F34382" w:rsidTr="004469D9">
        <w:tc>
          <w:tcPr>
            <w:tcW w:w="4531" w:type="dxa"/>
            <w:shd w:val="clear" w:color="auto" w:fill="D9D9D9" w:themeFill="background1" w:themeFillShade="D9"/>
          </w:tcPr>
          <w:p w:rsidR="00F34382" w:rsidRDefault="00F34382" w:rsidP="00F34382">
            <w:pPr>
              <w:pStyle w:val="11-"/>
              <w:spacing w:before="72" w:after="108"/>
              <w:rPr>
                <w:lang w:eastAsia="zh-TW"/>
              </w:rPr>
            </w:pPr>
            <w:bookmarkStart w:id="646" w:name="_Toc535228419"/>
            <w:bookmarkStart w:id="647" w:name="_Toc4058831"/>
            <w:r w:rsidRPr="00AC77DF">
              <w:t>民宿管理及違章建築處理違失案</w:t>
            </w:r>
            <w:bookmarkEnd w:id="646"/>
            <w:bookmarkEnd w:id="647"/>
          </w:p>
        </w:tc>
      </w:tr>
    </w:tbl>
    <w:p w:rsidR="003807A5" w:rsidRPr="00AC77DF" w:rsidRDefault="003807A5" w:rsidP="00F34382">
      <w:pPr>
        <w:pStyle w:val="1---"/>
        <w:ind w:firstLine="480"/>
      </w:pPr>
    </w:p>
    <w:tbl>
      <w:tblPr>
        <w:tblW w:w="4756" w:type="pct"/>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16"/>
      </w:tblGrid>
      <w:tr w:rsidR="003807A5" w:rsidRPr="00AC77DF" w:rsidTr="004469D9">
        <w:tc>
          <w:tcPr>
            <w:tcW w:w="5000" w:type="pct"/>
          </w:tcPr>
          <w:p w:rsidR="003807A5" w:rsidRPr="00AC77DF" w:rsidRDefault="003807A5" w:rsidP="004469D9">
            <w:pPr>
              <w:spacing w:line="360" w:lineRule="exact"/>
              <w:jc w:val="both"/>
              <w:rPr>
                <w:lang w:val="x-none"/>
              </w:rPr>
            </w:pPr>
            <w:r w:rsidRPr="00AC77DF">
              <w:rPr>
                <w:b/>
                <w:lang w:val="x-none"/>
              </w:rPr>
              <w:t>相關國際人權公約：</w:t>
            </w:r>
            <w:r w:rsidRPr="00AC77DF">
              <w:t>人類環境宣言之共同信念第</w:t>
            </w:r>
            <w:r w:rsidRPr="00AC77DF">
              <w:t>1</w:t>
            </w:r>
            <w:r w:rsidRPr="00AC77DF">
              <w:t>條、第</w:t>
            </w:r>
            <w:r w:rsidRPr="00AC77DF">
              <w:t>2</w:t>
            </w:r>
            <w:r w:rsidRPr="00AC77DF">
              <w:t>條、經濟社會文化權利國際公約第</w:t>
            </w:r>
            <w:r w:rsidRPr="00AC77DF">
              <w:t>11</w:t>
            </w:r>
            <w:r w:rsidRPr="00AC77DF">
              <w:t>條第</w:t>
            </w:r>
            <w:r w:rsidRPr="00AC77DF">
              <w:t>1</w:t>
            </w:r>
            <w:r w:rsidRPr="00AC77DF">
              <w:t>款、第</w:t>
            </w:r>
            <w:r w:rsidRPr="00AC77DF">
              <w:t>12</w:t>
            </w:r>
            <w:r w:rsidRPr="00AC77DF">
              <w:t>條第</w:t>
            </w:r>
            <w:r w:rsidRPr="00AC77DF">
              <w:t>1</w:t>
            </w:r>
            <w:r w:rsidRPr="00AC77DF">
              <w:t>款</w:t>
            </w:r>
          </w:p>
          <w:p w:rsidR="003807A5" w:rsidRPr="00AC77DF" w:rsidRDefault="003807A5" w:rsidP="004469D9">
            <w:pPr>
              <w:spacing w:line="360" w:lineRule="exact"/>
              <w:jc w:val="both"/>
              <w:rPr>
                <w:b/>
                <w:lang w:val="x-none"/>
              </w:rPr>
            </w:pPr>
            <w:r w:rsidRPr="00AC77DF">
              <w:rPr>
                <w:b/>
              </w:rPr>
              <w:t>經濟</w:t>
            </w:r>
            <w:r w:rsidRPr="00AC77DF">
              <w:rPr>
                <w:b/>
                <w:lang w:val="x-none"/>
              </w:rPr>
              <w:t>社會文化權利國際公約第</w:t>
            </w:r>
            <w:r w:rsidRPr="00AC77DF">
              <w:rPr>
                <w:b/>
                <w:lang w:val="x-none"/>
              </w:rPr>
              <w:t>12</w:t>
            </w:r>
            <w:r w:rsidRPr="00AC77DF">
              <w:rPr>
                <w:b/>
                <w:lang w:val="x-none"/>
              </w:rPr>
              <w:t>條</w:t>
            </w:r>
          </w:p>
          <w:p w:rsidR="003807A5" w:rsidRPr="00AC77DF" w:rsidRDefault="003807A5" w:rsidP="004469D9">
            <w:pPr>
              <w:spacing w:line="360" w:lineRule="exact"/>
              <w:ind w:left="480" w:hangingChars="200" w:hanging="480"/>
              <w:jc w:val="both"/>
              <w:rPr>
                <w:lang w:val="x-none"/>
              </w:rPr>
            </w:pPr>
            <w:r w:rsidRPr="00AC77DF">
              <w:rPr>
                <w:lang w:val="x-none"/>
              </w:rPr>
              <w:t>一、本公約締約國確認人人有權享受可能達到之最高標準之身體與精神健康。</w:t>
            </w:r>
          </w:p>
          <w:p w:rsidR="003807A5" w:rsidRPr="00AC77DF" w:rsidRDefault="003807A5" w:rsidP="004469D9">
            <w:pPr>
              <w:spacing w:line="360" w:lineRule="exact"/>
              <w:ind w:left="480" w:hangingChars="200" w:hanging="480"/>
              <w:jc w:val="both"/>
              <w:rPr>
                <w:lang w:val="x-none"/>
              </w:rPr>
            </w:pPr>
            <w:r w:rsidRPr="00AC77DF">
              <w:rPr>
                <w:lang w:val="x-none"/>
              </w:rPr>
              <w:t>二、本公約締約國為求充分實現此種權利所採取之步驟，應包括為達成下列目的所必要之措施：</w:t>
            </w:r>
          </w:p>
          <w:p w:rsidR="003807A5" w:rsidRPr="00AC77DF" w:rsidRDefault="00E852D8" w:rsidP="00E852D8">
            <w:pPr>
              <w:spacing w:line="360" w:lineRule="exact"/>
              <w:ind w:left="910" w:hangingChars="379" w:hanging="910"/>
              <w:jc w:val="both"/>
              <w:rPr>
                <w:lang w:val="x-none"/>
              </w:rPr>
            </w:pPr>
            <w:r>
              <w:rPr>
                <w:rFonts w:hint="eastAsia"/>
                <w:lang w:val="x-none"/>
              </w:rPr>
              <w:t xml:space="preserve">　　</w:t>
            </w:r>
            <w:r>
              <w:rPr>
                <w:rFonts w:hint="eastAsia"/>
                <w:lang w:val="x-none"/>
              </w:rPr>
              <w:t>(</w:t>
            </w:r>
            <w:r w:rsidR="003807A5" w:rsidRPr="00AC77DF">
              <w:rPr>
                <w:lang w:val="x-none"/>
              </w:rPr>
              <w:t>一</w:t>
            </w:r>
            <w:r>
              <w:rPr>
                <w:rFonts w:hint="eastAsia"/>
                <w:lang w:val="x-none"/>
              </w:rPr>
              <w:t>)</w:t>
            </w:r>
            <w:r w:rsidR="003807A5" w:rsidRPr="00AC77DF">
              <w:rPr>
                <w:lang w:val="x-none"/>
              </w:rPr>
              <w:t>設法減低死產率及嬰兒死亡率，並促進兒童之健康發育；</w:t>
            </w:r>
          </w:p>
          <w:p w:rsidR="003807A5" w:rsidRPr="00AC77DF" w:rsidRDefault="00E852D8" w:rsidP="004469D9">
            <w:pPr>
              <w:spacing w:line="360" w:lineRule="exact"/>
              <w:jc w:val="both"/>
              <w:rPr>
                <w:lang w:val="x-none"/>
              </w:rPr>
            </w:pPr>
            <w:r>
              <w:rPr>
                <w:rFonts w:hint="eastAsia"/>
                <w:lang w:val="x-none"/>
              </w:rPr>
              <w:t xml:space="preserve">　　</w:t>
            </w:r>
            <w:r>
              <w:rPr>
                <w:rFonts w:hint="eastAsia"/>
                <w:lang w:val="x-none"/>
              </w:rPr>
              <w:t>(</w:t>
            </w:r>
            <w:r w:rsidR="003807A5" w:rsidRPr="00AC77DF">
              <w:rPr>
                <w:lang w:val="x-none"/>
              </w:rPr>
              <w:t>二</w:t>
            </w:r>
            <w:r>
              <w:rPr>
                <w:rFonts w:hint="eastAsia"/>
                <w:lang w:val="x-none"/>
              </w:rPr>
              <w:t>)</w:t>
            </w:r>
            <w:r w:rsidR="003807A5" w:rsidRPr="00AC77DF">
              <w:rPr>
                <w:lang w:val="x-none"/>
              </w:rPr>
              <w:t>改良環境及工業衛生之所有方面；</w:t>
            </w:r>
          </w:p>
          <w:p w:rsidR="003807A5" w:rsidRPr="00AC77DF" w:rsidRDefault="00E852D8" w:rsidP="00E852D8">
            <w:pPr>
              <w:spacing w:line="360" w:lineRule="exact"/>
              <w:ind w:left="910" w:hangingChars="379" w:hanging="910"/>
              <w:jc w:val="both"/>
              <w:rPr>
                <w:lang w:val="x-none"/>
              </w:rPr>
            </w:pPr>
            <w:r>
              <w:rPr>
                <w:rFonts w:hint="eastAsia"/>
                <w:lang w:val="x-none"/>
              </w:rPr>
              <w:t xml:space="preserve">　　</w:t>
            </w:r>
            <w:r>
              <w:rPr>
                <w:rFonts w:hint="eastAsia"/>
                <w:lang w:val="x-none"/>
              </w:rPr>
              <w:t>(</w:t>
            </w:r>
            <w:r w:rsidR="003807A5" w:rsidRPr="00AC77DF">
              <w:rPr>
                <w:lang w:val="x-none"/>
              </w:rPr>
              <w:t>三</w:t>
            </w:r>
            <w:r>
              <w:rPr>
                <w:rFonts w:hint="eastAsia"/>
                <w:lang w:val="x-none"/>
              </w:rPr>
              <w:t>)</w:t>
            </w:r>
            <w:r w:rsidR="003807A5" w:rsidRPr="00AC77DF">
              <w:rPr>
                <w:lang w:val="x-none"/>
              </w:rPr>
              <w:t>預防、療治及撲滅各種傳染病、風土病、職業病及其他疾病；</w:t>
            </w:r>
          </w:p>
          <w:p w:rsidR="003807A5" w:rsidRPr="00AC77DF" w:rsidRDefault="00E852D8" w:rsidP="000916CC">
            <w:pPr>
              <w:spacing w:afterLines="30" w:after="108" w:line="360" w:lineRule="exact"/>
              <w:ind w:left="910" w:hangingChars="379" w:hanging="910"/>
              <w:jc w:val="both"/>
              <w:rPr>
                <w:lang w:val="x-none"/>
              </w:rPr>
            </w:pPr>
            <w:r>
              <w:rPr>
                <w:rFonts w:hint="eastAsia"/>
                <w:lang w:val="x-none"/>
              </w:rPr>
              <w:lastRenderedPageBreak/>
              <w:t xml:space="preserve">　　</w:t>
            </w:r>
            <w:r>
              <w:rPr>
                <w:rFonts w:hint="eastAsia"/>
                <w:lang w:val="x-none"/>
              </w:rPr>
              <w:t>(</w:t>
            </w:r>
            <w:r w:rsidR="003807A5" w:rsidRPr="00AC77DF">
              <w:rPr>
                <w:lang w:val="x-none"/>
              </w:rPr>
              <w:t>四</w:t>
            </w:r>
            <w:r>
              <w:rPr>
                <w:rFonts w:hint="eastAsia"/>
                <w:lang w:val="x-none"/>
              </w:rPr>
              <w:t>)</w:t>
            </w:r>
            <w:r w:rsidR="003807A5" w:rsidRPr="00AC77DF">
              <w:rPr>
                <w:lang w:val="x-none"/>
              </w:rPr>
              <w:t>創造環境，確保人人患病時均能享受醫藥服務與醫藥護理。</w:t>
            </w:r>
          </w:p>
        </w:tc>
      </w:tr>
    </w:tbl>
    <w:p w:rsidR="003807A5" w:rsidRPr="00AC77DF" w:rsidRDefault="00827882" w:rsidP="00DE66F8">
      <w:pPr>
        <w:pStyle w:val="afff1"/>
        <w:spacing w:before="360" w:after="360"/>
      </w:pPr>
      <w:r>
        <w:rPr>
          <w:rFonts w:hint="eastAsia"/>
        </w:rPr>
        <w:lastRenderedPageBreak/>
        <w:t>(</w:t>
      </w:r>
      <w:r w:rsidR="00CA5867">
        <w:rPr>
          <w:rFonts w:hint="eastAsia"/>
        </w:rPr>
        <w:t>一</w:t>
      </w:r>
      <w:r>
        <w:rPr>
          <w:rFonts w:hint="eastAsia"/>
        </w:rPr>
        <w:t>)</w:t>
      </w:r>
      <w:r w:rsidR="003807A5" w:rsidRPr="00AC77DF">
        <w:t>案情簡述</w:t>
      </w:r>
    </w:p>
    <w:p w:rsidR="003807A5" w:rsidRPr="00AC77DF" w:rsidRDefault="003807A5" w:rsidP="00234F21">
      <w:pPr>
        <w:pStyle w:val="1---"/>
        <w:ind w:firstLine="480"/>
      </w:pPr>
      <w:r w:rsidRPr="00AC77DF">
        <w:t>審計部函報：派員查核南投縣仁愛鄉清境地區民宿管理及違章建築處理事宜，南投縣政府涉有未盡職責及效能過低情事，爰經監察院內政及少數民族委員會決議調查。</w:t>
      </w:r>
    </w:p>
    <w:p w:rsidR="003807A5" w:rsidRPr="00AC77DF" w:rsidRDefault="00CA5867" w:rsidP="00DE66F8">
      <w:pPr>
        <w:pStyle w:val="afff1"/>
        <w:spacing w:before="360" w:after="360"/>
      </w:pPr>
      <w:r>
        <w:rPr>
          <w:rFonts w:hint="eastAsia"/>
        </w:rPr>
        <w:t>(二)</w:t>
      </w:r>
      <w:r w:rsidR="003807A5" w:rsidRPr="00AC77DF">
        <w:t>監察院調查發現與建議</w:t>
      </w:r>
    </w:p>
    <w:p w:rsidR="003807A5" w:rsidRPr="00AC77DF" w:rsidRDefault="000B4370" w:rsidP="00564517">
      <w:pPr>
        <w:pStyle w:val="1--13"/>
        <w:spacing w:before="180" w:after="180"/>
      </w:pPr>
      <w:r w:rsidRPr="008E1832">
        <w:rPr>
          <w:rFonts w:hint="eastAsia"/>
        </w:rPr>
        <w:t>˙</w:t>
      </w:r>
      <w:r w:rsidR="003807A5" w:rsidRPr="00AC77DF">
        <w:t>任令土地違規使用</w:t>
      </w:r>
    </w:p>
    <w:p w:rsidR="003807A5" w:rsidRPr="00AC77DF" w:rsidRDefault="003807A5" w:rsidP="00234F21">
      <w:pPr>
        <w:pStyle w:val="1---"/>
        <w:ind w:firstLine="480"/>
        <w:rPr>
          <w:i/>
        </w:rPr>
      </w:pPr>
      <w:r w:rsidRPr="00AC77DF">
        <w:t>南投縣政府對於清境地區民宿違反土地使用管制情形，未落實定期實施全面性土地使用現狀調查及使用管制，且對「清境地區違規聯合稽查小組」巡查結果未積極裁處，南投縣仁愛鄉公所亦未確實檢查並報請縣府處理，任令該地區土地違規使用情形持續存在。</w:t>
      </w:r>
    </w:p>
    <w:p w:rsidR="003807A5" w:rsidRDefault="003807A5" w:rsidP="00234F21">
      <w:pPr>
        <w:pStyle w:val="1---"/>
        <w:ind w:firstLine="480"/>
        <w:rPr>
          <w:lang w:eastAsia="zh-TW"/>
        </w:rPr>
      </w:pPr>
      <w:r w:rsidRPr="00AC77DF">
        <w:t>南投縣政府未積極主動（或委託並督導南投縣仁愛鄉公所）落實查報、制止及取締清境地區民宿涉及山坡地違規使用行為，復未確實派員巡視檢查水土保持處理與維護情形，及時輔導清境地區民宿落實水土保持，致未能於違法開發時即予取締處理，造成山坡地違規使用情形嚴重。</w:t>
      </w:r>
    </w:p>
    <w:p w:rsidR="00586627" w:rsidRDefault="00586627" w:rsidP="00234F21">
      <w:pPr>
        <w:pStyle w:val="1---"/>
        <w:ind w:firstLine="480"/>
        <w:rPr>
          <w:lang w:eastAsia="zh-TW"/>
        </w:rPr>
      </w:pPr>
    </w:p>
    <w:p w:rsidR="00586627" w:rsidRPr="00AC77DF" w:rsidRDefault="00586627" w:rsidP="00234F21">
      <w:pPr>
        <w:pStyle w:val="1---"/>
        <w:ind w:firstLine="480"/>
        <w:rPr>
          <w:i/>
          <w:lang w:eastAsia="zh-TW"/>
        </w:rPr>
      </w:pPr>
    </w:p>
    <w:p w:rsidR="003807A5" w:rsidRPr="00AC77DF" w:rsidRDefault="000B4370" w:rsidP="00564517">
      <w:pPr>
        <w:pStyle w:val="1--13"/>
        <w:spacing w:before="180" w:after="180"/>
      </w:pPr>
      <w:r w:rsidRPr="008E1832">
        <w:rPr>
          <w:rFonts w:hint="eastAsia"/>
        </w:rPr>
        <w:lastRenderedPageBreak/>
        <w:t>˙</w:t>
      </w:r>
      <w:r w:rsidR="003807A5" w:rsidRPr="00AC77DF">
        <w:t>未依規定拆除違建</w:t>
      </w:r>
    </w:p>
    <w:p w:rsidR="003807A5" w:rsidRPr="00AC77DF" w:rsidRDefault="003807A5" w:rsidP="00234F21">
      <w:pPr>
        <w:pStyle w:val="1---"/>
        <w:ind w:firstLine="480"/>
        <w:rPr>
          <w:i/>
        </w:rPr>
      </w:pPr>
      <w:r w:rsidRPr="00AC77DF">
        <w:t>南投縣政府未落實清境地區民宿既存違章建築分類分期處理，縱容大型違章建築持續存在；且對於新增違章建築案件，雖拆除零星數案，多數未依即報即拆作業規定確實執行，導致清境地區違章建築氾濫，該府違章建築處理明顯不力。</w:t>
      </w:r>
    </w:p>
    <w:p w:rsidR="003807A5" w:rsidRPr="00AC77DF" w:rsidRDefault="003807A5" w:rsidP="00234F21">
      <w:pPr>
        <w:pStyle w:val="1---"/>
        <w:ind w:firstLine="480"/>
        <w:rPr>
          <w:i/>
        </w:rPr>
      </w:pPr>
      <w:r w:rsidRPr="00AC77DF">
        <w:t>南投縣政府「清境地區違規聯合稽查小組」未確實辦理定期巡查，巡查強度明顯不足；且後續未追蹤列管，任令民宿持續違規經營，發展觀光條例於</w:t>
      </w:r>
      <w:r w:rsidRPr="00AC77DF">
        <w:t>104</w:t>
      </w:r>
      <w:r w:rsidRPr="00AC77DF">
        <w:t>年</w:t>
      </w:r>
      <w:r w:rsidRPr="00AC77DF">
        <w:t>2</w:t>
      </w:r>
      <w:r w:rsidRPr="00AC77DF">
        <w:t>月修正後，仍未見採取積極作為以遏止業者違法行為。另該府對清境地區違規民宿處理程序延宕耗時，各單位間對於民宿違規營業行為及違章建築處理欠缺標準作業流程及統一列管機制，致裁處成效不彰。</w:t>
      </w:r>
    </w:p>
    <w:p w:rsidR="003807A5" w:rsidRPr="00AC77DF" w:rsidRDefault="000B4370" w:rsidP="00564517">
      <w:pPr>
        <w:pStyle w:val="1--13"/>
        <w:spacing w:before="180" w:after="180"/>
      </w:pPr>
      <w:r w:rsidRPr="008E1832">
        <w:rPr>
          <w:rFonts w:hint="eastAsia"/>
        </w:rPr>
        <w:t>˙</w:t>
      </w:r>
      <w:r w:rsidR="003807A5" w:rsidRPr="00AC77DF">
        <w:t>未能掌握民宿發展情形</w:t>
      </w:r>
    </w:p>
    <w:p w:rsidR="003807A5" w:rsidRPr="00AC77DF" w:rsidRDefault="003807A5" w:rsidP="00234F21">
      <w:pPr>
        <w:pStyle w:val="1---"/>
        <w:ind w:firstLine="480"/>
        <w:rPr>
          <w:i/>
        </w:rPr>
      </w:pPr>
      <w:r w:rsidRPr="00AC77DF">
        <w:t>南投縣政府多年來未能統合確定各單位對於「清境地區」列管範圍並建立列管系統，不僅無法確切掌握清境地區民宿發展情形，肇致未合法登記之旅宿業者眾多，甚至合法登記之民宿業者亦多有違章建築及擴大經營情事，影響該地區環境與景觀甚鉅。又該府僅列管「新訂清境風景特定區計畫申請書」範圍內之民宿，對於被排除於計畫外，影響自然環境更鉅之民宿，卻未予稽查列管。</w:t>
      </w:r>
    </w:p>
    <w:p w:rsidR="003807A5" w:rsidRPr="00AC77DF" w:rsidRDefault="003807A5" w:rsidP="00234F21">
      <w:pPr>
        <w:pStyle w:val="1---"/>
        <w:ind w:firstLine="480"/>
        <w:rPr>
          <w:i/>
        </w:rPr>
      </w:pPr>
      <w:r w:rsidRPr="00AC77DF">
        <w:t>南投縣政府欲藉由擬訂「新訂清境風景特定區計畫」遏止清境地區民宿違章建築泛濫情形，惟該計畫所擬訂之計畫總量，竟涵括民宿全部違章建築面積及非旅宿業面積，不僅無法處理清境地區既存違章建築，恐將造成該地區開發失控，更進一</w:t>
      </w:r>
      <w:r w:rsidRPr="00AC77DF">
        <w:lastRenderedPageBreak/>
        <w:t>步破壞環境與景觀，且未慮及清境地區土地使用強度已超量及地質安全</w:t>
      </w:r>
      <w:r w:rsidR="00837375">
        <w:rPr>
          <w:rFonts w:hint="eastAsia"/>
        </w:rPr>
        <w:t>等</w:t>
      </w:r>
      <w:r w:rsidRPr="00AC77DF">
        <w:t>問題。</w:t>
      </w:r>
    </w:p>
    <w:p w:rsidR="003807A5" w:rsidRPr="00AC77DF" w:rsidRDefault="003807A5" w:rsidP="00234F21">
      <w:pPr>
        <w:pStyle w:val="1---"/>
        <w:ind w:firstLine="480"/>
      </w:pPr>
      <w:r w:rsidRPr="00AC77DF">
        <w:t>依據本案調查意見</w:t>
      </w:r>
      <w:r w:rsidRPr="00AC77DF">
        <w:rPr>
          <w:rStyle w:val="aff2"/>
        </w:rPr>
        <w:footnoteReference w:id="143"/>
      </w:r>
      <w:r w:rsidRPr="00AC77DF">
        <w:t>，監察院糾正南投縣政府，並函請該府轉飭仁愛鄉公所確實檢討改進見復。</w:t>
      </w:r>
    </w:p>
    <w:p w:rsidR="003807A5" w:rsidRPr="00AC77DF" w:rsidRDefault="00CA5867" w:rsidP="00DE66F8">
      <w:pPr>
        <w:pStyle w:val="afff1"/>
        <w:spacing w:before="360" w:after="360"/>
      </w:pPr>
      <w:r>
        <w:rPr>
          <w:rFonts w:hint="eastAsia"/>
        </w:rPr>
        <w:t>(三)</w:t>
      </w:r>
      <w:r w:rsidR="003807A5" w:rsidRPr="00AC77DF">
        <w:t>政府機關改善情形</w:t>
      </w:r>
    </w:p>
    <w:p w:rsidR="003807A5" w:rsidRPr="00AC77DF" w:rsidRDefault="003807A5" w:rsidP="00425EE5">
      <w:pPr>
        <w:pStyle w:val="1----"/>
        <w:ind w:left="600" w:hanging="360"/>
      </w:pPr>
      <w:r w:rsidRPr="00AC77DF">
        <w:t>1</w:t>
      </w:r>
      <w:r w:rsidRPr="00AC77DF">
        <w:t>、南投縣政府於</w:t>
      </w:r>
      <w:r w:rsidRPr="00AC77DF">
        <w:t>106</w:t>
      </w:r>
      <w:r w:rsidRPr="00AC77DF">
        <w:t>年</w:t>
      </w:r>
      <w:r w:rsidRPr="00AC77DF">
        <w:t>2</w:t>
      </w:r>
      <w:r w:rsidRPr="00AC77DF">
        <w:t>月</w:t>
      </w:r>
      <w:r w:rsidRPr="00AC77DF">
        <w:t>10</w:t>
      </w:r>
      <w:r w:rsidRPr="00AC77DF">
        <w:t>日函頒「南投縣處理土地違反使用管制案件權責劃分及作業要點</w:t>
      </w:r>
      <w:r w:rsidRPr="00D54AFE">
        <w:rPr>
          <w:spacing w:val="-28"/>
        </w:rPr>
        <w:t>」</w:t>
      </w:r>
      <w:r w:rsidRPr="00AC77DF">
        <w:t>，據以辦理違規處理工作，並加強府內各權責單位橫向連繫。另南投縣政府建設處及農業處，配合相關單位多次進行清境地區民宿抽查與山坡地違規使用之查報取締，並未發現重大違反水土保持法情事或重大違規案件，爾後仍持續配合辦理抽查及派員加強巡查相關事宜。此外，透過裁處違法旅宿業方式，已促</w:t>
      </w:r>
      <w:r w:rsidRPr="00586627">
        <w:rPr>
          <w:spacing w:val="-14"/>
        </w:rPr>
        <w:t>使</w:t>
      </w:r>
      <w:r w:rsidRPr="00AC77DF">
        <w:t>1</w:t>
      </w:r>
      <w:r w:rsidRPr="00586627">
        <w:rPr>
          <w:spacing w:val="-14"/>
        </w:rPr>
        <w:t>5</w:t>
      </w:r>
      <w:r w:rsidRPr="00AC77DF">
        <w:t>家非法業者歇業（包含輔導</w:t>
      </w:r>
      <w:r w:rsidRPr="00AC77DF">
        <w:t>4</w:t>
      </w:r>
      <w:r w:rsidRPr="00AC77DF">
        <w:t>家業者取得合法登記</w:t>
      </w:r>
      <w:r w:rsidRPr="00D54AFE">
        <w:rPr>
          <w:spacing w:val="-28"/>
        </w:rPr>
        <w:t>）</w:t>
      </w:r>
      <w:r w:rsidRPr="00AC77DF">
        <w:t>，迄今尚無新違規案件產生。另南投縣政府於訂定「新訂清境風景特定區計畫」後，業明確統合「清境地區」之範圍，共計列管</w:t>
      </w:r>
      <w:r w:rsidRPr="00AC77DF">
        <w:t>110</w:t>
      </w:r>
      <w:r w:rsidRPr="00AC77DF">
        <w:t>家旅宿業者。</w:t>
      </w:r>
    </w:p>
    <w:p w:rsidR="003807A5" w:rsidRPr="00AC77DF" w:rsidRDefault="003807A5" w:rsidP="00425EE5">
      <w:pPr>
        <w:pStyle w:val="1----"/>
        <w:ind w:left="600" w:hanging="360"/>
      </w:pPr>
      <w:r w:rsidRPr="00AC77DF">
        <w:t>2</w:t>
      </w:r>
      <w:r w:rsidRPr="00AC77DF">
        <w:t>、仁愛鄉幅員遼闊，且多處於中、高海拔地勢地區，查報取締多數由行政院農委會水土保</w:t>
      </w:r>
      <w:r w:rsidR="00A76585">
        <w:rPr>
          <w:rFonts w:hint="eastAsia"/>
        </w:rPr>
        <w:t>持</w:t>
      </w:r>
      <w:r w:rsidRPr="00AC77DF">
        <w:t>局通報山坡地變異點查證資料或由民眾檢舉違規案件，再由公所至現地會勘調查，如經查證確屬違規者，公所填具違規使用山坡地查報表函報南投縣政府。有關清境地區民宿違反土地使用管制情形</w:t>
      </w:r>
      <w:r w:rsidRPr="00AC77DF">
        <w:lastRenderedPageBreak/>
        <w:t>，嗣後公所將積極巡查清境地區土地使用情形並配合「清境地區違規聯合稽查小組」巡查，如發現有違規情事，立即陳報南投縣政府並配合上級處理後續事宜。</w:t>
      </w:r>
    </w:p>
    <w:p w:rsidR="003807A5" w:rsidRPr="00AC77DF" w:rsidRDefault="003807A5" w:rsidP="00425EE5">
      <w:pPr>
        <w:pStyle w:val="1----"/>
        <w:ind w:left="600" w:hanging="360"/>
      </w:pPr>
      <w:r w:rsidRPr="00AC77DF">
        <w:t>3</w:t>
      </w:r>
      <w:r w:rsidRPr="00AC77DF">
        <w:t>、「新訂清境風景特定區計畫申請書</w:t>
      </w:r>
      <w:r w:rsidRPr="00D54AFE">
        <w:rPr>
          <w:spacing w:val="-28"/>
        </w:rPr>
        <w:t>」</w:t>
      </w:r>
      <w:r w:rsidRPr="00AC77DF">
        <w:t>，乃依據「非都市土地申請新訂或擴大都市計畫作業要點」規定，就區位、規模、機能等事項徵詢內政部區域計畫委員會意見後，依都市計畫法定程序辦理。申請書內容屬「概要原則</w:t>
      </w:r>
      <w:r w:rsidRPr="00D54AFE">
        <w:rPr>
          <w:spacing w:val="-28"/>
        </w:rPr>
        <w:t>」</w:t>
      </w:r>
      <w:r w:rsidRPr="00AC77DF">
        <w:t>，計畫總量乃上限值，現階段刻正辦理數值地形測量；另縣府刻正</w:t>
      </w:r>
      <w:r w:rsidR="009E4629" w:rsidRPr="00AC77DF">
        <w:t>依規</w:t>
      </w:r>
      <w:r w:rsidRPr="00AC77DF">
        <w:t>辦理「清境風景特定區內地質敏感區細分規劃」委辦作業，期能透過詳細環境資訊，進行土地適宜性分析，訂定合理計畫總量。</w:t>
      </w:r>
    </w:p>
    <w:p w:rsidR="003807A5" w:rsidRPr="00AC77DF" w:rsidRDefault="00CA5867" w:rsidP="00DE66F8">
      <w:pPr>
        <w:pStyle w:val="afff1"/>
        <w:spacing w:before="360" w:after="360"/>
      </w:pPr>
      <w:r>
        <w:rPr>
          <w:rFonts w:hint="eastAsia"/>
        </w:rPr>
        <w:t>(四)</w:t>
      </w:r>
      <w:r w:rsidR="003807A5" w:rsidRPr="00AC77DF">
        <w:t>案件進展</w:t>
      </w:r>
    </w:p>
    <w:p w:rsidR="003807A5" w:rsidRPr="00AC77DF" w:rsidRDefault="003807A5" w:rsidP="00234F21">
      <w:pPr>
        <w:pStyle w:val="1---"/>
        <w:ind w:firstLine="480"/>
        <w:rPr>
          <w:b/>
        </w:rPr>
      </w:pPr>
      <w:r w:rsidRPr="00AC77DF">
        <w:t>本案監察院仍持續追蹤中。</w:t>
      </w:r>
    </w:p>
    <w:p w:rsidR="003807A5" w:rsidRPr="00AC77DF" w:rsidRDefault="00CA5867" w:rsidP="00CA5867">
      <w:pPr>
        <w:pStyle w:val="1--16"/>
        <w:spacing w:before="180" w:after="180"/>
      </w:pPr>
      <w:bookmarkStart w:id="648" w:name="_Toc535228420"/>
      <w:bookmarkStart w:id="649" w:name="_Toc4058832"/>
      <w:r>
        <w:rPr>
          <w:rFonts w:hint="eastAsia"/>
        </w:rPr>
        <w:t>◆</w:t>
      </w:r>
      <w:r w:rsidR="003807A5" w:rsidRPr="00AC77DF">
        <w:rPr>
          <w:lang w:eastAsia="zh-HK"/>
        </w:rPr>
        <w:t>評析</w:t>
      </w:r>
      <w:bookmarkEnd w:id="648"/>
      <w:bookmarkEnd w:id="649"/>
    </w:p>
    <w:p w:rsidR="003807A5" w:rsidRPr="00AC77DF" w:rsidRDefault="003807A5" w:rsidP="00234F21">
      <w:pPr>
        <w:pStyle w:val="1---"/>
        <w:ind w:firstLine="480"/>
      </w:pPr>
      <w:r w:rsidRPr="00AC77DF">
        <w:t>1959</w:t>
      </w:r>
      <w:r w:rsidRPr="00AC77DF">
        <w:t>年起重工業和化學工業大幅發展，致產生的排放物和廢棄物超過大自然所具有的自我淨化能力，而形成公害問題</w:t>
      </w:r>
      <w:r w:rsidRPr="00AC77DF">
        <w:rPr>
          <w:bCs/>
          <w:vertAlign w:val="superscript"/>
        </w:rPr>
        <w:footnoteReference w:id="144"/>
      </w:r>
      <w:r w:rsidRPr="00AC77DF">
        <w:t>，同時造成人民生存權的威脅。</w:t>
      </w:r>
      <w:r w:rsidRPr="00AC77DF">
        <w:t>1970</w:t>
      </w:r>
      <w:r w:rsidRPr="00AC77DF">
        <w:t>年代後因公害問題嚴重，國家須進行實質監管及規</w:t>
      </w:r>
      <w:r w:rsidR="00BE0802">
        <w:rPr>
          <w:rFonts w:hint="eastAsia"/>
        </w:rPr>
        <w:t>範</w:t>
      </w:r>
      <w:r w:rsidRPr="00AC77DF">
        <w:t>，而衍生出環境權的概念。由於水、空氣及土地受到工業廢料、農藥及汽車廢氣等嚴重污染，其加諸自然之破壞，難以於短期間回復，甚至引發生態危機。</w:t>
      </w:r>
      <w:r w:rsidRPr="00AC77DF">
        <w:lastRenderedPageBreak/>
        <w:t>1972</w:t>
      </w:r>
      <w:r w:rsidRPr="00AC77DF">
        <w:t>年聯合國在斯德哥爾摩召開人類環境會議時，確認自然及人工環境對於人類福利、基本人權乃至生存權之享受同樣重要。而人類具有在足以保持尊嚴與福利的環境中，享有自由、平等及充分生活水準之基本權利</w:t>
      </w:r>
      <w:r w:rsidRPr="00AC77DF">
        <w:rPr>
          <w:bCs/>
          <w:vertAlign w:val="superscript"/>
        </w:rPr>
        <w:footnoteReference w:id="145"/>
      </w:r>
      <w:r w:rsidRPr="00AC77DF">
        <w:t>。</w:t>
      </w:r>
    </w:p>
    <w:p w:rsidR="003807A5" w:rsidRPr="00AC77DF" w:rsidRDefault="003807A5" w:rsidP="00234F21">
      <w:pPr>
        <w:pStyle w:val="1---"/>
        <w:ind w:firstLine="480"/>
      </w:pPr>
      <w:r w:rsidRPr="00AC77DF">
        <w:t>2002</w:t>
      </w:r>
      <w:r w:rsidRPr="00AC77DF">
        <w:t>年聯合國人權事務委員會針對水權（經濟社會文化權利國際公約第</w:t>
      </w:r>
      <w:r w:rsidRPr="00AC77DF">
        <w:t>11</w:t>
      </w:r>
      <w:r w:rsidRPr="00AC77DF">
        <w:t>條及第</w:t>
      </w:r>
      <w:r w:rsidRPr="00AC77DF">
        <w:t>12</w:t>
      </w:r>
      <w:r w:rsidRPr="00AC77DF">
        <w:t>條</w:t>
      </w:r>
      <w:r w:rsidRPr="00D54AFE">
        <w:rPr>
          <w:spacing w:val="-28"/>
        </w:rPr>
        <w:t>）</w:t>
      </w:r>
      <w:r w:rsidRPr="00AC77DF">
        <w:t>，提出第</w:t>
      </w:r>
      <w:r w:rsidRPr="00AC77DF">
        <w:t>15</w:t>
      </w:r>
      <w:r w:rsidRPr="00AC77DF">
        <w:t>號一般性意見，指出水是一種有限的自然資源，是一種對維持生命和健康至關重要的公共消費品。水權是一項不可缺少的人權，是人有尊嚴地生活之必要條件。水權也是實現其他人權的一個前提條件。環境衛生是經濟社會文化權利國際公約第</w:t>
      </w:r>
      <w:r w:rsidRPr="00AC77DF">
        <w:t>12</w:t>
      </w:r>
      <w:r w:rsidRPr="00AC77DF">
        <w:t>條第</w:t>
      </w:r>
      <w:r w:rsidRPr="00AC77DF">
        <w:t>2</w:t>
      </w:r>
      <w:r w:rsidRPr="00AC77DF">
        <w:t>項第</w:t>
      </w:r>
      <w:r w:rsidRPr="00AC77DF">
        <w:t>2</w:t>
      </w:r>
      <w:r w:rsidRPr="00AC77DF">
        <w:t>款所指健康權的一個面向，故政府機關應不加歧視地採取措施，防止不安全和有毒水況對健康的威脅。本章摘錄污水處理廠採購違失及改善灌溉系統水體品質等</w:t>
      </w:r>
      <w:r w:rsidRPr="00AC77DF">
        <w:t>2</w:t>
      </w:r>
      <w:r w:rsidRPr="00AC77DF">
        <w:t>則與水權相關案件，案經監察院調查後，已要求主管機關進行各項改善措施，監察院並持續追蹤瞭解改善情形。</w:t>
      </w:r>
    </w:p>
    <w:p w:rsidR="00586627" w:rsidRDefault="003807A5" w:rsidP="00234F21">
      <w:pPr>
        <w:pStyle w:val="1---"/>
        <w:ind w:firstLine="480"/>
        <w:sectPr w:rsidR="00586627" w:rsidSect="00037CD1">
          <w:headerReference w:type="default" r:id="rId29"/>
          <w:pgSz w:w="8392" w:h="11907" w:code="11"/>
          <w:pgMar w:top="1701" w:right="794" w:bottom="1134" w:left="964" w:header="624" w:footer="397" w:gutter="0"/>
          <w:cols w:space="425"/>
          <w:docGrid w:type="lines" w:linePitch="360"/>
        </w:sectPr>
      </w:pPr>
      <w:r w:rsidRPr="00AC77DF">
        <w:t>除了水資源外，人民所居住之土地維護亦甚重要，而國家有義務透過政策與宣導，確保土地及環境不受人為破壞，進而維護人民健康及土地永續利用。本章分別就廢棄物管制、礦業開採及觀光開發不當三個面向，</w:t>
      </w:r>
      <w:r w:rsidR="00127F89">
        <w:rPr>
          <w:rFonts w:hint="eastAsia"/>
        </w:rPr>
        <w:t>輔以相關</w:t>
      </w:r>
      <w:r w:rsidRPr="00AC77DF">
        <w:t>案例，說明監察院調查情形。上開案件經監察院調查後，主管機關已持續進行各項改進措施，並由法制面、執行面進行各項改善。期許我國在積極追求經濟發展的同時，也能有效兼顧生態永續發展之平衡。</w:t>
      </w:r>
    </w:p>
    <w:p w:rsidR="003807A5" w:rsidRPr="00AC77DF" w:rsidRDefault="003807A5" w:rsidP="00954E2F">
      <w:pPr>
        <w:pStyle w:val="1--"/>
        <w:spacing w:after="180"/>
      </w:pPr>
      <w:bookmarkStart w:id="650" w:name="_Toc535228421"/>
      <w:bookmarkStart w:id="651" w:name="_Toc4058833"/>
      <w:r w:rsidRPr="00AC77DF">
        <w:lastRenderedPageBreak/>
        <w:t>第十章</w:t>
      </w:r>
      <w:r w:rsidRPr="00AC77DF">
        <w:rPr>
          <w:rFonts w:ascii="細明體" w:eastAsia="細明體" w:hAnsi="細明體" w:cs="細明體" w:hint="eastAsia"/>
        </w:rPr>
        <w:t xml:space="preserve">　</w:t>
      </w:r>
      <w:r w:rsidRPr="00AC77DF">
        <w:rPr>
          <w:noProof/>
        </w:rPr>
        <mc:AlternateContent>
          <mc:Choice Requires="wps">
            <w:drawing>
              <wp:anchor distT="0" distB="0" distL="114300" distR="114300" simplePos="0" relativeHeight="251871232" behindDoc="0" locked="1" layoutInCell="1" allowOverlap="1" wp14:anchorId="1A3BC7B9" wp14:editId="0269C313">
                <wp:simplePos x="0" y="0"/>
                <wp:positionH relativeFrom="column">
                  <wp:posOffset>7989570</wp:posOffset>
                </wp:positionH>
                <wp:positionV relativeFrom="paragraph">
                  <wp:posOffset>-773430</wp:posOffset>
                </wp:positionV>
                <wp:extent cx="635000" cy="317500"/>
                <wp:effectExtent l="0" t="0" r="0" b="0"/>
                <wp:wrapNone/>
                <wp:docPr id="11" name="文字方塊 1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832" w:rsidRDefault="00970832" w:rsidP="00435D8C">
                            <w:pPr>
                              <w:jc w:val="center"/>
                              <w:rPr>
                                <w:sz w:val="18"/>
                              </w:rPr>
                            </w:pPr>
                            <w:r>
                              <w:rPr>
                                <w:sz w:val="18"/>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 o:spid="_x0000_s1177" type="#_x0000_t202" style="position:absolute;left:0;text-align:left;margin-left:629.1pt;margin-top:-60.9pt;width:50pt;height:25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" stroked="f">
                <v:textbox>
                  <w:txbxContent>
                    <w:p w:rsidR="00895792" w:rsidRDefault="00895792" w:rsidP="00435D8C">
                      <w:pPr>
                        <w:jc w:val="center"/>
                        <w:rPr>
                          <w:sz w:val="18"/>
                        </w:rPr>
                      </w:pPr>
                      <w:r>
                        <w:rPr>
                          <w:sz w:val="18"/>
                        </w:rPr>
                        <w:t>00</w:t>
                      </w:r>
                    </w:p>
                  </w:txbxContent>
                </v:textbox>
                <w10:anchorlock/>
              </v:shape>
            </w:pict>
          </mc:Fallback>
        </mc:AlternateContent>
      </w:r>
      <w:r w:rsidRPr="00AC77DF">
        <w:rPr>
          <w:noProof/>
        </w:rPr>
        <mc:AlternateContent>
          <mc:Choice Requires="wpg">
            <w:drawing>
              <wp:anchor distT="0" distB="0" distL="114300" distR="114300" simplePos="0" relativeHeight="251870208" behindDoc="0" locked="1" layoutInCell="0" allowOverlap="1" wp14:anchorId="2E6D7297" wp14:editId="37D1D7A9">
                <wp:simplePos x="0" y="0"/>
                <wp:positionH relativeFrom="column">
                  <wp:posOffset>-2001520</wp:posOffset>
                </wp:positionH>
                <wp:positionV relativeFrom="paragraph">
                  <wp:posOffset>-153670</wp:posOffset>
                </wp:positionV>
                <wp:extent cx="149225" cy="8839200"/>
                <wp:effectExtent l="0" t="12065" r="3810" b="6985"/>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39200"/>
                          <a:chOff x="745" y="1414"/>
                          <a:chExt cx="235" cy="13920"/>
                        </a:xfrm>
                      </wpg:grpSpPr>
                      <wps:wsp>
                        <wps:cNvPr id="6" name="Line 13"/>
                        <wps:cNvCnPr>
                          <a:cxnSpLocks noChangeShapeType="1"/>
                        </wps:cNvCnPr>
                        <wps:spPr bwMode="auto">
                          <a:xfrm>
                            <a:off x="851" y="1414"/>
                            <a:ext cx="0" cy="139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 name="Text Box 14"/>
                        <wps:cNvSpPr txBox="1">
                          <a:spLocks noChangeArrowheads="1"/>
                        </wps:cNvSpPr>
                        <wps:spPr bwMode="auto">
                          <a:xfrm>
                            <a:off x="745" y="5523"/>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435D8C">
                              <w:pPr>
                                <w:kinsoku w:val="0"/>
                                <w:wordWrap w:val="0"/>
                                <w:overflowPunct w:val="0"/>
                                <w:rPr>
                                  <w:sz w:val="20"/>
                                </w:rPr>
                              </w:pPr>
                              <w:r>
                                <w:rPr>
                                  <w:rFonts w:hint="eastAsia"/>
                                  <w:sz w:val="20"/>
                                </w:rPr>
                                <w:t>裝</w:t>
                              </w:r>
                            </w:p>
                          </w:txbxContent>
                        </wps:txbx>
                        <wps:bodyPr rot="0" vert="horz" wrap="square" lIns="0" tIns="0" rIns="0" bIns="0" anchor="t" anchorCtr="0" upright="1">
                          <a:noAutofit/>
                        </wps:bodyPr>
                      </wps:wsp>
                      <wps:wsp>
                        <wps:cNvPr id="8" name="Text Box 15"/>
                        <wps:cNvSpPr txBox="1">
                          <a:spLocks noChangeArrowheads="1"/>
                        </wps:cNvSpPr>
                        <wps:spPr bwMode="auto">
                          <a:xfrm>
                            <a:off x="745" y="8312"/>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435D8C">
                              <w:pPr>
                                <w:kinsoku w:val="0"/>
                                <w:wordWrap w:val="0"/>
                                <w:overflowPunct w:val="0"/>
                                <w:rPr>
                                  <w:sz w:val="20"/>
                                </w:rPr>
                              </w:pPr>
                              <w:r>
                                <w:rPr>
                                  <w:rFonts w:hint="eastAsia"/>
                                  <w:sz w:val="20"/>
                                </w:rPr>
                                <w:t>訂</w:t>
                              </w:r>
                            </w:p>
                          </w:txbxContent>
                        </wps:txbx>
                        <wps:bodyPr rot="0" vert="horz" wrap="square" lIns="0" tIns="0" rIns="0" bIns="0" anchor="t" anchorCtr="0" upright="1">
                          <a:noAutofit/>
                        </wps:bodyPr>
                      </wps:wsp>
                      <wps:wsp>
                        <wps:cNvPr id="9" name="Text Box 16"/>
                        <wps:cNvSpPr txBox="1">
                          <a:spLocks noChangeArrowheads="1"/>
                        </wps:cNvSpPr>
                        <wps:spPr bwMode="auto">
                          <a:xfrm>
                            <a:off x="745" y="11127"/>
                            <a:ext cx="23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970832" w:rsidRDefault="00970832" w:rsidP="00435D8C">
                              <w:pPr>
                                <w:kinsoku w:val="0"/>
                                <w:wordWrap w:val="0"/>
                                <w:overflowPunct w:val="0"/>
                                <w:rPr>
                                  <w:sz w:val="20"/>
                                </w:rPr>
                              </w:pPr>
                              <w:r>
                                <w:rPr>
                                  <w:rFonts w:hint="eastAsia"/>
                                  <w:sz w:val="20"/>
                                </w:rPr>
                                <w:t>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 o:spid="_x0000_s1178" style="position:absolute;left:0;text-align:left;margin-left:-157.6pt;margin-top:-12.1pt;width:11.75pt;height:696pt;z-index:251870208" coordorigin="745,1414" coordsize="235,1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" o:allowincell="f">
                <v:line id="Line 13" o:spid="_x0000_s1179" style="position:absolute;visibility:visible;mso-wrap-style:square" from="851,1414" to="851,1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3fvcMAAADaAAAADwAAAGRycy9kb3ducmV2LnhtbESPT2sCMRTE70K/Q3hCbzWrB7Vbo7RC&#10;wb+H3bbQ42PzTJZuXpZN1O23b4SCx2FmfsMsVr1rxIW6UHtWMB5lIIgrr2s2Cj4/3p/mIEJE1th4&#10;JgW/FGC1fBgsMNf+ygVdymhEgnDIUYGNsc2lDJUlh2HkW+LknXznMCbZGak7vCa4a+Qky6bSYc1p&#10;wWJLa0vVT3l2CvazTfNl+Ls8bE/hzT/vCnk0VqnHYf/6AiJSH+/h//ZGK5jC7Uq6A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9373DAAAA2gAAAA8AAAAAAAAAAAAA&#10;AAAAoQIAAGRycy9kb3ducmV2LnhtbFBLBQYAAAAABAAEAPkAAACRAwAAAAA=&#10;">
                  <v:stroke dashstyle="1 1"/>
                </v:line>
                <v:shape id="Text Box 14" o:spid="_x0000_s1180" type="#_x0000_t202" style="position:absolute;left:745;top:5523;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vy8IA&#10;AADaAAAADwAAAGRycy9kb3ducmV2LnhtbESPQYvCMBSE7wv+h/CEvWmq0F2pRlFZcV28qEU8Pppn&#10;W2xeShO1/nsjCHscZuYbZjJrTSVu1LjSsoJBPwJBnFldcq4gPax6IxDOI2usLJOCBzmYTTsfE0y0&#10;vfOObnufiwBhl6CCwvs6kdJlBRl0fVsTB+9sG4M+yCaXusF7gJtKDqPoSxosOSwUWNOyoOyyvxoF&#10;G32UiziNdtnppNc/q22cDv9ipT677XwMwlPr/8Pv9q9W8A2vK+EG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8a/LwgAAANoAAAAPAAAAAAAAAAAAAAAAAJgCAABkcnMvZG93&#10;bnJldi54bWxQSwUGAAAAAAQABAD1AAAAhwMAAAAA&#10;" filled="f" stroked="f">
                  <v:stroke dashstyle="1 1"/>
                  <v:textbox inset="0,0,0,0">
                    <w:txbxContent>
                      <w:p w:rsidR="00895792" w:rsidRDefault="00895792" w:rsidP="00435D8C">
                        <w:pPr>
                          <w:kinsoku w:val="0"/>
                          <w:wordWrap w:val="0"/>
                          <w:overflowPunct w:val="0"/>
                          <w:rPr>
                            <w:sz w:val="20"/>
                          </w:rPr>
                        </w:pPr>
                        <w:r>
                          <w:rPr>
                            <w:rFonts w:hint="eastAsia"/>
                            <w:sz w:val="20"/>
                          </w:rPr>
                          <w:t>裝</w:t>
                        </w:r>
                      </w:p>
                    </w:txbxContent>
                  </v:textbox>
                </v:shape>
                <v:shape id="Text Box 15" o:spid="_x0000_s1181" type="#_x0000_t202" style="position:absolute;left:745;top:8312;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47ucEA&#10;AADaAAAADwAAAGRycy9kb3ducmV2LnhtbERPy2rCQBTdF/oPwy24q5MKkZI6ii0GH3STGIrLS+aa&#10;hGbuhMwY4987C8Hl4bwXq9G0YqDeNZYVfEwjEMSl1Q1XCopj+v4Jwnlkja1lUnAjB6vl68sCE22v&#10;nNGQ+0qEEHYJKqi97xIpXVmTQTe1HXHgzrY36APsK6l7vIZw08pZFM2lwYZDQ40d/dRU/ucXo2Cv&#10;/+R3XERZeTrp7Sb9jYvZIVZq8jauv0B4Gv1T/HDvtIKwNVwJN0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uO7nBAAAA2gAAAA8AAAAAAAAAAAAAAAAAmAIAAGRycy9kb3du&#10;cmV2LnhtbFBLBQYAAAAABAAEAPUAAACGAwAAAAA=&#10;" filled="f" stroked="f">
                  <v:stroke dashstyle="1 1"/>
                  <v:textbox inset="0,0,0,0">
                    <w:txbxContent>
                      <w:p w:rsidR="00895792" w:rsidRDefault="00895792" w:rsidP="00435D8C">
                        <w:pPr>
                          <w:kinsoku w:val="0"/>
                          <w:wordWrap w:val="0"/>
                          <w:overflowPunct w:val="0"/>
                          <w:rPr>
                            <w:sz w:val="20"/>
                          </w:rPr>
                        </w:pPr>
                        <w:r>
                          <w:rPr>
                            <w:rFonts w:hint="eastAsia"/>
                            <w:sz w:val="20"/>
                          </w:rPr>
                          <w:t>訂</w:t>
                        </w:r>
                      </w:p>
                    </w:txbxContent>
                  </v:textbox>
                </v:shape>
                <v:shape id="Text Box 16" o:spid="_x0000_s1182" type="#_x0000_t202" style="position:absolute;left:745;top:11127;width:23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eIsIA&#10;AADaAAAADwAAAGRycy9kb3ducmV2LnhtbESPQYvCMBSE7wv+h/CEvWmq0GWtRlFZcV28qEU8Pppn&#10;W2xeShO1/nsjCHscZuYbZjJrTSVu1LjSsoJBPwJBnFldcq4gPax63yCcR9ZYWSYFD3Iwm3Y+Jpho&#10;e+cd3fY+FwHCLkEFhfd1IqXLCjLo+rYmDt7ZNgZ9kE0udYP3ADeVHEbRlzRYclgosKZlQdllfzUK&#10;NvooF3Ea7bLTSa9/Vts4Hf7FSn122/kYhKfW/4ff7V+tYASvK+EG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p4iwgAAANoAAAAPAAAAAAAAAAAAAAAAAJgCAABkcnMvZG93&#10;bnJldi54bWxQSwUGAAAAAAQABAD1AAAAhwMAAAAA&#10;" filled="f" stroked="f">
                  <v:stroke dashstyle="1 1"/>
                  <v:textbox inset="0,0,0,0">
                    <w:txbxContent>
                      <w:p w:rsidR="00895792" w:rsidRDefault="00895792" w:rsidP="00435D8C">
                        <w:pPr>
                          <w:kinsoku w:val="0"/>
                          <w:wordWrap w:val="0"/>
                          <w:overflowPunct w:val="0"/>
                          <w:rPr>
                            <w:sz w:val="20"/>
                          </w:rPr>
                        </w:pPr>
                        <w:r>
                          <w:rPr>
                            <w:rFonts w:hint="eastAsia"/>
                            <w:sz w:val="20"/>
                          </w:rPr>
                          <w:t>線</w:t>
                        </w:r>
                      </w:p>
                    </w:txbxContent>
                  </v:textbox>
                </v:shape>
                <w10:anchorlock/>
              </v:group>
            </w:pict>
          </mc:Fallback>
        </mc:AlternateContent>
      </w:r>
      <w:r w:rsidRPr="00AC77DF">
        <w:rPr>
          <w:noProof/>
        </w:rPr>
        <mc:AlternateContent>
          <mc:Choice Requires="wps">
            <w:drawing>
              <wp:anchor distT="0" distB="0" distL="114300" distR="114300" simplePos="0" relativeHeight="251869184" behindDoc="0" locked="1" layoutInCell="0" allowOverlap="1" wp14:anchorId="084B3FD8" wp14:editId="49DD05F4">
                <wp:simplePos x="0" y="0"/>
                <wp:positionH relativeFrom="column">
                  <wp:posOffset>-609600</wp:posOffset>
                </wp:positionH>
                <wp:positionV relativeFrom="page">
                  <wp:posOffset>443230</wp:posOffset>
                </wp:positionV>
                <wp:extent cx="636905" cy="396240"/>
                <wp:effectExtent l="0" t="0" r="0" b="0"/>
                <wp:wrapNone/>
                <wp:docPr id="5" name="文字方塊 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832" w:rsidRDefault="00970832" w:rsidP="00435D8C">
                            <w:pPr>
                              <w:jc w:val="center"/>
                              <w:rPr>
                                <w:color w:val="000000"/>
                                <w:sz w:val="36"/>
                              </w:rPr>
                            </w:pPr>
                            <w:r>
                              <w:rPr>
                                <w:rFonts w:hint="eastAsia"/>
                                <w:color w:val="000000"/>
                                <w:sz w:val="36"/>
                              </w:rPr>
                              <w:t>正本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183" type="#_x0000_t202" style="position:absolute;left:0;text-align:left;margin-left:-48pt;margin-top:34.9pt;width:50.15pt;height:31.2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" o:allowincell="f" filled="f">
                <v:textbox inset=".5mm,,.5mm">
                  <w:txbxContent>
                    <w:p w:rsidR="00895792" w:rsidRDefault="00895792" w:rsidP="00435D8C">
                      <w:pPr>
                        <w:jc w:val="center"/>
                        <w:rPr>
                          <w:color w:val="000000"/>
                          <w:sz w:val="36"/>
                        </w:rPr>
                      </w:pPr>
                      <w:r>
                        <w:rPr>
                          <w:rFonts w:hint="eastAsia"/>
                          <w:color w:val="000000"/>
                          <w:sz w:val="36"/>
                        </w:rPr>
                        <w:t>正本</w:t>
                      </w:r>
                    </w:p>
                  </w:txbxContent>
                </v:textbox>
                <w10:wrap anchory="page"/>
                <w10:anchorlock/>
              </v:shape>
            </w:pict>
          </mc:Fallback>
        </mc:AlternateContent>
      </w:r>
      <w:r w:rsidRPr="00AC77DF">
        <w:rPr>
          <w:noProof/>
        </w:rPr>
        <mc:AlternateContent>
          <mc:Choice Requires="wps">
            <w:drawing>
              <wp:anchor distT="0" distB="0" distL="114300" distR="114300" simplePos="0" relativeHeight="251868160" behindDoc="0" locked="1" layoutInCell="0" allowOverlap="1" wp14:anchorId="3F3A3C3B" wp14:editId="38256E10">
                <wp:simplePos x="0" y="0"/>
                <wp:positionH relativeFrom="column">
                  <wp:posOffset>-609600</wp:posOffset>
                </wp:positionH>
                <wp:positionV relativeFrom="page">
                  <wp:posOffset>442595</wp:posOffset>
                </wp:positionV>
                <wp:extent cx="636905" cy="396240"/>
                <wp:effectExtent l="0" t="0" r="0" b="0"/>
                <wp:wrapNone/>
                <wp:docPr id="4" name="文字方塊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832" w:rsidRDefault="00970832" w:rsidP="00435D8C">
                            <w:pPr>
                              <w:jc w:val="center"/>
                              <w:rPr>
                                <w:color w:val="000000"/>
                                <w:sz w:val="36"/>
                              </w:rPr>
                            </w:pPr>
                            <w:r>
                              <w:rPr>
                                <w:rFonts w:hint="eastAsia"/>
                                <w:color w:val="000000"/>
                                <w:sz w:val="36"/>
                              </w:rPr>
                              <w:t>副本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184" type="#_x0000_t202" style="position:absolute;left:0;text-align:left;margin-left:-48pt;margin-top:34.85pt;width:50.15pt;height:31.2pt;z-index:251868160;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" o:allowincell="f" filled="f">
                <v:textbox inset=".5mm,,.5mm">
                  <w:txbxContent>
                    <w:p w:rsidR="00895792" w:rsidRDefault="00895792" w:rsidP="00435D8C">
                      <w:pPr>
                        <w:jc w:val="center"/>
                        <w:rPr>
                          <w:color w:val="000000"/>
                          <w:sz w:val="36"/>
                        </w:rPr>
                      </w:pPr>
                      <w:r>
                        <w:rPr>
                          <w:rFonts w:hint="eastAsia"/>
                          <w:color w:val="000000"/>
                          <w:sz w:val="36"/>
                        </w:rPr>
                        <w:t>副本</w:t>
                      </w:r>
                    </w:p>
                  </w:txbxContent>
                </v:textbox>
                <w10:wrap anchory="page"/>
                <w10:anchorlock/>
              </v:shape>
            </w:pict>
          </mc:Fallback>
        </mc:AlternateContent>
      </w:r>
      <w:r w:rsidRPr="00AC77DF">
        <w:rPr>
          <w:noProof/>
        </w:rPr>
        <mc:AlternateContent>
          <mc:Choice Requires="wps">
            <w:drawing>
              <wp:anchor distT="0" distB="0" distL="114300" distR="114300" simplePos="0" relativeHeight="251867136" behindDoc="0" locked="1" layoutInCell="0" allowOverlap="1" wp14:anchorId="0EFC325C" wp14:editId="7C249F07">
                <wp:simplePos x="0" y="0"/>
                <wp:positionH relativeFrom="column">
                  <wp:posOffset>2819400</wp:posOffset>
                </wp:positionH>
                <wp:positionV relativeFrom="page">
                  <wp:posOffset>443230</wp:posOffset>
                </wp:positionV>
                <wp:extent cx="1440180" cy="360045"/>
                <wp:effectExtent l="0" t="0" r="0" b="0"/>
                <wp:wrapNone/>
                <wp:docPr id="3" name="文字方塊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970832" w:rsidRDefault="00970832" w:rsidP="00435D8C">
                            <w:r>
                              <w:rPr>
                                <w:rFonts w:hint="eastAsia"/>
                              </w:rPr>
                              <w:t>院長王○○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185" type="#_x0000_t202" style="position:absolute;left:0;text-align:left;margin-left:222pt;margin-top:34.9pt;width:113.4pt;height:28.35pt;z-index:251867136;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" o:allowincell="f">
                <v:textbox>
                  <w:txbxContent>
                    <w:p w:rsidR="00895792" w:rsidRDefault="00895792" w:rsidP="00435D8C">
                      <w:r>
                        <w:rPr>
                          <w:rFonts w:hint="eastAsia"/>
                        </w:rPr>
                        <w:t>院長王○○</w:t>
                      </w:r>
                    </w:p>
                  </w:txbxContent>
                </v:textbox>
                <w10:wrap anchory="page"/>
                <w10:anchorlock/>
              </v:shape>
            </w:pict>
          </mc:Fallback>
        </mc:AlternateContent>
      </w:r>
      <w:r w:rsidRPr="00AC77DF">
        <w:rPr>
          <w:noProof/>
        </w:rPr>
        <mc:AlternateContent>
          <mc:Choice Requires="wps">
            <w:drawing>
              <wp:anchor distT="0" distB="0" distL="114300" distR="114300" simplePos="0" relativeHeight="251866112" behindDoc="0" locked="1" layoutInCell="0" allowOverlap="1" wp14:anchorId="23F5C4CF" wp14:editId="268BF704">
                <wp:simplePos x="0" y="0"/>
                <wp:positionH relativeFrom="column">
                  <wp:posOffset>1381125</wp:posOffset>
                </wp:positionH>
                <wp:positionV relativeFrom="page">
                  <wp:posOffset>443230</wp:posOffset>
                </wp:positionV>
                <wp:extent cx="1440180" cy="360045"/>
                <wp:effectExtent l="0" t="0" r="0" b="0"/>
                <wp:wrapNone/>
                <wp:docPr id="2" name="文字方塊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970832" w:rsidRDefault="00970832" w:rsidP="00435D8C">
                            <w:pPr>
                              <w:rPr>
                                <w:rFonts w:ascii="標楷體"/>
                              </w:rPr>
                            </w:pPr>
                            <w:r>
                              <w:rPr>
                                <w:rFonts w:ascii="標楷體" w:hint="eastAsia"/>
                              </w:rPr>
                              <w:t>函;函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186" type="#_x0000_t202" style="position:absolute;left:0;text-align:left;margin-left:108.75pt;margin-top:34.9pt;width:113.4pt;height:28.35pt;z-index:251866112;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" o:allowincell="f">
                <v:textbox>
                  <w:txbxContent>
                    <w:p w:rsidR="00895792" w:rsidRDefault="00895792" w:rsidP="00435D8C">
                      <w:pPr>
                        <w:rPr>
                          <w:rFonts w:ascii="標楷體"/>
                        </w:rPr>
                      </w:pPr>
                      <w:r>
                        <w:rPr>
                          <w:rFonts w:ascii="標楷體" w:hint="eastAsia"/>
                        </w:rPr>
                        <w:t>函;函</w:t>
                      </w:r>
                    </w:p>
                  </w:txbxContent>
                </v:textbox>
                <w10:wrap anchory="page"/>
                <w10:anchorlock/>
              </v:shape>
            </w:pict>
          </mc:Fallback>
        </mc:AlternateContent>
      </w:r>
      <w:r w:rsidRPr="00AC77DF">
        <w:t>社會保障</w:t>
      </w:r>
      <w:bookmarkEnd w:id="650"/>
      <w:bookmarkEnd w:id="651"/>
    </w:p>
    <w:p w:rsidR="003807A5" w:rsidRPr="00AC77DF" w:rsidRDefault="003807A5" w:rsidP="00234F21">
      <w:pPr>
        <w:pStyle w:val="1---"/>
        <w:ind w:firstLine="480"/>
      </w:pPr>
      <w:r w:rsidRPr="00AC77DF">
        <w:t>社會權（</w:t>
      </w:r>
      <w:r w:rsidRPr="00AC77DF">
        <w:t>social rights</w:t>
      </w:r>
      <w:r w:rsidRPr="00AC77DF">
        <w:t>）乃人民向國家要求及取得社會保障之權利，其具有保護弱勢的人道精神，並含有消除階級對立、貧富不均與社會不平等之特性。</w:t>
      </w:r>
      <w:r w:rsidRPr="00AC77DF">
        <w:t>1919</w:t>
      </w:r>
      <w:r w:rsidRPr="00AC77DF">
        <w:t>年德國「威瑪憲法</w:t>
      </w:r>
      <w:r w:rsidRPr="00D54AFE">
        <w:rPr>
          <w:spacing w:val="-28"/>
        </w:rPr>
        <w:t>」</w:t>
      </w:r>
      <w:r w:rsidRPr="00AC77DF">
        <w:t>（</w:t>
      </w:r>
      <w:r w:rsidRPr="00AC77DF">
        <w:t>Weimarer Verfassung</w:t>
      </w:r>
      <w:r w:rsidRPr="00AC77DF">
        <w:t>）首度納入勞動保護、失業救濟及社會扶助等項目，之後社會權相關條文開始為各國憲法所規範。國家得透過各種組織、制度或社會力量，以保障國民經濟的安全與國民生活的幸福，進而促進社會穩定發展</w:t>
      </w:r>
      <w:r w:rsidRPr="00AC77DF">
        <w:rPr>
          <w:rStyle w:val="aff2"/>
        </w:rPr>
        <w:footnoteReference w:id="146"/>
      </w:r>
      <w:r w:rsidRPr="00AC77DF">
        <w:t>。</w:t>
      </w:r>
    </w:p>
    <w:p w:rsidR="003807A5" w:rsidRPr="00AC77DF" w:rsidRDefault="003807A5" w:rsidP="00234F21">
      <w:pPr>
        <w:pStyle w:val="1---"/>
        <w:ind w:firstLine="480"/>
      </w:pPr>
      <w:r w:rsidRPr="00AC77DF">
        <w:t>社會保障可分為經濟、服務及精神保障三個層次。經濟保障係指從經濟上保障國民的生活，透過現金給付或援助等方式來解決國民遭遇生活困難時之經濟來源問題。服務保障指為適應家庭結構變遷與自我保護功能弱化等變化，透過提供服務的方式，滿足國民對個人生活照料服務的需求，例如安老服務、康復服務等。至於精神服務，乃屬文化、倫理、心理慰藉方面的保障，使人們在現實生活中維持相應的情感保障</w:t>
      </w:r>
      <w:r w:rsidRPr="00AC77DF">
        <w:rPr>
          <w:rStyle w:val="aff2"/>
        </w:rPr>
        <w:footnoteReference w:id="147"/>
      </w:r>
      <w:r w:rsidRPr="00AC77DF">
        <w:t>。在具體實踐上，社會保障包含社會保險、社會福利、社會救助、優撫安置等四個部分，並因各國國情而有差異</w:t>
      </w:r>
      <w:r w:rsidRPr="00AC77DF">
        <w:rPr>
          <w:rStyle w:val="aff2"/>
        </w:rPr>
        <w:footnoteReference w:id="148"/>
      </w:r>
      <w:r w:rsidRPr="00AC77DF">
        <w:t>。</w:t>
      </w:r>
    </w:p>
    <w:p w:rsidR="003807A5" w:rsidRPr="00AC77DF" w:rsidRDefault="00FB2C93" w:rsidP="00234F21">
      <w:pPr>
        <w:pStyle w:val="1---"/>
        <w:ind w:firstLine="480"/>
      </w:pPr>
      <w:r>
        <w:t>世界人權宣言</w:t>
      </w:r>
      <w:r w:rsidR="003807A5" w:rsidRPr="00AC77DF">
        <w:t>第</w:t>
      </w:r>
      <w:r w:rsidR="003807A5" w:rsidRPr="00AC77DF">
        <w:t>22</w:t>
      </w:r>
      <w:r w:rsidR="003807A5" w:rsidRPr="00AC77DF">
        <w:t>條明確揭示</w:t>
      </w:r>
      <w:r w:rsidR="003807A5" w:rsidRPr="00D54AFE">
        <w:rPr>
          <w:spacing w:val="-28"/>
        </w:rPr>
        <w:t>：</w:t>
      </w:r>
      <w:r w:rsidR="003807A5" w:rsidRPr="00AC77DF">
        <w:t>「每個人，作為社會的一員，有權享受社會保障</w:t>
      </w:r>
      <w:r w:rsidR="003807A5" w:rsidRPr="00D54AFE">
        <w:rPr>
          <w:spacing w:val="-28"/>
        </w:rPr>
        <w:t>。</w:t>
      </w:r>
      <w:r w:rsidR="003807A5" w:rsidRPr="00AC77DF">
        <w:t>」第</w:t>
      </w:r>
      <w:r w:rsidR="003807A5" w:rsidRPr="00AC77DF">
        <w:t>23</w:t>
      </w:r>
      <w:r w:rsidR="003807A5" w:rsidRPr="00AC77DF">
        <w:t>條第</w:t>
      </w:r>
      <w:r w:rsidR="003807A5" w:rsidRPr="00AC77DF">
        <w:t>1</w:t>
      </w:r>
      <w:r w:rsidR="003807A5" w:rsidRPr="00AC77DF">
        <w:t>項「人人有權工作，自由選擇職業、並受公正和合適的工作條件並享受免於失業的保</w:t>
      </w:r>
      <w:r w:rsidR="003807A5" w:rsidRPr="00AC77DF">
        <w:lastRenderedPageBreak/>
        <w:t>障」、同條第</w:t>
      </w:r>
      <w:r w:rsidR="003807A5" w:rsidRPr="00AC77DF">
        <w:t>3</w:t>
      </w:r>
      <w:r w:rsidR="003807A5" w:rsidRPr="00AC77DF">
        <w:t>項「每一個工作的人，有權享受公正和合適的報酬，保證使他本人和家屬有一個符合人的尊嚴的生活條件，必要時並輔以其他方式的社會保障</w:t>
      </w:r>
      <w:r w:rsidR="003807A5" w:rsidRPr="00D54AFE">
        <w:rPr>
          <w:spacing w:val="-28"/>
        </w:rPr>
        <w:t>」</w:t>
      </w:r>
      <w:r w:rsidR="003807A5" w:rsidRPr="00AC77DF">
        <w:t>，此包含對「一般人的社會服務</w:t>
      </w:r>
      <w:r w:rsidR="003807A5" w:rsidRPr="00D54AFE">
        <w:rPr>
          <w:spacing w:val="-28"/>
        </w:rPr>
        <w:t>」、</w:t>
      </w:r>
      <w:r w:rsidR="003807A5" w:rsidRPr="00AC77DF">
        <w:t>「特定人的社會扶助」之規定。另第</w:t>
      </w:r>
      <w:r w:rsidR="003807A5" w:rsidRPr="00AC77DF">
        <w:t>25</w:t>
      </w:r>
      <w:r w:rsidR="003807A5" w:rsidRPr="00AC77DF">
        <w:t>條第</w:t>
      </w:r>
      <w:r w:rsidR="003807A5" w:rsidRPr="00AC77DF">
        <w:t>1</w:t>
      </w:r>
      <w:r w:rsidR="003807A5" w:rsidRPr="00AC77DF">
        <w:t>項揭示</w:t>
      </w:r>
      <w:r w:rsidR="003807A5" w:rsidRPr="00D54AFE">
        <w:rPr>
          <w:spacing w:val="-28"/>
        </w:rPr>
        <w:t>：</w:t>
      </w:r>
      <w:r w:rsidR="003807A5" w:rsidRPr="00AC77DF">
        <w:t>「人人有權享受為維持他本人和家屬的健康和福利所需的生活水準，包括食物、衣著、住房、醫療和必要的社會服務；在遭到失業、疾病、殘廢、守寡、衰老或在其他不能控制的情況下喪失謀生能力時，有權享受保障</w:t>
      </w:r>
      <w:r w:rsidR="003807A5" w:rsidRPr="00D54AFE">
        <w:rPr>
          <w:spacing w:val="-28"/>
        </w:rPr>
        <w:t>。</w:t>
      </w:r>
      <w:r w:rsidR="003807A5" w:rsidRPr="00AC77DF">
        <w:t>」同條第</w:t>
      </w:r>
      <w:r w:rsidR="003807A5" w:rsidRPr="00AC77DF">
        <w:t>2</w:t>
      </w:r>
      <w:r w:rsidR="003807A5" w:rsidRPr="00AC77DF">
        <w:t>項更揭示：「母親和兒童有權享受特別照顧</w:t>
      </w:r>
      <w:r w:rsidR="00B217F4">
        <w:t>和協助。一切兒童，無論婚生或非婚生，都應享受同樣的社會保護</w:t>
      </w:r>
      <w:r w:rsidR="00B217F4" w:rsidRPr="00D54AFE">
        <w:rPr>
          <w:spacing w:val="-28"/>
        </w:rPr>
        <w:t>。</w:t>
      </w:r>
      <w:r w:rsidR="00B217F4">
        <w:t>」</w:t>
      </w:r>
      <w:r w:rsidR="003807A5" w:rsidRPr="00AC77DF">
        <w:t>此不但列舉人民享受基本生活保障的權利，並對兒童與母親提出特別的保護看法。</w:t>
      </w:r>
    </w:p>
    <w:p w:rsidR="003807A5" w:rsidRPr="00AC77DF" w:rsidRDefault="003807A5" w:rsidP="00234F21">
      <w:pPr>
        <w:pStyle w:val="1---"/>
        <w:ind w:firstLine="480"/>
      </w:pPr>
      <w:r w:rsidRPr="00AC77DF">
        <w:t>為進一步落實</w:t>
      </w:r>
      <w:r w:rsidR="00FB2C93">
        <w:t>世界人權宣言</w:t>
      </w:r>
      <w:r w:rsidRPr="00AC77DF">
        <w:t>有關社會保障的宣示，</w:t>
      </w:r>
      <w:r w:rsidR="003B029E">
        <w:t>經濟社會文化權利國際公約</w:t>
      </w:r>
      <w:r w:rsidRPr="00AC77DF">
        <w:t>第</w:t>
      </w:r>
      <w:r w:rsidRPr="00AC77DF">
        <w:t>9</w:t>
      </w:r>
      <w:r w:rsidRPr="00AC77DF">
        <w:t>條重申「人人有權享受社會保障，包括社會保險</w:t>
      </w:r>
      <w:r w:rsidRPr="00D54AFE">
        <w:rPr>
          <w:spacing w:val="-28"/>
        </w:rPr>
        <w:t>。</w:t>
      </w:r>
      <w:r w:rsidRPr="00AC77DF">
        <w:t>」第</w:t>
      </w:r>
      <w:r w:rsidRPr="00AC77DF">
        <w:t>10</w:t>
      </w:r>
      <w:r w:rsidRPr="00AC77DF">
        <w:t>條則具體列舉對家庭、母親、兒童及少年之保障及協助措施。聯合國人權事務委員會特別針對社會保障的權利，發布第</w:t>
      </w:r>
      <w:r w:rsidRPr="00AC77DF">
        <w:t>19</w:t>
      </w:r>
      <w:r w:rsidRPr="00AC77DF">
        <w:t>號一般性意見。其第</w:t>
      </w:r>
      <w:r w:rsidRPr="00AC77DF">
        <w:t>1</w:t>
      </w:r>
      <w:r w:rsidRPr="00AC77DF">
        <w:t>點強調：社會保障的權利對於確保所有人的人類尊嚴是極為重要的。第</w:t>
      </w:r>
      <w:r w:rsidRPr="00AC77DF">
        <w:t>2</w:t>
      </w:r>
      <w:r w:rsidRPr="00AC77DF">
        <w:t>點指出：社會保障的權利包括在沒有歧視的情況下獲得和保留現金或實物津貼的權利，以便或特別保護人們免受如下之苦</w:t>
      </w:r>
      <w:r w:rsidRPr="00D54AFE">
        <w:rPr>
          <w:spacing w:val="-28"/>
        </w:rPr>
        <w:t>：</w:t>
      </w:r>
      <w:r w:rsidRPr="00AC77DF">
        <w:t>（</w:t>
      </w:r>
      <w:r w:rsidRPr="00AC77DF">
        <w:t>1</w:t>
      </w:r>
      <w:r w:rsidRPr="00AC77DF">
        <w:t>）因為疾病、身心障礙、分娩、職業傷害、失業、年老或家庭成員死亡而喪失工資收入</w:t>
      </w:r>
      <w:r w:rsidRPr="00D54AFE">
        <w:rPr>
          <w:spacing w:val="-28"/>
        </w:rPr>
        <w:t>；</w:t>
      </w:r>
      <w:r w:rsidRPr="00AC77DF">
        <w:t>（</w:t>
      </w:r>
      <w:r w:rsidRPr="00AC77DF">
        <w:t>2</w:t>
      </w:r>
      <w:r w:rsidRPr="00AC77DF">
        <w:t>）無法負擔醫療</w:t>
      </w:r>
      <w:r w:rsidRPr="00D54AFE">
        <w:rPr>
          <w:spacing w:val="-28"/>
        </w:rPr>
        <w:t>；</w:t>
      </w:r>
      <w:r w:rsidRPr="00AC77DF">
        <w:t>（</w:t>
      </w:r>
      <w:r w:rsidRPr="00AC77DF">
        <w:t>3</w:t>
      </w:r>
      <w:r w:rsidRPr="00AC77DF">
        <w:t>）無力養家，尤其是扶養兒童與成年家屬。</w:t>
      </w:r>
    </w:p>
    <w:p w:rsidR="003807A5" w:rsidRPr="00AC77DF" w:rsidRDefault="003807A5" w:rsidP="00234F21">
      <w:pPr>
        <w:pStyle w:val="1---"/>
        <w:ind w:firstLine="480"/>
      </w:pPr>
      <w:r w:rsidRPr="00AC77DF">
        <w:t>社會保障的權利不僅對於確保作為一個人應有的尊嚴是極為重要的，上開一般性意見第</w:t>
      </w:r>
      <w:r w:rsidRPr="00AC77DF">
        <w:t>3</w:t>
      </w:r>
      <w:r w:rsidRPr="00AC77DF">
        <w:t>點還指出：由於其再分配的性質，社會保障在減少和減緩貧困、防止社會排斥以及推動社會</w:t>
      </w:r>
      <w:r w:rsidRPr="00AC77DF">
        <w:lastRenderedPageBreak/>
        <w:t>包容等方面也發揮了重要的作用。因此，該一般性意見第</w:t>
      </w:r>
      <w:r w:rsidRPr="00AC77DF">
        <w:t>4</w:t>
      </w:r>
      <w:r w:rsidRPr="00AC77DF">
        <w:t>點要求各締約國必須盡最大能力採取有效措施，並定期作出必要的修訂，在沒有歧視的情況下充分實現所有人的社會保障的權利。</w:t>
      </w:r>
    </w:p>
    <w:p w:rsidR="003807A5" w:rsidRPr="00AC77DF" w:rsidRDefault="003807A5" w:rsidP="00234F21">
      <w:pPr>
        <w:pStyle w:val="1---"/>
        <w:ind w:firstLine="480"/>
      </w:pPr>
      <w:r w:rsidRPr="00AC77DF">
        <w:t>上開一般性意見第</w:t>
      </w:r>
      <w:r w:rsidRPr="00AC77DF">
        <w:t>11</w:t>
      </w:r>
      <w:r w:rsidRPr="00AC77DF">
        <w:t>點指出：要實施社會保障權利就必須具有而且執行一種由單一的計畫或各種計畫組成的制度，以便確保為有關的社會風險和突發情況提供福利。政府部門必須負責有效地管理和監督這種制度。至於社會保障制度涵蓋的範圍，在一般性意見第</w:t>
      </w:r>
      <w:r w:rsidRPr="00AC77DF">
        <w:t>12</w:t>
      </w:r>
      <w:r w:rsidRPr="00AC77DF">
        <w:t>點指出，應包括以下</w:t>
      </w:r>
      <w:r w:rsidRPr="00AC77DF">
        <w:t>9</w:t>
      </w:r>
      <w:r w:rsidRPr="00AC77DF">
        <w:t>種主要的保障：健康服務、疾病、長者（老年人</w:t>
      </w:r>
      <w:r w:rsidRPr="00D54AFE">
        <w:rPr>
          <w:spacing w:val="-28"/>
        </w:rPr>
        <w:t>）</w:t>
      </w:r>
      <w:r w:rsidRPr="00AC77DF">
        <w:t>、失業、職業傷害、家庭和兒童支持、產婦、身心障礙、遺屬和孤兒。</w:t>
      </w:r>
    </w:p>
    <w:p w:rsidR="003807A5" w:rsidRPr="00AC77DF" w:rsidRDefault="003807A5" w:rsidP="00234F21">
      <w:pPr>
        <w:pStyle w:val="1---"/>
        <w:ind w:firstLine="480"/>
      </w:pPr>
      <w:r w:rsidRPr="00AC77DF">
        <w:t>我國憲法第</w:t>
      </w:r>
      <w:r w:rsidRPr="00AC77DF">
        <w:t>13</w:t>
      </w:r>
      <w:r w:rsidRPr="00AC77DF">
        <w:t>章第</w:t>
      </w:r>
      <w:r w:rsidRPr="00AC77DF">
        <w:t>4</w:t>
      </w:r>
      <w:r w:rsidRPr="00AC77DF">
        <w:t>節以「社會安全」為題，其中第</w:t>
      </w:r>
      <w:r w:rsidRPr="00AC77DF">
        <w:t>152</w:t>
      </w:r>
      <w:r w:rsidRPr="00AC77DF">
        <w:t>條「就業促進</w:t>
      </w:r>
      <w:r w:rsidRPr="00D54AFE">
        <w:rPr>
          <w:spacing w:val="-28"/>
        </w:rPr>
        <w:t>」</w:t>
      </w:r>
      <w:r w:rsidRPr="00AC77DF">
        <w:t>、第</w:t>
      </w:r>
      <w:r w:rsidRPr="00AC77DF">
        <w:t>153</w:t>
      </w:r>
      <w:r w:rsidRPr="00AC77DF">
        <w:t>條「保護勞工、農民、婦女與兒童」、第</w:t>
      </w:r>
      <w:r w:rsidRPr="00AC77DF">
        <w:t>155</w:t>
      </w:r>
      <w:r w:rsidRPr="00AC77DF">
        <w:t>條「社會保險、社會扶助與救濟</w:t>
      </w:r>
      <w:r w:rsidRPr="00D54AFE">
        <w:rPr>
          <w:spacing w:val="-28"/>
        </w:rPr>
        <w:t>」</w:t>
      </w:r>
      <w:r w:rsidRPr="00AC77DF">
        <w:t>、第</w:t>
      </w:r>
      <w:r w:rsidRPr="00AC77DF">
        <w:t>156</w:t>
      </w:r>
      <w:r w:rsidRPr="00AC77DF">
        <w:t>條「保護母性、婦女與兒童福利」及</w:t>
      </w:r>
      <w:r w:rsidRPr="00AC77DF">
        <w:t>157</w:t>
      </w:r>
      <w:r w:rsidRPr="00AC77DF">
        <w:t>條「公醫制度</w:t>
      </w:r>
      <w:r w:rsidRPr="00D54AFE">
        <w:rPr>
          <w:spacing w:val="-28"/>
        </w:rPr>
        <w:t>」</w:t>
      </w:r>
      <w:r w:rsidRPr="00AC77DF">
        <w:t>，皆與社會保障關係密切。如第</w:t>
      </w:r>
      <w:r w:rsidRPr="00AC77DF">
        <w:t>155</w:t>
      </w:r>
      <w:r w:rsidRPr="00AC77DF">
        <w:t>條規定</w:t>
      </w:r>
      <w:r w:rsidRPr="00D54AFE">
        <w:rPr>
          <w:spacing w:val="-28"/>
        </w:rPr>
        <w:t>：</w:t>
      </w:r>
      <w:r w:rsidRPr="00AC77DF">
        <w:t>「國家為謀社會福利，應實施社會保險制度。人民之老弱殘廢，無力生活，及受非常災害者，國家應予以適當之扶助與救濟</w:t>
      </w:r>
      <w:r w:rsidRPr="00D54AFE">
        <w:rPr>
          <w:spacing w:val="-28"/>
        </w:rPr>
        <w:t>。</w:t>
      </w:r>
      <w:r w:rsidRPr="00AC77DF">
        <w:t>」</w:t>
      </w:r>
    </w:p>
    <w:p w:rsidR="003807A5" w:rsidRDefault="003807A5" w:rsidP="00234F21">
      <w:pPr>
        <w:pStyle w:val="1---"/>
        <w:ind w:firstLine="480"/>
        <w:rPr>
          <w:lang w:eastAsia="zh-TW"/>
        </w:rPr>
      </w:pPr>
      <w:r w:rsidRPr="00AC77DF">
        <w:t>另憲法增修條文第</w:t>
      </w:r>
      <w:r w:rsidRPr="00AC77DF">
        <w:t>10</w:t>
      </w:r>
      <w:r w:rsidRPr="00AC77DF">
        <w:t>條第</w:t>
      </w:r>
      <w:r w:rsidRPr="00AC77DF">
        <w:t>5</w:t>
      </w:r>
      <w:r w:rsidRPr="00AC77DF">
        <w:t>項有關「推行全民健康保險，促進現代和傳統醫藥之研究發展</w:t>
      </w:r>
      <w:r w:rsidRPr="00D54AFE">
        <w:rPr>
          <w:spacing w:val="-28"/>
        </w:rPr>
        <w:t>」</w:t>
      </w:r>
      <w:r w:rsidRPr="00AC77DF">
        <w:t>、第</w:t>
      </w:r>
      <w:r w:rsidRPr="00AC77DF">
        <w:t>7</w:t>
      </w:r>
      <w:r w:rsidRPr="00AC77DF">
        <w:t>項有關「身心障礙者之保險與就醫、無障礙環境之建構、教育訓練與就業輔導及生活維護與救助</w:t>
      </w:r>
      <w:r w:rsidRPr="00D54AFE">
        <w:rPr>
          <w:spacing w:val="-28"/>
        </w:rPr>
        <w:t>」</w:t>
      </w:r>
      <w:r w:rsidRPr="00AC77DF">
        <w:t>、第</w:t>
      </w:r>
      <w:r w:rsidRPr="00AC77DF">
        <w:t>8</w:t>
      </w:r>
      <w:r w:rsidRPr="00AC77DF">
        <w:t>項有關「社會救助、福利服務、國民就業、社會保險及醫療保健等社會福利工作</w:t>
      </w:r>
      <w:r w:rsidRPr="00D54AFE">
        <w:rPr>
          <w:spacing w:val="-28"/>
        </w:rPr>
        <w:t>」</w:t>
      </w:r>
      <w:r w:rsidRPr="00AC77DF">
        <w:t>、第</w:t>
      </w:r>
      <w:r w:rsidRPr="00AC77DF">
        <w:t>9</w:t>
      </w:r>
      <w:r w:rsidRPr="00AC77DF">
        <w:t>項有關「軍人退役後之就學、就業、就醫、就養</w:t>
      </w:r>
      <w:r w:rsidRPr="00D54AFE">
        <w:rPr>
          <w:spacing w:val="-28"/>
        </w:rPr>
        <w:t>」</w:t>
      </w:r>
      <w:r w:rsidRPr="00AC77DF">
        <w:t>、第</w:t>
      </w:r>
      <w:r w:rsidRPr="00AC77DF">
        <w:t>12</w:t>
      </w:r>
      <w:r w:rsidRPr="00AC77DF">
        <w:t>項有關「原住民族社會福利事業之保障扶助」等規定，則充實並具體化憲法第</w:t>
      </w:r>
      <w:r w:rsidRPr="00AC77DF">
        <w:lastRenderedPageBreak/>
        <w:t>13</w:t>
      </w:r>
      <w:r w:rsidRPr="00AC77DF">
        <w:t>章第</w:t>
      </w:r>
      <w:r w:rsidRPr="00AC77DF">
        <w:t>4</w:t>
      </w:r>
      <w:r w:rsidRPr="00AC77DF">
        <w:t>節之內容。</w:t>
      </w:r>
    </w:p>
    <w:p w:rsidR="00CC0A25" w:rsidRDefault="00CC0A25" w:rsidP="00234F21">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5835"/>
      </w:tblGrid>
      <w:tr w:rsidR="00CC0A25" w:rsidTr="004469D9">
        <w:tc>
          <w:tcPr>
            <w:tcW w:w="5835" w:type="dxa"/>
            <w:shd w:val="clear" w:color="auto" w:fill="D9D9D9" w:themeFill="background1" w:themeFillShade="D9"/>
          </w:tcPr>
          <w:p w:rsidR="00CC0A25" w:rsidRDefault="00CC0A25" w:rsidP="00CC0A25">
            <w:pPr>
              <w:pStyle w:val="11-"/>
              <w:spacing w:before="72" w:after="108"/>
              <w:rPr>
                <w:lang w:eastAsia="zh-TW"/>
              </w:rPr>
            </w:pPr>
            <w:bookmarkStart w:id="652" w:name="_Toc535228422"/>
            <w:bookmarkStart w:id="653" w:name="_Toc4058834"/>
            <w:r w:rsidRPr="00AC77DF">
              <w:t>地方政府</w:t>
            </w:r>
            <w:r w:rsidRPr="00AC77DF">
              <w:rPr>
                <w:lang w:eastAsia="zh-HK"/>
              </w:rPr>
              <w:t>運用</w:t>
            </w:r>
            <w:r w:rsidRPr="00AC77DF">
              <w:t>身心障礙者就業基金</w:t>
            </w:r>
            <w:r w:rsidRPr="00AC77DF">
              <w:rPr>
                <w:lang w:eastAsia="zh-HK"/>
              </w:rPr>
              <w:t>檢視案</w:t>
            </w:r>
            <w:bookmarkEnd w:id="652"/>
            <w:bookmarkEnd w:id="653"/>
          </w:p>
        </w:tc>
      </w:tr>
    </w:tbl>
    <w:p w:rsidR="003807A5" w:rsidRPr="00AC77DF" w:rsidRDefault="003807A5" w:rsidP="00CC0A25">
      <w:pPr>
        <w:pStyle w:val="1---"/>
        <w:ind w:firstLine="480"/>
      </w:pPr>
    </w:p>
    <w:tbl>
      <w:tblPr>
        <w:tblW w:w="477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4"/>
      </w:tblGrid>
      <w:tr w:rsidR="003807A5" w:rsidRPr="00AC77DF" w:rsidTr="004469D9">
        <w:tc>
          <w:tcPr>
            <w:tcW w:w="5000" w:type="pct"/>
            <w:shd w:val="clear" w:color="auto" w:fill="auto"/>
          </w:tcPr>
          <w:p w:rsidR="003807A5" w:rsidRPr="00AC77DF" w:rsidRDefault="003807A5" w:rsidP="004469D9">
            <w:pPr>
              <w:spacing w:line="360" w:lineRule="exact"/>
              <w:jc w:val="both"/>
              <w:rPr>
                <w:color w:val="000000"/>
                <w:szCs w:val="28"/>
                <w:lang w:val="x-none"/>
              </w:rPr>
            </w:pPr>
            <w:r w:rsidRPr="00AC77DF">
              <w:rPr>
                <w:b/>
                <w:color w:val="000000"/>
                <w:szCs w:val="28"/>
                <w:lang w:val="x-none"/>
              </w:rPr>
              <w:t>相關國際人權公約：</w:t>
            </w:r>
            <w:r w:rsidRPr="00AC77DF">
              <w:t>身心障礙者權利公約第</w:t>
            </w:r>
            <w:r w:rsidRPr="00AC77DF">
              <w:t>9</w:t>
            </w:r>
            <w:r w:rsidRPr="00AC77DF">
              <w:t>條、第</w:t>
            </w:r>
            <w:r w:rsidRPr="00AC77DF">
              <w:t>27</w:t>
            </w:r>
            <w:r w:rsidRPr="00AC77DF">
              <w:t>條</w:t>
            </w:r>
          </w:p>
          <w:p w:rsidR="003807A5" w:rsidRPr="00AC77DF" w:rsidRDefault="003807A5" w:rsidP="004469D9">
            <w:pPr>
              <w:spacing w:line="360" w:lineRule="exact"/>
              <w:jc w:val="both"/>
              <w:rPr>
                <w:b/>
                <w:color w:val="000000"/>
                <w:szCs w:val="28"/>
                <w:lang w:val="x-none"/>
              </w:rPr>
            </w:pPr>
            <w:r w:rsidRPr="00AC77DF">
              <w:rPr>
                <w:b/>
              </w:rPr>
              <w:t>身心障礙者權利公約第</w:t>
            </w:r>
            <w:r w:rsidRPr="00AC77DF">
              <w:rPr>
                <w:b/>
              </w:rPr>
              <w:t>9</w:t>
            </w:r>
            <w:r w:rsidRPr="00AC77DF">
              <w:rPr>
                <w:b/>
              </w:rPr>
              <w:t>條</w:t>
            </w:r>
          </w:p>
          <w:p w:rsidR="003807A5" w:rsidRPr="00AC77DF" w:rsidRDefault="003807A5" w:rsidP="0012561D">
            <w:pPr>
              <w:kinsoku w:val="0"/>
              <w:spacing w:line="360" w:lineRule="exact"/>
              <w:ind w:left="204" w:hangingChars="85" w:hanging="204"/>
              <w:jc w:val="both"/>
              <w:rPr>
                <w:color w:val="000000"/>
                <w:szCs w:val="28"/>
                <w:lang w:val="x-none"/>
              </w:rPr>
            </w:pPr>
            <w:r w:rsidRPr="00AC77DF">
              <w:rPr>
                <w:color w:val="000000"/>
                <w:szCs w:val="28"/>
                <w:lang w:val="x-none"/>
              </w:rPr>
              <w:t>1.</w:t>
            </w:r>
            <w:r w:rsidRPr="00AC77DF">
              <w:rPr>
                <w:color w:val="000000"/>
                <w:szCs w:val="28"/>
                <w:lang w:val="x-none"/>
              </w:rPr>
              <w:t>為使身心障礙者能夠獨立生活及充分參與生活各個方面，締約國應採取適當措施，確保身心障礙者在與其他人平等基礎上，無障礙地進出物理環境，使用交通工具，利用資訊及通信，包括資訊與通信技術及系統，以及享有於都市與鄉村地區向公眾開放或提供之其他設施及服務。該等措施應包括查明及消除阻礙實現無障礙環境之因素，尤其應適用於：</w:t>
            </w:r>
          </w:p>
          <w:p w:rsidR="003807A5" w:rsidRPr="00AC77DF" w:rsidRDefault="003807A5" w:rsidP="00BD2100">
            <w:pPr>
              <w:kinsoku w:val="0"/>
              <w:spacing w:line="360" w:lineRule="exact"/>
              <w:ind w:leftChars="85" w:left="480" w:hangingChars="115" w:hanging="276"/>
              <w:jc w:val="both"/>
              <w:rPr>
                <w:color w:val="000000"/>
                <w:szCs w:val="28"/>
                <w:lang w:val="x-none"/>
              </w:rPr>
            </w:pPr>
            <w:r w:rsidRPr="00AC77DF">
              <w:rPr>
                <w:color w:val="000000"/>
                <w:szCs w:val="28"/>
                <w:lang w:val="x-none"/>
              </w:rPr>
              <w:t>(a)</w:t>
            </w:r>
            <w:r w:rsidRPr="00AC77DF">
              <w:rPr>
                <w:color w:val="000000"/>
                <w:szCs w:val="28"/>
                <w:lang w:val="x-none"/>
              </w:rPr>
              <w:t>建築、道路、交通與其他室內外設施，包括學校、住宅、醫療設施及工作場所；</w:t>
            </w:r>
          </w:p>
          <w:p w:rsidR="003807A5" w:rsidRPr="00AC77DF" w:rsidRDefault="003807A5" w:rsidP="00BD2100">
            <w:pPr>
              <w:kinsoku w:val="0"/>
              <w:spacing w:line="360" w:lineRule="exact"/>
              <w:ind w:leftChars="85" w:left="480" w:hangingChars="115" w:hanging="276"/>
              <w:jc w:val="both"/>
              <w:rPr>
                <w:color w:val="000000"/>
                <w:szCs w:val="28"/>
                <w:lang w:val="x-none"/>
              </w:rPr>
            </w:pPr>
            <w:r w:rsidRPr="00AC77DF">
              <w:rPr>
                <w:color w:val="000000"/>
                <w:szCs w:val="28"/>
                <w:lang w:val="x-none"/>
              </w:rPr>
              <w:t>(b)</w:t>
            </w:r>
            <w:r w:rsidRPr="00AC77DF">
              <w:rPr>
                <w:color w:val="000000"/>
                <w:szCs w:val="28"/>
                <w:lang w:val="x-none"/>
              </w:rPr>
              <w:t>資訊、通信及其他服務，包括電子服務及緊急服務。</w:t>
            </w:r>
          </w:p>
          <w:p w:rsidR="003807A5" w:rsidRPr="00AC77DF" w:rsidRDefault="003807A5" w:rsidP="0012561D">
            <w:pPr>
              <w:kinsoku w:val="0"/>
              <w:spacing w:line="360" w:lineRule="exact"/>
              <w:ind w:left="204" w:hangingChars="85" w:hanging="204"/>
              <w:jc w:val="both"/>
              <w:rPr>
                <w:color w:val="000000"/>
                <w:szCs w:val="28"/>
                <w:lang w:val="x-none"/>
              </w:rPr>
            </w:pPr>
            <w:r w:rsidRPr="00AC77DF">
              <w:rPr>
                <w:color w:val="000000"/>
                <w:szCs w:val="28"/>
                <w:lang w:val="x-none"/>
              </w:rPr>
              <w:t>2.</w:t>
            </w:r>
            <w:r w:rsidRPr="00AC77DF">
              <w:rPr>
                <w:color w:val="000000"/>
                <w:szCs w:val="28"/>
                <w:lang w:val="x-none"/>
              </w:rPr>
              <w:tab/>
            </w:r>
            <w:r w:rsidRPr="00AC77DF">
              <w:rPr>
                <w:color w:val="000000"/>
                <w:szCs w:val="28"/>
                <w:lang w:val="x-none"/>
              </w:rPr>
              <w:t>締約國亦應採取適當措施，以便：</w:t>
            </w:r>
          </w:p>
          <w:p w:rsidR="003807A5" w:rsidRPr="00AC77DF" w:rsidRDefault="003807A5" w:rsidP="00BD2100">
            <w:pPr>
              <w:kinsoku w:val="0"/>
              <w:spacing w:line="360" w:lineRule="exact"/>
              <w:ind w:leftChars="85" w:left="480" w:hangingChars="115" w:hanging="276"/>
              <w:jc w:val="both"/>
              <w:rPr>
                <w:color w:val="000000"/>
                <w:szCs w:val="28"/>
                <w:lang w:val="x-none"/>
              </w:rPr>
            </w:pPr>
            <w:r w:rsidRPr="00AC77DF">
              <w:rPr>
                <w:color w:val="000000"/>
                <w:szCs w:val="28"/>
                <w:lang w:val="x-none"/>
              </w:rPr>
              <w:t>(a)</w:t>
            </w:r>
            <w:r w:rsidRPr="00AC77DF">
              <w:rPr>
                <w:color w:val="000000"/>
                <w:szCs w:val="28"/>
                <w:lang w:val="x-none"/>
              </w:rPr>
              <w:t>擬訂、發布並監測向公眾開放或提供之設施與服務為無障礙使用之最低標準及準則；</w:t>
            </w:r>
          </w:p>
          <w:p w:rsidR="003807A5" w:rsidRPr="00AC77DF" w:rsidRDefault="003807A5" w:rsidP="00BD2100">
            <w:pPr>
              <w:kinsoku w:val="0"/>
              <w:spacing w:line="360" w:lineRule="exact"/>
              <w:ind w:leftChars="85" w:left="480" w:hangingChars="115" w:hanging="276"/>
              <w:jc w:val="both"/>
              <w:rPr>
                <w:color w:val="000000"/>
                <w:szCs w:val="28"/>
                <w:lang w:val="x-none"/>
              </w:rPr>
            </w:pPr>
            <w:r w:rsidRPr="00AC77DF">
              <w:rPr>
                <w:color w:val="000000"/>
                <w:szCs w:val="28"/>
                <w:lang w:val="x-none"/>
              </w:rPr>
              <w:t>(b)</w:t>
            </w:r>
            <w:r w:rsidRPr="00AC77DF">
              <w:rPr>
                <w:color w:val="000000"/>
                <w:szCs w:val="28"/>
                <w:lang w:val="x-none"/>
              </w:rPr>
              <w:t>確保私人單位向公眾開放或為公眾提供之設施與服務能考慮身心障礙者無障礙之所有面向；</w:t>
            </w:r>
          </w:p>
          <w:p w:rsidR="003807A5" w:rsidRPr="00AC77DF" w:rsidRDefault="003807A5" w:rsidP="00BD2100">
            <w:pPr>
              <w:kinsoku w:val="0"/>
              <w:spacing w:line="360" w:lineRule="exact"/>
              <w:ind w:leftChars="85" w:left="480" w:hangingChars="115" w:hanging="276"/>
              <w:jc w:val="both"/>
              <w:rPr>
                <w:color w:val="000000"/>
                <w:szCs w:val="28"/>
                <w:lang w:val="x-none"/>
              </w:rPr>
            </w:pPr>
            <w:r w:rsidRPr="00AC77DF">
              <w:rPr>
                <w:color w:val="000000"/>
                <w:szCs w:val="28"/>
                <w:lang w:val="x-none"/>
              </w:rPr>
              <w:t>(c)</w:t>
            </w:r>
            <w:r w:rsidRPr="00AC77DF">
              <w:rPr>
                <w:color w:val="000000"/>
                <w:szCs w:val="28"/>
                <w:lang w:val="x-none"/>
              </w:rPr>
              <w:t>提供相關人員對於身心障礙者之無障礙議題培訓；</w:t>
            </w:r>
          </w:p>
          <w:p w:rsidR="003807A5" w:rsidRPr="00AC77DF" w:rsidRDefault="003807A5" w:rsidP="00BD2100">
            <w:pPr>
              <w:kinsoku w:val="0"/>
              <w:spacing w:line="360" w:lineRule="exact"/>
              <w:ind w:leftChars="85" w:left="480" w:hangingChars="115" w:hanging="276"/>
              <w:jc w:val="both"/>
              <w:rPr>
                <w:color w:val="000000"/>
                <w:szCs w:val="28"/>
                <w:lang w:val="x-none"/>
              </w:rPr>
            </w:pPr>
            <w:r w:rsidRPr="00AC77DF">
              <w:rPr>
                <w:color w:val="000000"/>
                <w:szCs w:val="28"/>
                <w:lang w:val="x-none"/>
              </w:rPr>
              <w:t>(d)</w:t>
            </w:r>
            <w:r w:rsidRPr="00AC77DF">
              <w:rPr>
                <w:color w:val="000000"/>
                <w:szCs w:val="28"/>
                <w:lang w:val="x-none"/>
              </w:rPr>
              <w:t>於向公眾開放之建築與其他設施中提供點字標誌及易讀易懂之標誌；</w:t>
            </w:r>
          </w:p>
          <w:p w:rsidR="003807A5" w:rsidRPr="00AC77DF" w:rsidRDefault="003807A5" w:rsidP="00BD2100">
            <w:pPr>
              <w:kinsoku w:val="0"/>
              <w:spacing w:line="360" w:lineRule="exact"/>
              <w:ind w:leftChars="85" w:left="480" w:hangingChars="115" w:hanging="276"/>
              <w:jc w:val="both"/>
              <w:rPr>
                <w:color w:val="000000"/>
                <w:szCs w:val="28"/>
                <w:lang w:val="x-none"/>
              </w:rPr>
            </w:pPr>
            <w:r w:rsidRPr="00AC77DF">
              <w:rPr>
                <w:color w:val="000000"/>
                <w:szCs w:val="28"/>
                <w:lang w:val="x-none"/>
              </w:rPr>
              <w:lastRenderedPageBreak/>
              <w:t>(e)</w:t>
            </w:r>
            <w:r w:rsidRPr="00AC77DF">
              <w:rPr>
                <w:color w:val="000000"/>
                <w:szCs w:val="28"/>
                <w:lang w:val="x-none"/>
              </w:rPr>
              <w:t>提供各種形式之現場協助及中介，包括提供嚮導、報讀員及專業手語翻譯員，以利無障礙使用向公眾開放之建築與其他設施；</w:t>
            </w:r>
          </w:p>
          <w:p w:rsidR="003807A5" w:rsidRPr="00AC77DF" w:rsidRDefault="003807A5" w:rsidP="00BD2100">
            <w:pPr>
              <w:kinsoku w:val="0"/>
              <w:spacing w:line="360" w:lineRule="exact"/>
              <w:ind w:leftChars="85" w:left="480" w:hangingChars="115" w:hanging="276"/>
              <w:jc w:val="both"/>
              <w:rPr>
                <w:color w:val="000000"/>
                <w:szCs w:val="28"/>
                <w:lang w:val="x-none"/>
              </w:rPr>
            </w:pPr>
            <w:r w:rsidRPr="00AC77DF">
              <w:rPr>
                <w:color w:val="000000"/>
                <w:szCs w:val="28"/>
                <w:lang w:val="x-none"/>
              </w:rPr>
              <w:t>(f)</w:t>
            </w:r>
            <w:r w:rsidRPr="00AC77DF">
              <w:rPr>
                <w:color w:val="000000"/>
                <w:szCs w:val="28"/>
                <w:lang w:val="x-none"/>
              </w:rPr>
              <w:t>促進其他適當形式之協助與支持，以確保身心障礙者獲得資訊；</w:t>
            </w:r>
          </w:p>
          <w:p w:rsidR="003807A5" w:rsidRPr="00AC77DF" w:rsidRDefault="003807A5" w:rsidP="00BD2100">
            <w:pPr>
              <w:kinsoku w:val="0"/>
              <w:spacing w:line="360" w:lineRule="exact"/>
              <w:ind w:leftChars="85" w:left="480" w:hangingChars="115" w:hanging="276"/>
              <w:jc w:val="both"/>
              <w:rPr>
                <w:color w:val="000000"/>
                <w:szCs w:val="28"/>
                <w:lang w:val="x-none"/>
              </w:rPr>
            </w:pPr>
            <w:r w:rsidRPr="00AC77DF">
              <w:rPr>
                <w:color w:val="000000"/>
                <w:szCs w:val="28"/>
                <w:lang w:val="x-none"/>
              </w:rPr>
              <w:t>(g)</w:t>
            </w:r>
            <w:r w:rsidRPr="00AC77DF">
              <w:rPr>
                <w:color w:val="000000"/>
                <w:szCs w:val="28"/>
                <w:lang w:val="x-none"/>
              </w:rPr>
              <w:t>促進身心障礙者有機會使用新資訊與通信技術及系統，包括網際網路；</w:t>
            </w:r>
          </w:p>
          <w:p w:rsidR="003807A5" w:rsidRPr="00AC77DF" w:rsidRDefault="003807A5" w:rsidP="00D1049F">
            <w:pPr>
              <w:kinsoku w:val="0"/>
              <w:spacing w:afterLines="30" w:after="108" w:line="360" w:lineRule="exact"/>
              <w:ind w:leftChars="85" w:left="480" w:hangingChars="115" w:hanging="276"/>
              <w:jc w:val="both"/>
              <w:rPr>
                <w:color w:val="000000"/>
                <w:szCs w:val="28"/>
                <w:lang w:val="x-none"/>
              </w:rPr>
            </w:pPr>
            <w:r w:rsidRPr="00AC77DF">
              <w:rPr>
                <w:color w:val="000000"/>
                <w:szCs w:val="28"/>
                <w:lang w:val="x-none"/>
              </w:rPr>
              <w:t>(h)</w:t>
            </w:r>
            <w:r w:rsidRPr="00AC77DF">
              <w:rPr>
                <w:color w:val="000000"/>
                <w:szCs w:val="28"/>
                <w:lang w:val="x-none"/>
              </w:rPr>
              <w:t>促進於早期階段設計、開發、生產、推行無障礙資訊與通信技術及系統，以便能以最低成本使該等技術及系統無障礙。</w:t>
            </w:r>
          </w:p>
        </w:tc>
      </w:tr>
    </w:tbl>
    <w:p w:rsidR="003807A5" w:rsidRPr="00AC77DF" w:rsidRDefault="00E96100" w:rsidP="00DE66F8">
      <w:pPr>
        <w:pStyle w:val="afff1"/>
        <w:spacing w:before="360" w:after="360"/>
      </w:pPr>
      <w:r>
        <w:rPr>
          <w:rFonts w:hint="eastAsia"/>
        </w:rPr>
        <w:lastRenderedPageBreak/>
        <w:t>(一)</w:t>
      </w:r>
      <w:r w:rsidR="003807A5" w:rsidRPr="00AC77DF">
        <w:t>案情簡述</w:t>
      </w:r>
    </w:p>
    <w:p w:rsidR="003807A5" w:rsidRPr="00AC77DF" w:rsidRDefault="003807A5" w:rsidP="00234F21">
      <w:pPr>
        <w:pStyle w:val="1---"/>
        <w:ind w:firstLine="480"/>
        <w:rPr>
          <w:b/>
        </w:rPr>
      </w:pPr>
      <w:r w:rsidRPr="00AC77DF">
        <w:t>據悉，地方政府為解決財政危機，竟違法調度與弱勢照顧息息相關之基金。然該等基金係專為人民維持其一定生活質量，滿足其物質和精神基本需要之專項資金，弱勢者對此基金依賴甚鉅。各縣市是否依法專款專用？抑或巧立名目，任意</w:t>
      </w:r>
      <w:r w:rsidR="004C24DA">
        <w:rPr>
          <w:rFonts w:hint="eastAsia"/>
        </w:rPr>
        <w:t>「</w:t>
      </w:r>
      <w:r w:rsidRPr="00AC77DF">
        <w:t>淘空</w:t>
      </w:r>
      <w:r w:rsidRPr="00D54AFE">
        <w:rPr>
          <w:spacing w:val="-28"/>
        </w:rPr>
        <w:t>」</w:t>
      </w:r>
      <w:r w:rsidRPr="00AC77DF">
        <w:t>？主管機關有無落實稽核機制？實有深入瞭解之必要，監察委員爰立案調查。</w:t>
      </w:r>
    </w:p>
    <w:p w:rsidR="003807A5" w:rsidRPr="00AC77DF" w:rsidRDefault="00E96100" w:rsidP="00DE66F8">
      <w:pPr>
        <w:pStyle w:val="afff1"/>
        <w:spacing w:before="360" w:after="360"/>
      </w:pPr>
      <w:r>
        <w:rPr>
          <w:rFonts w:hint="eastAsia"/>
        </w:rPr>
        <w:t>(二)</w:t>
      </w:r>
      <w:r w:rsidR="003807A5" w:rsidRPr="00AC77DF">
        <w:t>監察院調查發現與建議</w:t>
      </w:r>
    </w:p>
    <w:p w:rsidR="003807A5" w:rsidRPr="00AC77DF" w:rsidRDefault="000B4370" w:rsidP="00564517">
      <w:pPr>
        <w:pStyle w:val="1--13"/>
        <w:spacing w:before="180" w:after="180"/>
      </w:pPr>
      <w:r w:rsidRPr="008E1832">
        <w:rPr>
          <w:rFonts w:hint="eastAsia"/>
        </w:rPr>
        <w:t>˙</w:t>
      </w:r>
      <w:r w:rsidR="003807A5" w:rsidRPr="00AC77DF">
        <w:t>各地身心障礙者就業基金餘額差距過大</w:t>
      </w:r>
    </w:p>
    <w:p w:rsidR="003807A5" w:rsidRPr="00AC77DF" w:rsidRDefault="003807A5" w:rsidP="00234F21">
      <w:pPr>
        <w:pStyle w:val="1---"/>
        <w:ind w:firstLine="480"/>
        <w:rPr>
          <w:lang w:eastAsia="zh-TW"/>
        </w:rPr>
      </w:pPr>
      <w:r w:rsidRPr="00AC77DF">
        <w:t>勞動部為改善各縣市身心障礙者就業基金餘額差距過大之</w:t>
      </w:r>
      <w:r w:rsidRPr="00AC77DF">
        <w:lastRenderedPageBreak/>
        <w:t>問題，雖已於</w:t>
      </w:r>
      <w:r w:rsidRPr="00AC77DF">
        <w:t>97</w:t>
      </w:r>
      <w:r w:rsidRPr="00AC77DF">
        <w:t>年</w:t>
      </w:r>
      <w:r w:rsidRPr="00AC77DF">
        <w:t>2</w:t>
      </w:r>
      <w:r w:rsidRPr="00AC77DF">
        <w:t>月</w:t>
      </w:r>
      <w:r w:rsidRPr="00AC77DF">
        <w:t>12</w:t>
      </w:r>
      <w:r w:rsidRPr="00AC77DF">
        <w:t>日訂定發布「身心障礙者就業基金撥交就業安定基金提撥及分配辦法</w:t>
      </w:r>
      <w:r w:rsidRPr="00D54AFE">
        <w:rPr>
          <w:spacing w:val="-28"/>
        </w:rPr>
        <w:t>」</w:t>
      </w:r>
      <w:r w:rsidRPr="00AC77DF">
        <w:t>，惟各縣市該基金之收入及餘額仍存有極大差距，該部卻僅於</w:t>
      </w:r>
      <w:r w:rsidRPr="00AC77DF">
        <w:t>103</w:t>
      </w:r>
      <w:r w:rsidRPr="00AC77DF">
        <w:t>年間被動因應審計單位關注，經由蒐集地方政府意見並討論後，即決定維持現況。</w:t>
      </w:r>
    </w:p>
    <w:p w:rsidR="003807A5" w:rsidRPr="00AC77DF" w:rsidRDefault="000B4370" w:rsidP="00564517">
      <w:pPr>
        <w:pStyle w:val="1--13"/>
        <w:spacing w:before="180" w:after="180"/>
      </w:pPr>
      <w:r w:rsidRPr="008E1832">
        <w:rPr>
          <w:rFonts w:hint="eastAsia"/>
        </w:rPr>
        <w:t>˙</w:t>
      </w:r>
      <w:r w:rsidR="003807A5" w:rsidRPr="00AC77DF">
        <w:t>中央未依限撥付差額補助費統籌分配款</w:t>
      </w:r>
    </w:p>
    <w:p w:rsidR="003807A5" w:rsidRPr="00AC77DF" w:rsidRDefault="003807A5" w:rsidP="00234F21">
      <w:pPr>
        <w:pStyle w:val="1---"/>
        <w:ind w:firstLine="480"/>
      </w:pPr>
      <w:r w:rsidRPr="00AC77DF">
        <w:t>勞動部於</w:t>
      </w:r>
      <w:r w:rsidRPr="00AC77DF">
        <w:t>100</w:t>
      </w:r>
      <w:r w:rsidRPr="00AC77DF">
        <w:t>年至</w:t>
      </w:r>
      <w:r w:rsidRPr="00AC77DF">
        <w:t>105</w:t>
      </w:r>
      <w:r w:rsidRPr="00AC77DF">
        <w:t>年皆未能於期限內完成差額補助費統籌分配款項之撥付作業，甚有延宕半年，影響各縣市該基金之收支運用。</w:t>
      </w:r>
    </w:p>
    <w:p w:rsidR="003807A5" w:rsidRPr="00AC77DF" w:rsidRDefault="000B4370" w:rsidP="00564517">
      <w:pPr>
        <w:pStyle w:val="1--13"/>
        <w:spacing w:before="180" w:after="180"/>
      </w:pPr>
      <w:r w:rsidRPr="008E1832">
        <w:rPr>
          <w:rFonts w:hint="eastAsia"/>
        </w:rPr>
        <w:t>˙</w:t>
      </w:r>
      <w:r w:rsidR="003807A5" w:rsidRPr="00AC77DF">
        <w:t>未積極促進身心障礙者就業</w:t>
      </w:r>
    </w:p>
    <w:p w:rsidR="003807A5" w:rsidRPr="00AC77DF" w:rsidRDefault="003807A5" w:rsidP="00234F21">
      <w:pPr>
        <w:pStyle w:val="1---"/>
        <w:ind w:firstLine="480"/>
      </w:pPr>
      <w:r w:rsidRPr="00AC77DF">
        <w:t>大部分縣市對於身心障礙者就業基金之運用範圍以「其他」項目之比率為最高，</w:t>
      </w:r>
      <w:r w:rsidRPr="00AC77DF">
        <w:t>3</w:t>
      </w:r>
      <w:r w:rsidRPr="00AC77DF">
        <w:t>成以上者計有</w:t>
      </w:r>
      <w:r w:rsidRPr="00AC77DF">
        <w:t>13</w:t>
      </w:r>
      <w:r w:rsidRPr="00AC77DF">
        <w:t>個縣市；而對積極促進身心障礙者就業直接相關項目之比率又偏低，僅</w:t>
      </w:r>
      <w:r w:rsidRPr="00AC77DF">
        <w:t>9</w:t>
      </w:r>
      <w:r w:rsidRPr="00AC77DF">
        <w:t>個縣市超過</w:t>
      </w:r>
      <w:r w:rsidRPr="00AC77DF">
        <w:t>5</w:t>
      </w:r>
      <w:r w:rsidRPr="00AC77DF">
        <w:t>成，可見地方政府對身心障礙者就業促進事項之推動，仍屬消極。</w:t>
      </w:r>
    </w:p>
    <w:p w:rsidR="003807A5" w:rsidRPr="00AC77DF" w:rsidRDefault="003807A5" w:rsidP="00234F21">
      <w:pPr>
        <w:pStyle w:val="1---"/>
        <w:ind w:firstLine="480"/>
      </w:pPr>
      <w:r w:rsidRPr="00AC77DF">
        <w:t>各地方政府以身心障礙者就業基金核發超額進用獎勵金及獎勵僱用津貼之比率雖呈逐年降低之趨勢，惟</w:t>
      </w:r>
      <w:r w:rsidRPr="00AC77DF">
        <w:t>104</w:t>
      </w:r>
      <w:r w:rsidRPr="00AC77DF">
        <w:t>年部分縣市核發比率仍高，甚有達到將近</w:t>
      </w:r>
      <w:r w:rsidRPr="00AC77DF">
        <w:t>5</w:t>
      </w:r>
      <w:r w:rsidRPr="00AC77DF">
        <w:t>成者。</w:t>
      </w:r>
    </w:p>
    <w:p w:rsidR="003807A5" w:rsidRPr="00AC77DF" w:rsidRDefault="003807A5" w:rsidP="00234F21">
      <w:pPr>
        <w:pStyle w:val="1---"/>
        <w:ind w:firstLine="480"/>
        <w:rPr>
          <w:lang w:eastAsia="zh-TW"/>
        </w:rPr>
      </w:pPr>
      <w:r w:rsidRPr="00AC77DF">
        <w:t>101</w:t>
      </w:r>
      <w:r w:rsidRPr="00AC77DF">
        <w:t>至</w:t>
      </w:r>
      <w:r w:rsidRPr="00AC77DF">
        <w:t>104</w:t>
      </w:r>
      <w:r w:rsidRPr="00AC77DF">
        <w:t>年計有</w:t>
      </w:r>
      <w:r w:rsidRPr="00AC77DF">
        <w:t>10</w:t>
      </w:r>
      <w:r w:rsidRPr="00AC77DF">
        <w:t>個地方政府未依法編列公務預算辦理身心障礙者就業促進業務；即使有編列者，金額仍屬偏低，亦有逐年減少情形，足見勞動部未能有效督促改善。</w:t>
      </w:r>
    </w:p>
    <w:p w:rsidR="003807A5" w:rsidRPr="00AC77DF" w:rsidRDefault="003807A5" w:rsidP="00BD2100">
      <w:pPr>
        <w:pStyle w:val="1---"/>
        <w:ind w:firstLine="480"/>
        <w:jc w:val="distribute"/>
      </w:pPr>
      <w:r w:rsidRPr="00AC77DF">
        <w:t>各地方政府推動身心障礙者就業促進業務之經費總額逐年減少，並多倚賴不穩定之財源，勞動部應正視並積極研謀因應</w:t>
      </w:r>
      <w:r w:rsidRPr="00BD2100">
        <w:rPr>
          <w:spacing w:val="-2"/>
        </w:rPr>
        <w:t>改善對策，挹注足夠且穩定之資源，排除身心障礙者就業障礙。</w:t>
      </w:r>
    </w:p>
    <w:p w:rsidR="003807A5" w:rsidRPr="00AC77DF" w:rsidRDefault="003807A5" w:rsidP="00234F21">
      <w:pPr>
        <w:pStyle w:val="1---"/>
        <w:ind w:firstLine="480"/>
        <w:rPr>
          <w:lang w:eastAsia="zh-TW"/>
        </w:rPr>
      </w:pPr>
      <w:r w:rsidRPr="00AC77DF">
        <w:lastRenderedPageBreak/>
        <w:t>101</w:t>
      </w:r>
      <w:r w:rsidRPr="00AC77DF">
        <w:t>至</w:t>
      </w:r>
      <w:r w:rsidRPr="00AC77DF">
        <w:t>104</w:t>
      </w:r>
      <w:r w:rsidRPr="00AC77DF">
        <w:t>年部分地方政府運用身心障礙者就業基金辦理身心障礙者就業促進相關服務之成效欠佳，又身心障礙者於非都會或偏遠地區就業困難，惟在地提供服務之民間團體數量不足，以致服務量能不足，推展身心障礙者就業服務更具挑戰及艱困，勞動部應積極協助地方政府扶持在地服務資源，以提升身心障礙者就業服務品質。</w:t>
      </w:r>
    </w:p>
    <w:p w:rsidR="003807A5" w:rsidRPr="00AC77DF" w:rsidRDefault="003807A5" w:rsidP="00234F21">
      <w:pPr>
        <w:pStyle w:val="1---"/>
        <w:ind w:firstLine="480"/>
      </w:pPr>
      <w:r w:rsidRPr="00AC77DF">
        <w:t>各地方政府辦理身心障礙者就業基金業務之專責人力配置差距頗大，勞動部宜督導評估適宜人力數，俾使該基金發揮最大效益。</w:t>
      </w:r>
    </w:p>
    <w:p w:rsidR="003807A5" w:rsidRPr="00AC77DF" w:rsidRDefault="000B4370" w:rsidP="00564517">
      <w:pPr>
        <w:pStyle w:val="1--13"/>
        <w:spacing w:before="180" w:after="180"/>
      </w:pPr>
      <w:r w:rsidRPr="008E1832">
        <w:rPr>
          <w:rFonts w:hint="eastAsia"/>
        </w:rPr>
        <w:t>˙</w:t>
      </w:r>
      <w:r w:rsidR="003807A5" w:rsidRPr="00AC77DF">
        <w:t>缺乏查核及監督機制</w:t>
      </w:r>
    </w:p>
    <w:p w:rsidR="003807A5" w:rsidRPr="00AC77DF" w:rsidRDefault="003807A5" w:rsidP="00234F21">
      <w:pPr>
        <w:pStyle w:val="1---"/>
        <w:ind w:firstLine="480"/>
      </w:pPr>
      <w:r w:rsidRPr="00AC77DF">
        <w:t>目前</w:t>
      </w:r>
      <w:r w:rsidRPr="00AC77DF">
        <w:t>8</w:t>
      </w:r>
      <w:r w:rsidRPr="00AC77DF">
        <w:t>個地方政府已將身心障礙者就業基金納入集中支付供縣（市）庫資金統一調度使用，惟勞動部卻缺乏相關查核及監督機制，以確保該基金之支出運用未受到集中支付之作法而有所影響及妨礙。</w:t>
      </w:r>
    </w:p>
    <w:p w:rsidR="003807A5" w:rsidRPr="00AC77DF" w:rsidRDefault="003807A5" w:rsidP="00234F21">
      <w:pPr>
        <w:pStyle w:val="1---"/>
        <w:ind w:firstLine="480"/>
      </w:pPr>
      <w:r w:rsidRPr="00AC77DF">
        <w:t>101</w:t>
      </w:r>
      <w:r w:rsidRPr="00AC77DF">
        <w:t>年至</w:t>
      </w:r>
      <w:r w:rsidRPr="00AC77DF">
        <w:t>104</w:t>
      </w:r>
      <w:r w:rsidRPr="00AC77DF">
        <w:t>年部分地方政府以身心障礙者就業基金用於非屬促進身心障礙者就業事項，且對該基金收支管理機制亦有闕漏，惟勞動部卻全然不知，於歷次評鑑時均未發現相關缺失，顯未能落實督導考核。</w:t>
      </w:r>
    </w:p>
    <w:p w:rsidR="003807A5" w:rsidRPr="00AC77DF" w:rsidRDefault="003807A5" w:rsidP="00234F21">
      <w:pPr>
        <w:pStyle w:val="1---"/>
        <w:ind w:firstLine="480"/>
      </w:pPr>
      <w:r w:rsidRPr="00AC77DF">
        <w:t>勞動部對各縣市身心障礙者就業基金收支運用情形之督導，僅賴</w:t>
      </w:r>
      <w:r w:rsidRPr="00AC77DF">
        <w:t>2</w:t>
      </w:r>
      <w:r w:rsidRPr="00AC77DF">
        <w:t>年</w:t>
      </w:r>
      <w:r w:rsidRPr="00AC77DF">
        <w:t>1</w:t>
      </w:r>
      <w:r w:rsidRPr="00AC77DF">
        <w:t>次之業務評鑑考核，</w:t>
      </w:r>
      <w:r w:rsidRPr="00AC77DF">
        <w:t>104</w:t>
      </w:r>
      <w:r w:rsidRPr="00AC77DF">
        <w:t>年評鑑時甚至僅餘</w:t>
      </w:r>
      <w:r w:rsidRPr="00AC77DF">
        <w:t>2</w:t>
      </w:r>
      <w:r w:rsidRPr="00AC77DF">
        <w:t>項共占</w:t>
      </w:r>
      <w:r w:rsidRPr="00AC77DF">
        <w:t>2</w:t>
      </w:r>
      <w:r w:rsidRPr="00AC77DF">
        <w:t>分，難以有效監督。</w:t>
      </w:r>
    </w:p>
    <w:p w:rsidR="003807A5" w:rsidRPr="00AC77DF" w:rsidRDefault="003807A5" w:rsidP="00234F21">
      <w:pPr>
        <w:pStyle w:val="1---"/>
        <w:ind w:firstLine="480"/>
      </w:pPr>
      <w:r w:rsidRPr="00AC77DF">
        <w:t>101</w:t>
      </w:r>
      <w:r w:rsidRPr="00AC77DF">
        <w:t>至</w:t>
      </w:r>
      <w:r w:rsidRPr="00AC77DF">
        <w:t>104</w:t>
      </w:r>
      <w:r w:rsidRPr="00AC77DF">
        <w:t>年各地方政府依</w:t>
      </w:r>
      <w:r w:rsidR="00C57675" w:rsidRPr="00AC77DF">
        <w:t>身權法</w:t>
      </w:r>
      <w:r w:rsidRPr="00AC77DF">
        <w:t>第</w:t>
      </w:r>
      <w:r w:rsidRPr="00AC77DF">
        <w:t>88</w:t>
      </w:r>
      <w:r w:rsidRPr="00AC77DF">
        <w:t>條規定所處罰鍰甚少，致使該裁罰形同具文；又部分於</w:t>
      </w:r>
      <w:r w:rsidRPr="00AC77DF">
        <w:t>101</w:t>
      </w:r>
      <w:r w:rsidRPr="00AC77DF">
        <w:t>至</w:t>
      </w:r>
      <w:r w:rsidRPr="00AC77DF">
        <w:t>104</w:t>
      </w:r>
      <w:r w:rsidRPr="00AC77DF">
        <w:t>年均無罰鍰收入之地方政府，營建署考評「改善完成件數」與「替代改善計</w:t>
      </w:r>
      <w:r w:rsidRPr="00AC77DF">
        <w:lastRenderedPageBreak/>
        <w:t>畫改善完竣案件率」成績欠佳，</w:t>
      </w:r>
      <w:r w:rsidR="004D0068">
        <w:t>顯示</w:t>
      </w:r>
      <w:r w:rsidRPr="00AC77DF">
        <w:t>該署未能積極督促落實裁罰，又未能評估地方政府以勘查輔導方式替代裁罰手段之具體成效。</w:t>
      </w:r>
    </w:p>
    <w:p w:rsidR="003807A5" w:rsidRPr="00AC77DF" w:rsidRDefault="000B4370" w:rsidP="00564517">
      <w:pPr>
        <w:pStyle w:val="1--13"/>
        <w:spacing w:before="180" w:after="180"/>
      </w:pPr>
      <w:r w:rsidRPr="008E1832">
        <w:rPr>
          <w:rFonts w:hint="eastAsia"/>
        </w:rPr>
        <w:t>˙</w:t>
      </w:r>
      <w:r w:rsidR="003807A5" w:rsidRPr="00AC77DF">
        <w:t>未依法成立無障礙設施改善基金</w:t>
      </w:r>
    </w:p>
    <w:p w:rsidR="003807A5" w:rsidRPr="00AC77DF" w:rsidRDefault="003807A5" w:rsidP="00234F21">
      <w:pPr>
        <w:pStyle w:val="1---"/>
        <w:ind w:firstLine="480"/>
      </w:pPr>
      <w:r w:rsidRPr="00AC77DF">
        <w:t>11</w:t>
      </w:r>
      <w:r w:rsidRPr="00AC77DF">
        <w:t>個地方政府迄未依法成立無障礙設施改善基金，</w:t>
      </w:r>
      <w:r w:rsidR="004D0068">
        <w:t>顯示</w:t>
      </w:r>
      <w:r w:rsidRPr="00AC77DF">
        <w:t>營建署長期以來未能善盡督導之責。各縣市該基金收入及餘額多呈現急遽萎縮下，猶未能積極通盤檢討及評估該基金規模、實際運作成效及繼續存在效益，據以研謀因應對策。</w:t>
      </w:r>
    </w:p>
    <w:p w:rsidR="003807A5" w:rsidRPr="00AC77DF" w:rsidRDefault="003807A5" w:rsidP="00234F21">
      <w:pPr>
        <w:pStyle w:val="1---"/>
        <w:ind w:firstLine="480"/>
      </w:pPr>
      <w:r w:rsidRPr="00AC77DF">
        <w:t>各縣市無障礙設施改善基金管理委員會依規定應每</w:t>
      </w:r>
      <w:r w:rsidRPr="00AC77DF">
        <w:t>3</w:t>
      </w:r>
      <w:r w:rsidRPr="00AC77DF">
        <w:t>個月開會</w:t>
      </w:r>
      <w:r w:rsidRPr="00AC77DF">
        <w:t>1</w:t>
      </w:r>
      <w:r w:rsidRPr="00AC77DF">
        <w:t>次，經查</w:t>
      </w:r>
      <w:r w:rsidRPr="00AC77DF">
        <w:t>101</w:t>
      </w:r>
      <w:r w:rsidRPr="00AC77DF">
        <w:t>至</w:t>
      </w:r>
      <w:r w:rsidRPr="00AC77DF">
        <w:t>104</w:t>
      </w:r>
      <w:r w:rsidRPr="00AC77DF">
        <w:t>年每年開會次數未達</w:t>
      </w:r>
      <w:r w:rsidRPr="00AC77DF">
        <w:t>4</w:t>
      </w:r>
      <w:r w:rsidRPr="00AC77DF">
        <w:t>次者，分別多達</w:t>
      </w:r>
      <w:r w:rsidRPr="00AC77DF">
        <w:t>18</w:t>
      </w:r>
      <w:r w:rsidRPr="00AC77DF">
        <w:t>、</w:t>
      </w:r>
      <w:r w:rsidRPr="00AC77DF">
        <w:t>16</w:t>
      </w:r>
      <w:r w:rsidRPr="00AC77DF">
        <w:t>、</w:t>
      </w:r>
      <w:r w:rsidRPr="00AC77DF">
        <w:t>14</w:t>
      </w:r>
      <w:r w:rsidRPr="00AC77DF">
        <w:t>及</w:t>
      </w:r>
      <w:r w:rsidRPr="00AC77DF">
        <w:t>11</w:t>
      </w:r>
      <w:r w:rsidRPr="00AC77DF">
        <w:t>個縣市，甚有</w:t>
      </w:r>
      <w:r w:rsidRPr="00AC77DF">
        <w:t>0</w:t>
      </w:r>
      <w:r w:rsidRPr="00AC77DF">
        <w:t>次及</w:t>
      </w:r>
      <w:r w:rsidRPr="00AC77DF">
        <w:t>1</w:t>
      </w:r>
      <w:r w:rsidRPr="00AC77DF">
        <w:t>次者，惟營建署每年皆進行相關督考，卻未能積極督導改善，亦未檢討該項法規窒礙難行之處。</w:t>
      </w:r>
    </w:p>
    <w:p w:rsidR="003807A5" w:rsidRPr="00AC77DF" w:rsidRDefault="003807A5" w:rsidP="00234F21">
      <w:pPr>
        <w:pStyle w:val="1---"/>
        <w:ind w:firstLine="480"/>
      </w:pPr>
      <w:r w:rsidRPr="00AC77DF">
        <w:t>宜蘭縣無障礙設施改善基金規模甚小，截至</w:t>
      </w:r>
      <w:r w:rsidRPr="00AC77DF">
        <w:t>104</w:t>
      </w:r>
      <w:r w:rsidRPr="00AC77DF">
        <w:t>年底餘額僅</w:t>
      </w:r>
      <w:r w:rsidRPr="00AC77DF">
        <w:t>92</w:t>
      </w:r>
      <w:r w:rsidRPr="00AC77DF">
        <w:t>萬餘元，惟該基金每年皆提撥行政成本費用繳入縣庫，</w:t>
      </w:r>
      <w:r w:rsidRPr="00AC77DF">
        <w:t>105</w:t>
      </w:r>
      <w:r w:rsidRPr="00AC77DF">
        <w:t>年提撥甚至高達</w:t>
      </w:r>
      <w:r w:rsidRPr="00AC77DF">
        <w:t>27</w:t>
      </w:r>
      <w:r w:rsidRPr="00AC77DF">
        <w:t>萬餘元，似非合理，惟營建署卻毫無所悉。</w:t>
      </w:r>
    </w:p>
    <w:p w:rsidR="003807A5" w:rsidRPr="00AC77DF" w:rsidRDefault="003807A5" w:rsidP="00234F21">
      <w:pPr>
        <w:pStyle w:val="1---"/>
        <w:ind w:firstLine="480"/>
        <w:rPr>
          <w:b/>
        </w:rPr>
      </w:pPr>
      <w:r w:rsidRPr="00AC77DF">
        <w:t>營建署宜妥為研議無障礙設施改善基金是否應優先或限於使用於民間建築物無障礙設備與設施之改善，讓有限資源挹注民間單位。</w:t>
      </w:r>
    </w:p>
    <w:p w:rsidR="003807A5" w:rsidRPr="00AC77DF" w:rsidRDefault="003807A5" w:rsidP="00234F21">
      <w:pPr>
        <w:pStyle w:val="1---"/>
        <w:ind w:firstLine="480"/>
      </w:pPr>
      <w:r w:rsidRPr="00AC77DF">
        <w:t>依據本案調查意見</w:t>
      </w:r>
      <w:r w:rsidRPr="00AC77DF">
        <w:rPr>
          <w:rStyle w:val="aff2"/>
        </w:rPr>
        <w:footnoteReference w:id="149"/>
      </w:r>
      <w:r w:rsidRPr="00AC77DF">
        <w:t>，監察院糾正勞動部及營建署，並函請其確實檢討改進見復。</w:t>
      </w:r>
    </w:p>
    <w:p w:rsidR="003807A5" w:rsidRPr="00AC77DF" w:rsidRDefault="00E96100" w:rsidP="00DE66F8">
      <w:pPr>
        <w:pStyle w:val="afff1"/>
        <w:spacing w:before="360" w:after="360"/>
      </w:pPr>
      <w:r>
        <w:rPr>
          <w:rFonts w:hint="eastAsia"/>
        </w:rPr>
        <w:lastRenderedPageBreak/>
        <w:t>(三)</w:t>
      </w:r>
      <w:r w:rsidR="003807A5" w:rsidRPr="00AC77DF">
        <w:t>政府機關改善情形</w:t>
      </w:r>
    </w:p>
    <w:p w:rsidR="003807A5" w:rsidRPr="00AC77DF" w:rsidRDefault="003807A5" w:rsidP="00425EE5">
      <w:pPr>
        <w:pStyle w:val="1----"/>
        <w:ind w:left="600" w:hanging="360"/>
      </w:pPr>
      <w:r w:rsidRPr="00AC77DF">
        <w:t>1</w:t>
      </w:r>
      <w:r w:rsidRPr="00AC77DF">
        <w:t>、針對各縣市身心障礙者就業基金餘額差距過大及差額補助費統籌分配款撥付延宕等問題，勞動部已召開研商會議並修正「身心障礙者就業基金撥交就業安定基金提撥及分配辦法」第</w:t>
      </w:r>
      <w:r w:rsidRPr="00AC77DF">
        <w:t>4</w:t>
      </w:r>
      <w:r w:rsidRPr="00AC77DF">
        <w:t>條至第</w:t>
      </w:r>
      <w:r w:rsidRPr="00AC77DF">
        <w:t>6</w:t>
      </w:r>
      <w:r w:rsidRPr="00AC77DF">
        <w:t>條條文。</w:t>
      </w:r>
    </w:p>
    <w:p w:rsidR="003807A5" w:rsidRPr="00AC77DF" w:rsidRDefault="003807A5" w:rsidP="00425EE5">
      <w:pPr>
        <w:pStyle w:val="1----"/>
        <w:ind w:left="600" w:hanging="360"/>
      </w:pPr>
      <w:r w:rsidRPr="00AC77DF">
        <w:t>2</w:t>
      </w:r>
      <w:r w:rsidRPr="00AC77DF">
        <w:t>、有關地方政府未依法積極編列公務預算辦理身心障礙者就業促進業務之問題，勞動部經召開檢討會議並對未編列公務預算之地方政府予以督導與輔導後，地方政府於</w:t>
      </w:r>
      <w:r w:rsidRPr="00AC77DF">
        <w:t>107</w:t>
      </w:r>
      <w:r w:rsidRPr="00AC77DF">
        <w:t>年度已全數於公務預算編列相關經費，並較</w:t>
      </w:r>
      <w:r w:rsidRPr="00AC77DF">
        <w:t>106</w:t>
      </w:r>
      <w:r w:rsidRPr="00AC77DF">
        <w:t>年之</w:t>
      </w:r>
      <w:r w:rsidRPr="00AC77DF">
        <w:t>6,317</w:t>
      </w:r>
      <w:r w:rsidRPr="00AC77DF">
        <w:t>萬餘元，增加</w:t>
      </w:r>
      <w:r w:rsidRPr="00AC77DF">
        <w:t>1,476</w:t>
      </w:r>
      <w:r w:rsidRPr="00AC77DF">
        <w:t>萬餘元。</w:t>
      </w:r>
    </w:p>
    <w:p w:rsidR="003807A5" w:rsidRPr="00AC77DF" w:rsidRDefault="003807A5" w:rsidP="00425EE5">
      <w:pPr>
        <w:pStyle w:val="1----"/>
        <w:ind w:left="600" w:hanging="360"/>
      </w:pPr>
      <w:r w:rsidRPr="00AC77DF">
        <w:t>3</w:t>
      </w:r>
      <w:r w:rsidRPr="00AC77DF">
        <w:t>、針對部分縣市核發超額進用獎勵金及獎勵僱用津貼比率仍高之問題，勞動部已召開檢討會議，要求各地方政府積極檢討於</w:t>
      </w:r>
      <w:r w:rsidRPr="00AC77DF">
        <w:t>2</w:t>
      </w:r>
      <w:r w:rsidRPr="00AC77DF">
        <w:t>年內逐年調降，以不超過</w:t>
      </w:r>
      <w:r w:rsidRPr="00AC77DF">
        <w:t>10%</w:t>
      </w:r>
      <w:r w:rsidRPr="00AC77DF">
        <w:t>為目標，並透過</w:t>
      </w:r>
      <w:r w:rsidRPr="00AC77DF">
        <w:rPr>
          <w:bCs/>
          <w:szCs w:val="32"/>
        </w:rPr>
        <w:t>「身心障礙者促進就業業務概況表」及身心障礙者就業促進業務評鑑，</w:t>
      </w:r>
      <w:r w:rsidRPr="00AC77DF">
        <w:t>持續</w:t>
      </w:r>
      <w:r w:rsidRPr="00AC77DF">
        <w:rPr>
          <w:bCs/>
          <w:szCs w:val="32"/>
        </w:rPr>
        <w:t>督導地方政府予以改善。</w:t>
      </w:r>
    </w:p>
    <w:p w:rsidR="003807A5" w:rsidRPr="00AC77DF" w:rsidRDefault="003807A5" w:rsidP="00425EE5">
      <w:pPr>
        <w:pStyle w:val="1----"/>
        <w:ind w:left="600" w:hanging="360"/>
      </w:pPr>
      <w:r w:rsidRPr="00AC77DF">
        <w:t>4</w:t>
      </w:r>
      <w:r w:rsidRPr="00AC77DF">
        <w:t>、針對地方政府將身心障礙者就業基金納入集中支付供縣（市）庫資金調度使用之問題，勞動部已納入</w:t>
      </w:r>
      <w:r w:rsidRPr="00AC77DF">
        <w:t>107</w:t>
      </w:r>
      <w:r w:rsidRPr="00AC77DF">
        <w:t>年度評鑑事項，並將研議後續是否正式納入評鑑指標項目。</w:t>
      </w:r>
    </w:p>
    <w:p w:rsidR="003807A5" w:rsidRPr="00AC77DF" w:rsidRDefault="003807A5" w:rsidP="00425EE5">
      <w:pPr>
        <w:pStyle w:val="1----"/>
        <w:ind w:left="582" w:hanging="342"/>
      </w:pPr>
      <w:r w:rsidRPr="00AC77DF">
        <w:rPr>
          <w:spacing w:val="-6"/>
          <w:szCs w:val="52"/>
        </w:rPr>
        <w:t>5</w:t>
      </w:r>
      <w:r w:rsidRPr="00AC77DF">
        <w:rPr>
          <w:spacing w:val="-6"/>
          <w:szCs w:val="52"/>
        </w:rPr>
        <w:t>、針對</w:t>
      </w:r>
      <w:r w:rsidRPr="00AC77DF">
        <w:t>部分縣市身心障礙者就業基金支出未符規定，且對該基金收支管理機制亦有闕漏等問題，勞動部已規劃於</w:t>
      </w:r>
      <w:r w:rsidRPr="00AC77DF">
        <w:t>107</w:t>
      </w:r>
      <w:r w:rsidRPr="00AC77DF">
        <w:t>年度業務評鑑時進行</w:t>
      </w:r>
      <w:r w:rsidRPr="00AC77DF">
        <w:rPr>
          <w:spacing w:val="-6"/>
        </w:rPr>
        <w:t>實地訪視督導，</w:t>
      </w:r>
      <w:r w:rsidRPr="00AC77DF">
        <w:t>並將研議納入評鑑指標項目。</w:t>
      </w:r>
    </w:p>
    <w:p w:rsidR="003807A5" w:rsidRPr="00AC77DF" w:rsidRDefault="003807A5" w:rsidP="00425EE5">
      <w:pPr>
        <w:pStyle w:val="1----"/>
        <w:ind w:left="600" w:hanging="360"/>
      </w:pPr>
      <w:r w:rsidRPr="00AC77DF">
        <w:t>6</w:t>
      </w:r>
      <w:r w:rsidRPr="00AC77DF">
        <w:t>、針對評鑑考核機制及各縣市辦理身心障礙者基金業務之人力規模等問題，勞動部已邀集地方政府研商，原則每年評</w:t>
      </w:r>
      <w:r w:rsidRPr="00AC77DF">
        <w:lastRenderedPageBreak/>
        <w:t>鑑</w:t>
      </w:r>
      <w:r w:rsidRPr="00AC77DF">
        <w:t>1</w:t>
      </w:r>
      <w:r w:rsidRPr="00AC77DF">
        <w:t>次，俟身心障礙者就業基金收支保管及運用情形改善後，再恢復</w:t>
      </w:r>
      <w:r w:rsidRPr="00AC77DF">
        <w:t>2</w:t>
      </w:r>
      <w:r w:rsidRPr="00AC77DF">
        <w:t>年評鑑</w:t>
      </w:r>
      <w:r w:rsidRPr="00AC77DF">
        <w:t>1</w:t>
      </w:r>
      <w:r w:rsidRPr="00AC77DF">
        <w:t>次，並將研議簡化流程及</w:t>
      </w:r>
      <w:r w:rsidRPr="00AC77DF">
        <w:t>1</w:t>
      </w:r>
      <w:r w:rsidRPr="00AC77DF">
        <w:t>年採書面評鑑、</w:t>
      </w:r>
      <w:r w:rsidRPr="00AC77DF">
        <w:t>1</w:t>
      </w:r>
      <w:r w:rsidRPr="00AC77DF">
        <w:t>年實地評鑑之可行性；該部另</w:t>
      </w:r>
      <w:r w:rsidRPr="00AC77DF">
        <w:rPr>
          <w:bCs/>
        </w:rPr>
        <w:t>已將專責人力配置、基金辦理成效等項目納入評鑑指標，將於年度業務評鑑加強考核。</w:t>
      </w:r>
    </w:p>
    <w:p w:rsidR="003807A5" w:rsidRPr="00AC77DF" w:rsidRDefault="003807A5" w:rsidP="00425EE5">
      <w:pPr>
        <w:pStyle w:val="1----"/>
        <w:ind w:left="600" w:hanging="360"/>
      </w:pPr>
      <w:r w:rsidRPr="00AC77DF">
        <w:t>7</w:t>
      </w:r>
      <w:r w:rsidRPr="00AC77DF">
        <w:t>、針對地方政府未依</w:t>
      </w:r>
      <w:r w:rsidR="00C57675" w:rsidRPr="00AC77DF">
        <w:t>身權法</w:t>
      </w:r>
      <w:r w:rsidRPr="00AC77DF">
        <w:t>第</w:t>
      </w:r>
      <w:r w:rsidRPr="00AC77DF">
        <w:t>88</w:t>
      </w:r>
      <w:r w:rsidRPr="00AC77DF">
        <w:t>條規定落實裁罰，且欠缺以勘查輔導方式替代裁罰手段之具體成效等問題，營建署經召開檢討研商會議後，於落實裁罰、以輔導替代裁罰之成效評估等面向分別獲致相關策進作為，並納入</w:t>
      </w:r>
      <w:r w:rsidRPr="00AC77DF">
        <w:t>107</w:t>
      </w:r>
      <w:r w:rsidRPr="00AC77DF">
        <w:t>年評鑑項目。</w:t>
      </w:r>
    </w:p>
    <w:p w:rsidR="003807A5" w:rsidRPr="00AC77DF" w:rsidRDefault="003807A5" w:rsidP="004469D9">
      <w:pPr>
        <w:pStyle w:val="1----"/>
        <w:ind w:left="600" w:hanging="360"/>
      </w:pPr>
      <w:r w:rsidRPr="00AC77DF">
        <w:t>8</w:t>
      </w:r>
      <w:r w:rsidRPr="00AC77DF">
        <w:t>、</w:t>
      </w:r>
      <w:r w:rsidRPr="004469D9">
        <w:rPr>
          <w:spacing w:val="-2"/>
        </w:rPr>
        <w:t>針對迄未依法成立無障礙設施改善基金</w:t>
      </w:r>
      <w:r w:rsidRPr="004469D9">
        <w:rPr>
          <w:spacing w:val="-8"/>
        </w:rPr>
        <w:t>之</w:t>
      </w:r>
      <w:r w:rsidRPr="004469D9">
        <w:rPr>
          <w:spacing w:val="-2"/>
        </w:rPr>
        <w:t>1</w:t>
      </w:r>
      <w:r w:rsidRPr="004469D9">
        <w:rPr>
          <w:spacing w:val="-8"/>
        </w:rPr>
        <w:t>1</w:t>
      </w:r>
      <w:r w:rsidRPr="004469D9">
        <w:rPr>
          <w:spacing w:val="-2"/>
        </w:rPr>
        <w:t>個地方政府及</w:t>
      </w:r>
      <w:r w:rsidRPr="00AC77DF">
        <w:t>基金規模較小之地方政府，營建署除已檢討並完成修正「建築物無障礙設備與設施改善基金收支保管及運用辦法」相關規定外，並持續督導地方政府儘速依法成立該基金。</w:t>
      </w:r>
    </w:p>
    <w:p w:rsidR="003807A5" w:rsidRPr="00AC77DF" w:rsidRDefault="003807A5" w:rsidP="00425EE5">
      <w:pPr>
        <w:pStyle w:val="1----"/>
        <w:ind w:left="600" w:hanging="360"/>
      </w:pPr>
      <w:r w:rsidRPr="00AC77DF">
        <w:t>9</w:t>
      </w:r>
      <w:r w:rsidRPr="00AC77DF">
        <w:t>、有關宜蘭縣政府無障礙設施改善基金每年皆須提撥繳入縣庫之行政成本費用不合理問題，該府已自</w:t>
      </w:r>
      <w:r w:rsidRPr="00AC77DF">
        <w:t>107</w:t>
      </w:r>
      <w:r w:rsidRPr="00AC77DF">
        <w:t>年起將該基金免提繳行政成本費用，以符專款專用之規定，並修正「宜蘭縣各特種基金提撥行政成本費用執行要點」。</w:t>
      </w:r>
    </w:p>
    <w:p w:rsidR="003807A5" w:rsidRPr="00AC77DF" w:rsidRDefault="00E96100" w:rsidP="00DE66F8">
      <w:pPr>
        <w:pStyle w:val="afff1"/>
        <w:spacing w:before="360" w:after="360"/>
      </w:pPr>
      <w:r>
        <w:rPr>
          <w:rFonts w:hint="eastAsia"/>
        </w:rPr>
        <w:t>(四)</w:t>
      </w:r>
      <w:r w:rsidR="003807A5" w:rsidRPr="00AC77DF">
        <w:rPr>
          <w:lang w:eastAsia="zh-HK"/>
        </w:rPr>
        <w:t>案件進展</w:t>
      </w:r>
    </w:p>
    <w:p w:rsidR="003807A5" w:rsidRDefault="003807A5" w:rsidP="00234F21">
      <w:pPr>
        <w:pStyle w:val="1---"/>
        <w:ind w:firstLine="480"/>
        <w:rPr>
          <w:lang w:eastAsia="zh-TW"/>
        </w:rPr>
      </w:pPr>
      <w:r w:rsidRPr="00AC77DF">
        <w:t>本案監察院仍持續追蹤列管，以確保身心障礙者受到公平合理保障。</w:t>
      </w:r>
    </w:p>
    <w:p w:rsidR="00E96100" w:rsidRDefault="00E96100" w:rsidP="00234F21">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3397"/>
      </w:tblGrid>
      <w:tr w:rsidR="00E96100" w:rsidTr="004469D9">
        <w:tc>
          <w:tcPr>
            <w:tcW w:w="3397" w:type="dxa"/>
            <w:shd w:val="clear" w:color="auto" w:fill="D9D9D9" w:themeFill="background1" w:themeFillShade="D9"/>
          </w:tcPr>
          <w:p w:rsidR="00E96100" w:rsidRDefault="00E96100" w:rsidP="00E96100">
            <w:pPr>
              <w:pStyle w:val="11-"/>
              <w:spacing w:before="72" w:after="108"/>
              <w:rPr>
                <w:lang w:eastAsia="zh-TW"/>
              </w:rPr>
            </w:pPr>
            <w:bookmarkStart w:id="654" w:name="_Toc535228423"/>
            <w:bookmarkStart w:id="655" w:name="_Toc4058835"/>
            <w:r w:rsidRPr="00AC77DF">
              <w:lastRenderedPageBreak/>
              <w:t>勞工退休準備金</w:t>
            </w:r>
            <w:r w:rsidRPr="00AC77DF">
              <w:rPr>
                <w:lang w:eastAsia="zh-HK"/>
              </w:rPr>
              <w:t>檢視案</w:t>
            </w:r>
            <w:bookmarkEnd w:id="654"/>
            <w:bookmarkEnd w:id="655"/>
          </w:p>
        </w:tc>
      </w:tr>
    </w:tbl>
    <w:p w:rsidR="00E96100" w:rsidRPr="00AC77DF" w:rsidRDefault="00E96100" w:rsidP="00234F21">
      <w:pPr>
        <w:pStyle w:val="1---"/>
        <w:ind w:firstLine="480"/>
        <w:rPr>
          <w:lang w:eastAsia="zh-TW"/>
        </w:rPr>
      </w:pPr>
    </w:p>
    <w:tbl>
      <w:tblPr>
        <w:tblW w:w="475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tblGrid>
      <w:tr w:rsidR="003807A5" w:rsidRPr="00AC77DF" w:rsidTr="00D1049F">
        <w:trPr>
          <w:trHeight w:val="5501"/>
        </w:trPr>
        <w:tc>
          <w:tcPr>
            <w:tcW w:w="5000" w:type="pct"/>
            <w:shd w:val="clear" w:color="auto" w:fill="auto"/>
          </w:tcPr>
          <w:p w:rsidR="003807A5" w:rsidRPr="00AC77DF" w:rsidRDefault="003807A5" w:rsidP="00BD2100">
            <w:pPr>
              <w:kinsoku w:val="0"/>
              <w:spacing w:line="360" w:lineRule="exact"/>
              <w:jc w:val="both"/>
              <w:rPr>
                <w:color w:val="000000"/>
                <w:szCs w:val="28"/>
                <w:lang w:val="x-none"/>
              </w:rPr>
            </w:pPr>
            <w:r w:rsidRPr="00AC77DF">
              <w:rPr>
                <w:b/>
                <w:color w:val="000000"/>
                <w:szCs w:val="28"/>
                <w:lang w:val="x-none"/>
              </w:rPr>
              <w:t>相關國際人權公約：</w:t>
            </w:r>
            <w:r w:rsidRPr="00AC77DF">
              <w:t>經濟社會文化權利國際公約第</w:t>
            </w:r>
            <w:r w:rsidRPr="00AC77DF">
              <w:t>7</w:t>
            </w:r>
            <w:r w:rsidRPr="00AC77DF">
              <w:t>條、經濟社會文化權利國際公約第</w:t>
            </w:r>
            <w:r w:rsidRPr="00AC77DF">
              <w:t>6</w:t>
            </w:r>
            <w:r w:rsidRPr="00AC77DF">
              <w:t>號一般性意見</w:t>
            </w:r>
          </w:p>
          <w:p w:rsidR="003807A5" w:rsidRPr="00AC77DF" w:rsidRDefault="003807A5" w:rsidP="00BD2100">
            <w:pPr>
              <w:kinsoku w:val="0"/>
              <w:spacing w:line="360" w:lineRule="exact"/>
              <w:jc w:val="both"/>
              <w:rPr>
                <w:b/>
                <w:color w:val="000000"/>
                <w:szCs w:val="28"/>
                <w:lang w:val="x-none"/>
              </w:rPr>
            </w:pPr>
            <w:r w:rsidRPr="00AC77DF">
              <w:rPr>
                <w:b/>
              </w:rPr>
              <w:t>經濟</w:t>
            </w:r>
            <w:r w:rsidRPr="00AC77DF">
              <w:rPr>
                <w:b/>
                <w:color w:val="000000"/>
                <w:szCs w:val="28"/>
                <w:lang w:val="x-none"/>
              </w:rPr>
              <w:t>社會文化權利國際公約第</w:t>
            </w:r>
            <w:r w:rsidRPr="00AC77DF">
              <w:rPr>
                <w:b/>
                <w:color w:val="000000"/>
                <w:szCs w:val="28"/>
                <w:lang w:val="x-none"/>
              </w:rPr>
              <w:t>7</w:t>
            </w:r>
            <w:r w:rsidRPr="00AC77DF">
              <w:rPr>
                <w:b/>
                <w:color w:val="000000"/>
                <w:szCs w:val="28"/>
                <w:lang w:val="x-none"/>
              </w:rPr>
              <w:t>條</w:t>
            </w:r>
          </w:p>
          <w:p w:rsidR="003807A5" w:rsidRPr="00AC77DF" w:rsidRDefault="003807A5" w:rsidP="00BD2100">
            <w:pPr>
              <w:kinsoku w:val="0"/>
              <w:spacing w:line="360" w:lineRule="exact"/>
              <w:jc w:val="both"/>
              <w:rPr>
                <w:color w:val="000000"/>
                <w:szCs w:val="28"/>
                <w:lang w:val="x-none"/>
              </w:rPr>
            </w:pPr>
            <w:r w:rsidRPr="00AC77DF">
              <w:rPr>
                <w:color w:val="000000"/>
                <w:szCs w:val="28"/>
                <w:lang w:val="x-none"/>
              </w:rPr>
              <w:t>本公約締約國確認人人有權享受公平與良好之工作條件，尤須確保：</w:t>
            </w:r>
          </w:p>
          <w:p w:rsidR="003807A5" w:rsidRPr="00AC77DF" w:rsidRDefault="003807A5" w:rsidP="00BD2100">
            <w:pPr>
              <w:kinsoku w:val="0"/>
              <w:spacing w:line="360" w:lineRule="exact"/>
              <w:ind w:left="720" w:hangingChars="300" w:hanging="720"/>
              <w:jc w:val="both"/>
              <w:rPr>
                <w:color w:val="000000"/>
                <w:szCs w:val="28"/>
                <w:lang w:val="x-none"/>
              </w:rPr>
            </w:pPr>
            <w:r w:rsidRPr="00AC77DF">
              <w:rPr>
                <w:color w:val="000000"/>
                <w:szCs w:val="28"/>
                <w:lang w:val="x-none"/>
              </w:rPr>
              <w:t>（一）所有工作者之報酬使其最低限度均能：</w:t>
            </w:r>
          </w:p>
          <w:p w:rsidR="003807A5" w:rsidRPr="00AC77DF" w:rsidRDefault="003807A5" w:rsidP="00BD2100">
            <w:pPr>
              <w:kinsoku w:val="0"/>
              <w:spacing w:line="360" w:lineRule="exact"/>
              <w:ind w:leftChars="200" w:left="1080" w:hangingChars="250" w:hanging="600"/>
              <w:jc w:val="both"/>
              <w:rPr>
                <w:color w:val="000000"/>
                <w:szCs w:val="28"/>
                <w:lang w:val="x-none"/>
              </w:rPr>
            </w:pPr>
            <w:r w:rsidRPr="00AC77DF">
              <w:rPr>
                <w:color w:val="000000"/>
                <w:szCs w:val="28"/>
                <w:lang w:val="x-none"/>
              </w:rPr>
              <w:t>（</w:t>
            </w:r>
            <w:r w:rsidRPr="00AC77DF">
              <w:rPr>
                <w:color w:val="000000"/>
                <w:szCs w:val="28"/>
                <w:lang w:val="x-none"/>
              </w:rPr>
              <w:t>1</w:t>
            </w:r>
            <w:r w:rsidRPr="00AC77DF">
              <w:rPr>
                <w:color w:val="000000"/>
                <w:szCs w:val="28"/>
                <w:lang w:val="x-none"/>
              </w:rPr>
              <w:t>）</w:t>
            </w:r>
            <w:r w:rsidRPr="00BD2100">
              <w:rPr>
                <w:color w:val="000000"/>
                <w:spacing w:val="-2"/>
                <w:szCs w:val="28"/>
                <w:lang w:val="x-none"/>
              </w:rPr>
              <w:t>獲得公允之工資，工作價值相等者享受同等報酬，不得有任何區別，尤須保證婦女之工作條件不得次於男子，且應同工同酬；</w:t>
            </w:r>
          </w:p>
          <w:p w:rsidR="003807A5" w:rsidRPr="00BD2100" w:rsidRDefault="003807A5" w:rsidP="00BD2100">
            <w:pPr>
              <w:kinsoku w:val="0"/>
              <w:spacing w:line="360" w:lineRule="exact"/>
              <w:ind w:leftChars="200" w:left="1080" w:hangingChars="250" w:hanging="600"/>
              <w:jc w:val="both"/>
              <w:rPr>
                <w:color w:val="000000"/>
                <w:spacing w:val="-2"/>
                <w:szCs w:val="28"/>
                <w:lang w:val="x-none"/>
              </w:rPr>
            </w:pPr>
            <w:r w:rsidRPr="00AC77DF">
              <w:rPr>
                <w:color w:val="000000"/>
                <w:szCs w:val="28"/>
                <w:lang w:val="x-none"/>
              </w:rPr>
              <w:t>（</w:t>
            </w:r>
            <w:r w:rsidRPr="00AC77DF">
              <w:rPr>
                <w:color w:val="000000"/>
                <w:szCs w:val="28"/>
                <w:lang w:val="x-none"/>
              </w:rPr>
              <w:t>2</w:t>
            </w:r>
            <w:r w:rsidRPr="00AC77DF">
              <w:rPr>
                <w:color w:val="000000"/>
                <w:szCs w:val="28"/>
                <w:lang w:val="x-none"/>
              </w:rPr>
              <w:t>）</w:t>
            </w:r>
            <w:r w:rsidRPr="00BD2100">
              <w:rPr>
                <w:color w:val="000000"/>
                <w:spacing w:val="-2"/>
                <w:szCs w:val="28"/>
                <w:lang w:val="x-none"/>
              </w:rPr>
              <w:t>維持本人及家屬符合本公約規定之合理生活水平；</w:t>
            </w:r>
          </w:p>
          <w:p w:rsidR="003807A5" w:rsidRPr="00AC77DF" w:rsidRDefault="003807A5" w:rsidP="00BD2100">
            <w:pPr>
              <w:kinsoku w:val="0"/>
              <w:spacing w:line="360" w:lineRule="exact"/>
              <w:jc w:val="both"/>
              <w:rPr>
                <w:color w:val="000000"/>
                <w:szCs w:val="28"/>
                <w:lang w:val="x-none"/>
              </w:rPr>
            </w:pPr>
            <w:r w:rsidRPr="00AC77DF">
              <w:rPr>
                <w:color w:val="000000"/>
                <w:szCs w:val="28"/>
                <w:lang w:val="x-none"/>
              </w:rPr>
              <w:t>（二）安全衛生之工作環境；</w:t>
            </w:r>
          </w:p>
          <w:p w:rsidR="003807A5" w:rsidRPr="00AC77DF" w:rsidRDefault="003807A5" w:rsidP="00BD2100">
            <w:pPr>
              <w:kinsoku w:val="0"/>
              <w:spacing w:line="360" w:lineRule="exact"/>
              <w:ind w:left="720" w:hangingChars="300" w:hanging="720"/>
              <w:jc w:val="both"/>
              <w:rPr>
                <w:color w:val="000000"/>
                <w:szCs w:val="28"/>
                <w:lang w:val="x-none"/>
              </w:rPr>
            </w:pPr>
            <w:r w:rsidRPr="00AC77DF">
              <w:rPr>
                <w:color w:val="000000"/>
                <w:szCs w:val="28"/>
                <w:lang w:val="x-none"/>
              </w:rPr>
              <w:t>（三）人人有平等機會於所就職業升至適當之較高等級，不受年資才能以外其他考慮之限制；</w:t>
            </w:r>
          </w:p>
          <w:p w:rsidR="003807A5" w:rsidRPr="00AC77DF" w:rsidRDefault="003807A5" w:rsidP="00BD2100">
            <w:pPr>
              <w:kinsoku w:val="0"/>
              <w:spacing w:line="360" w:lineRule="exact"/>
              <w:ind w:left="720" w:hangingChars="300" w:hanging="720"/>
              <w:jc w:val="both"/>
              <w:rPr>
                <w:color w:val="000000"/>
                <w:szCs w:val="28"/>
                <w:lang w:val="x-none"/>
              </w:rPr>
            </w:pPr>
            <w:r w:rsidRPr="00AC77DF">
              <w:rPr>
                <w:color w:val="000000"/>
                <w:szCs w:val="28"/>
                <w:lang w:val="x-none"/>
              </w:rPr>
              <w:t>（四）休息、閒暇、工作時間之合理限制與照給薪資之定期休假，公共假日亦須給酬。</w:t>
            </w:r>
          </w:p>
        </w:tc>
      </w:tr>
    </w:tbl>
    <w:p w:rsidR="003807A5" w:rsidRPr="00AC77DF" w:rsidRDefault="00E96100" w:rsidP="00DE66F8">
      <w:pPr>
        <w:pStyle w:val="afff1"/>
        <w:spacing w:before="360" w:after="360"/>
      </w:pPr>
      <w:r>
        <w:rPr>
          <w:rFonts w:hint="eastAsia"/>
        </w:rPr>
        <w:t>(一)</w:t>
      </w:r>
      <w:r w:rsidR="003807A5" w:rsidRPr="00AC77DF">
        <w:t>案情簡述</w:t>
      </w:r>
    </w:p>
    <w:p w:rsidR="003807A5" w:rsidRPr="00AC77DF" w:rsidRDefault="003807A5" w:rsidP="00234F21">
      <w:pPr>
        <w:pStyle w:val="1---"/>
        <w:ind w:firstLine="480"/>
      </w:pPr>
      <w:r w:rsidRPr="00AC77DF">
        <w:t>104</w:t>
      </w:r>
      <w:r w:rsidRPr="00AC77DF">
        <w:t>年</w:t>
      </w:r>
      <w:r w:rsidRPr="00AC77DF">
        <w:t>2</w:t>
      </w:r>
      <w:r w:rsidRPr="00AC77DF">
        <w:t>月</w:t>
      </w:r>
      <w:r w:rsidRPr="00AC77DF">
        <w:t>4</w:t>
      </w:r>
      <w:r w:rsidRPr="00AC77DF">
        <w:t>日修正公布</w:t>
      </w:r>
      <w:r w:rsidRPr="0025002C">
        <w:rPr>
          <w:rFonts w:hint="eastAsia"/>
        </w:rPr>
        <w:t>勞基法</w:t>
      </w:r>
      <w:r w:rsidRPr="00AC77DF">
        <w:t>第</w:t>
      </w:r>
      <w:r w:rsidRPr="00AC77DF">
        <w:t>56</w:t>
      </w:r>
      <w:r w:rsidRPr="00AC77DF">
        <w:t>條第</w:t>
      </w:r>
      <w:r w:rsidRPr="00AC77DF">
        <w:t>2</w:t>
      </w:r>
      <w:r w:rsidRPr="00AC77DF">
        <w:t>項規定，雇主應於每年年底檢視次一年度成就退休條件勞工所需之退休金，並於次年</w:t>
      </w:r>
      <w:r w:rsidRPr="00AC77DF">
        <w:t>3</w:t>
      </w:r>
      <w:r w:rsidRPr="00AC77DF">
        <w:t>月底前補足退休準備金差額。然審計部</w:t>
      </w:r>
      <w:r w:rsidRPr="00AC77DF">
        <w:t>104</w:t>
      </w:r>
      <w:r w:rsidRPr="00AC77DF">
        <w:t>年度中央政府總決算審核報告指出，部分事業單位未足額提撥勞工退</w:t>
      </w:r>
      <w:r w:rsidRPr="00AC77DF">
        <w:lastRenderedPageBreak/>
        <w:t>休準備金。為保障勞退舊制勞工退休金權益，瞭解勞動主管機關督導事業單位提撥勞工退休準備金之辦理情形，監察院財政及經濟委員會</w:t>
      </w:r>
      <w:r w:rsidR="00F118BE">
        <w:rPr>
          <w:rFonts w:hint="eastAsia"/>
        </w:rPr>
        <w:t>爰</w:t>
      </w:r>
      <w:r w:rsidRPr="00AC77DF">
        <w:t>決議調查。</w:t>
      </w:r>
    </w:p>
    <w:p w:rsidR="003807A5" w:rsidRPr="00AC77DF" w:rsidRDefault="00E96100" w:rsidP="00DE66F8">
      <w:pPr>
        <w:pStyle w:val="afff1"/>
        <w:spacing w:before="360" w:after="360"/>
      </w:pPr>
      <w:r>
        <w:rPr>
          <w:rFonts w:hint="eastAsia"/>
        </w:rPr>
        <w:t>(二)</w:t>
      </w:r>
      <w:r w:rsidR="003807A5" w:rsidRPr="00AC77DF">
        <w:t>監察院調查發現與建議</w:t>
      </w:r>
    </w:p>
    <w:p w:rsidR="003807A5" w:rsidRPr="00AC77DF" w:rsidRDefault="000B4370" w:rsidP="00564517">
      <w:pPr>
        <w:pStyle w:val="1--13"/>
        <w:spacing w:before="180" w:after="180"/>
      </w:pPr>
      <w:r w:rsidRPr="008E1832">
        <w:rPr>
          <w:rFonts w:hint="eastAsia"/>
        </w:rPr>
        <w:t>˙</w:t>
      </w:r>
      <w:r w:rsidR="003807A5" w:rsidRPr="00AC77DF">
        <w:t>公部門未補足勞工退休準備金</w:t>
      </w:r>
    </w:p>
    <w:p w:rsidR="003807A5" w:rsidRPr="00AC77DF" w:rsidRDefault="003807A5" w:rsidP="00234F21">
      <w:pPr>
        <w:pStyle w:val="1---"/>
        <w:ind w:firstLine="480"/>
      </w:pPr>
      <w:r w:rsidRPr="00AC77DF">
        <w:t>截至</w:t>
      </w:r>
      <w:r w:rsidRPr="00AC77DF">
        <w:t>106</w:t>
      </w:r>
      <w:r w:rsidRPr="00AC77DF">
        <w:t>年</w:t>
      </w:r>
      <w:r w:rsidRPr="00AC77DF">
        <w:t>3</w:t>
      </w:r>
      <w:r w:rsidRPr="00AC77DF">
        <w:t>月底，</w:t>
      </w:r>
      <w:r w:rsidRPr="0025002C">
        <w:rPr>
          <w:rFonts w:hint="eastAsia"/>
        </w:rPr>
        <w:t>勞基法</w:t>
      </w:r>
      <w:r w:rsidRPr="00AC77DF">
        <w:t>第</w:t>
      </w:r>
      <w:r w:rsidRPr="00AC77DF">
        <w:t>56</w:t>
      </w:r>
      <w:r w:rsidRPr="00AC77DF">
        <w:t>條第</w:t>
      </w:r>
      <w:r w:rsidRPr="00AC77DF">
        <w:t>2</w:t>
      </w:r>
      <w:r w:rsidRPr="00AC77DF">
        <w:t>項規定業已實施</w:t>
      </w:r>
      <w:r w:rsidRPr="00AC77DF">
        <w:t>2</w:t>
      </w:r>
      <w:r w:rsidRPr="00AC77DF">
        <w:rPr>
          <w:noProof/>
        </w:rPr>
        <w:t>年，惟國防部、臺中市政府、臺南市政府、高雄市政府、基隆市政府、宜</w:t>
      </w:r>
      <w:r w:rsidRPr="00AC77DF">
        <w:t>蘭縣政府、新竹市政府及嘉義縣政府等公部門，均未確遵法令，致</w:t>
      </w:r>
      <w:r w:rsidRPr="00AC77DF">
        <w:t>105</w:t>
      </w:r>
      <w:r w:rsidRPr="00AC77DF">
        <w:t>年度未補足差額合計高達</w:t>
      </w:r>
      <w:r w:rsidRPr="00AC77DF">
        <w:t>44.31</w:t>
      </w:r>
      <w:r w:rsidRPr="00AC77DF">
        <w:t>億元。</w:t>
      </w:r>
    </w:p>
    <w:p w:rsidR="003807A5" w:rsidRPr="00AC77DF" w:rsidRDefault="000B4370" w:rsidP="00564517">
      <w:pPr>
        <w:pStyle w:val="1--13"/>
        <w:spacing w:before="180" w:after="180"/>
      </w:pPr>
      <w:r w:rsidRPr="008E1832">
        <w:rPr>
          <w:rFonts w:hint="eastAsia"/>
        </w:rPr>
        <w:t>˙</w:t>
      </w:r>
      <w:r w:rsidR="003807A5" w:rsidRPr="00AC77DF">
        <w:t>未督促業者落實提撥勞工退休準備金</w:t>
      </w:r>
    </w:p>
    <w:p w:rsidR="003807A5" w:rsidRPr="00AC77DF" w:rsidRDefault="003807A5" w:rsidP="00234F21">
      <w:pPr>
        <w:pStyle w:val="1---"/>
        <w:ind w:firstLine="480"/>
      </w:pPr>
      <w:r w:rsidRPr="00AC77DF">
        <w:t>截至</w:t>
      </w:r>
      <w:r w:rsidRPr="00AC77DF">
        <w:t>105</w:t>
      </w:r>
      <w:r w:rsidRPr="00AC77DF">
        <w:t>年底，尚有</w:t>
      </w:r>
      <w:r w:rsidRPr="00AC77DF">
        <w:t>8,407</w:t>
      </w:r>
      <w:r w:rsidRPr="00AC77DF">
        <w:t>家業者未依規定提撥勞工退休準備金，致未補足之準備金差額達</w:t>
      </w:r>
      <w:r w:rsidRPr="00AC77DF">
        <w:t>313.77</w:t>
      </w:r>
      <w:r w:rsidRPr="00AC77DF">
        <w:t>億餘元。勞動主管機關卻只裁罰</w:t>
      </w:r>
      <w:r w:rsidRPr="00AC77DF">
        <w:t>46</w:t>
      </w:r>
      <w:r w:rsidRPr="00AC77DF">
        <w:t>件，罰鍰僅</w:t>
      </w:r>
      <w:r w:rsidRPr="00AC77DF">
        <w:t>423</w:t>
      </w:r>
      <w:r w:rsidRPr="00AC77DF">
        <w:t>萬元。</w:t>
      </w:r>
    </w:p>
    <w:p w:rsidR="003807A5" w:rsidRPr="00AC77DF" w:rsidRDefault="003807A5" w:rsidP="00234F21">
      <w:pPr>
        <w:pStyle w:val="1---"/>
        <w:ind w:firstLine="480"/>
      </w:pPr>
      <w:r w:rsidRPr="00AC77DF">
        <w:t>勞退新制自</w:t>
      </w:r>
      <w:r w:rsidRPr="00AC77DF">
        <w:t>94</w:t>
      </w:r>
      <w:r w:rsidRPr="00AC77DF">
        <w:t>年</w:t>
      </w:r>
      <w:r w:rsidRPr="00AC77DF">
        <w:t>7</w:t>
      </w:r>
      <w:r w:rsidRPr="00AC77DF">
        <w:t>月實施以來，勞動主管機關未善盡督導職責，導致業者長期未依法按月提撥勞工退休準備金</w:t>
      </w:r>
      <w:r w:rsidR="00747FDE">
        <w:t>。</w:t>
      </w:r>
      <w:r w:rsidRPr="00AC77DF">
        <w:t>至</w:t>
      </w:r>
      <w:r w:rsidRPr="00AC77DF">
        <w:t>105</w:t>
      </w:r>
      <w:r w:rsidRPr="00AC77DF">
        <w:t>年底，累積欠繳月數合計逾</w:t>
      </w:r>
      <w:r w:rsidRPr="00AC77DF">
        <w:t>12</w:t>
      </w:r>
      <w:r w:rsidRPr="00AC77DF">
        <w:t>個月之業者，高達</w:t>
      </w:r>
      <w:r w:rsidRPr="00AC77DF">
        <w:t>7,919</w:t>
      </w:r>
      <w:r w:rsidRPr="00AC77DF">
        <w:t>家，且迄</w:t>
      </w:r>
      <w:r w:rsidRPr="00AC77DF">
        <w:t>106</w:t>
      </w:r>
      <w:r w:rsidRPr="00AC77DF">
        <w:t>年</w:t>
      </w:r>
      <w:r w:rsidRPr="00AC77DF">
        <w:t>2</w:t>
      </w:r>
      <w:r w:rsidRPr="00AC77DF">
        <w:t>月底，仍有</w:t>
      </w:r>
      <w:r w:rsidRPr="00AC77DF">
        <w:t>51</w:t>
      </w:r>
      <w:r w:rsidRPr="00AC77DF">
        <w:t>家業者遲未依法開立準備金專戶。</w:t>
      </w:r>
    </w:p>
    <w:p w:rsidR="003807A5" w:rsidRPr="00AC77DF" w:rsidRDefault="003807A5" w:rsidP="00234F21">
      <w:pPr>
        <w:pStyle w:val="1---"/>
        <w:ind w:firstLine="480"/>
      </w:pPr>
      <w:r w:rsidRPr="00AC77DF">
        <w:t>依據本案調查意見</w:t>
      </w:r>
      <w:r w:rsidRPr="00AC77DF">
        <w:rPr>
          <w:vertAlign w:val="superscript"/>
        </w:rPr>
        <w:footnoteReference w:id="150"/>
      </w:r>
      <w:r w:rsidRPr="00AC77DF">
        <w:t>，監察院糾正勞動部、國防部、臺中市政府等</w:t>
      </w:r>
      <w:r w:rsidRPr="00AC77DF">
        <w:t>7</w:t>
      </w:r>
      <w:r w:rsidRPr="00AC77DF">
        <w:t>個地方政府，並函請勞動部督導地方政府切實檢討改善。</w:t>
      </w:r>
    </w:p>
    <w:p w:rsidR="003807A5" w:rsidRPr="00AC77DF" w:rsidRDefault="00E96100" w:rsidP="00DE66F8">
      <w:pPr>
        <w:pStyle w:val="afff1"/>
        <w:spacing w:before="360" w:after="360"/>
      </w:pPr>
      <w:r>
        <w:rPr>
          <w:rFonts w:hint="eastAsia"/>
        </w:rPr>
        <w:lastRenderedPageBreak/>
        <w:t>(三)</w:t>
      </w:r>
      <w:r w:rsidR="003807A5" w:rsidRPr="00AC77DF">
        <w:t>政府機關改善情形</w:t>
      </w:r>
    </w:p>
    <w:p w:rsidR="003807A5" w:rsidRPr="00AC77DF" w:rsidRDefault="003807A5" w:rsidP="00BD2100">
      <w:pPr>
        <w:pStyle w:val="1----"/>
        <w:spacing w:afterLines="50" w:after="180"/>
        <w:ind w:left="600" w:hanging="360"/>
      </w:pPr>
      <w:r w:rsidRPr="00AC77DF">
        <w:t>1</w:t>
      </w:r>
      <w:r w:rsidRPr="00AC77DF">
        <w:t>、有關公部門未足額提撥勞工退休準備金部分，勞動部已分別於</w:t>
      </w:r>
      <w:r w:rsidRPr="00AC77DF">
        <w:t>106</w:t>
      </w:r>
      <w:r w:rsidRPr="00AC77DF">
        <w:t>年</w:t>
      </w:r>
      <w:r w:rsidRPr="00AC77DF">
        <w:t>6</w:t>
      </w:r>
      <w:r w:rsidRPr="00AC77DF">
        <w:t>月</w:t>
      </w:r>
      <w:r w:rsidRPr="00AC77DF">
        <w:t>26</w:t>
      </w:r>
      <w:r w:rsidRPr="00AC77DF">
        <w:t>日及</w:t>
      </w:r>
      <w:r w:rsidRPr="00AC77DF">
        <w:t>8</w:t>
      </w:r>
      <w:r w:rsidRPr="00AC77DF">
        <w:t>月</w:t>
      </w:r>
      <w:r w:rsidRPr="00AC77DF">
        <w:t>30</w:t>
      </w:r>
      <w:r w:rsidRPr="00AC77DF">
        <w:t>日函請各機關儘速籌措經費補足。各機關回復</w:t>
      </w:r>
      <w:r w:rsidRPr="00AC77DF">
        <w:t>106</w:t>
      </w:r>
      <w:r w:rsidRPr="00AC77DF">
        <w:t>年度提撥勞工退休準備金情形如下：</w:t>
      </w:r>
    </w:p>
    <w:tbl>
      <w:tblPr>
        <w:tblStyle w:val="aff5"/>
        <w:tblW w:w="4507" w:type="pct"/>
        <w:tblInd w:w="675" w:type="dxa"/>
        <w:tblCellMar>
          <w:bottom w:w="57" w:type="dxa"/>
        </w:tblCellMar>
        <w:tblLook w:val="04A0" w:firstRow="1" w:lastRow="0" w:firstColumn="1" w:lastColumn="0" w:noHBand="0" w:noVBand="1"/>
      </w:tblPr>
      <w:tblGrid>
        <w:gridCol w:w="1276"/>
        <w:gridCol w:w="4899"/>
      </w:tblGrid>
      <w:tr w:rsidR="003807A5" w:rsidRPr="00234F21" w:rsidTr="00D1049F">
        <w:trPr>
          <w:trHeight w:val="20"/>
          <w:tblHeader/>
        </w:trPr>
        <w:tc>
          <w:tcPr>
            <w:tcW w:w="1033" w:type="pct"/>
            <w:shd w:val="clear" w:color="auto" w:fill="D9D9D9" w:themeFill="background1" w:themeFillShade="D9"/>
            <w:vAlign w:val="center"/>
          </w:tcPr>
          <w:p w:rsidR="003807A5" w:rsidRPr="00234F21" w:rsidRDefault="003807A5" w:rsidP="00BD2100">
            <w:pPr>
              <w:spacing w:line="360" w:lineRule="exact"/>
              <w:jc w:val="center"/>
              <w:rPr>
                <w:rFonts w:eastAsia="新細明體"/>
                <w:b/>
                <w:szCs w:val="24"/>
              </w:rPr>
            </w:pPr>
            <w:r w:rsidRPr="00234F21">
              <w:rPr>
                <w:rFonts w:eastAsia="新細明體"/>
                <w:b/>
                <w:szCs w:val="24"/>
              </w:rPr>
              <w:t>機關別</w:t>
            </w:r>
          </w:p>
        </w:tc>
        <w:tc>
          <w:tcPr>
            <w:tcW w:w="3967" w:type="pct"/>
            <w:shd w:val="clear" w:color="auto" w:fill="D9D9D9" w:themeFill="background1" w:themeFillShade="D9"/>
          </w:tcPr>
          <w:p w:rsidR="003807A5" w:rsidRPr="00234F21" w:rsidRDefault="003807A5" w:rsidP="00BD2100">
            <w:pPr>
              <w:spacing w:line="360" w:lineRule="exact"/>
              <w:jc w:val="center"/>
              <w:rPr>
                <w:rFonts w:eastAsia="新細明體"/>
                <w:b/>
                <w:szCs w:val="24"/>
              </w:rPr>
            </w:pPr>
            <w:r w:rsidRPr="00234F21">
              <w:rPr>
                <w:rFonts w:eastAsia="新細明體"/>
                <w:b/>
                <w:szCs w:val="24"/>
              </w:rPr>
              <w:t>勞工退休準備金差額提撥情形</w:t>
            </w:r>
          </w:p>
        </w:tc>
      </w:tr>
      <w:tr w:rsidR="003807A5" w:rsidRPr="00234F21" w:rsidTr="00BD2100">
        <w:trPr>
          <w:trHeight w:val="20"/>
        </w:trPr>
        <w:tc>
          <w:tcPr>
            <w:tcW w:w="1033" w:type="pct"/>
            <w:vAlign w:val="center"/>
          </w:tcPr>
          <w:p w:rsidR="003807A5" w:rsidRPr="00234F21" w:rsidRDefault="003807A5" w:rsidP="00BD2100">
            <w:pPr>
              <w:spacing w:line="360" w:lineRule="exact"/>
              <w:jc w:val="center"/>
              <w:rPr>
                <w:rFonts w:eastAsia="新細明體"/>
                <w:b/>
                <w:szCs w:val="24"/>
              </w:rPr>
            </w:pPr>
            <w:r w:rsidRPr="00234F21">
              <w:rPr>
                <w:rFonts w:eastAsia="新細明體"/>
                <w:b/>
                <w:szCs w:val="24"/>
              </w:rPr>
              <w:t>國防部</w:t>
            </w:r>
          </w:p>
        </w:tc>
        <w:tc>
          <w:tcPr>
            <w:tcW w:w="3967" w:type="pct"/>
          </w:tcPr>
          <w:p w:rsidR="003807A5" w:rsidRPr="00234F21" w:rsidRDefault="003807A5" w:rsidP="00BD2100">
            <w:pPr>
              <w:pStyle w:val="1---"/>
              <w:ind w:firstLineChars="0" w:firstLine="0"/>
            </w:pPr>
            <w:r w:rsidRPr="00234F21">
              <w:t>遭糾正之軍情局差額</w:t>
            </w:r>
            <w:r w:rsidRPr="00234F21">
              <w:t>9,178</w:t>
            </w:r>
            <w:r w:rsidRPr="00234F21">
              <w:t>萬</w:t>
            </w:r>
            <w:r w:rsidRPr="00234F21">
              <w:t>4,571</w:t>
            </w:r>
            <w:r w:rsidRPr="00234F21">
              <w:t>元及陸軍飛勤廠差額</w:t>
            </w:r>
            <w:r w:rsidRPr="00234F21">
              <w:t>3,925</w:t>
            </w:r>
            <w:r w:rsidRPr="00234F21">
              <w:t>萬</w:t>
            </w:r>
            <w:r w:rsidRPr="00234F21">
              <w:t>2,573</w:t>
            </w:r>
            <w:r w:rsidRPr="00234F21">
              <w:t>元，已於</w:t>
            </w:r>
            <w:r w:rsidRPr="00234F21">
              <w:t>106</w:t>
            </w:r>
            <w:r w:rsidRPr="00234F21">
              <w:t>年</w:t>
            </w:r>
            <w:r w:rsidRPr="00234F21">
              <w:t>12</w:t>
            </w:r>
            <w:r w:rsidRPr="00234F21">
              <w:t>月底前完成撥補。</w:t>
            </w:r>
          </w:p>
        </w:tc>
      </w:tr>
      <w:tr w:rsidR="003807A5" w:rsidRPr="00234F21" w:rsidTr="00BD2100">
        <w:trPr>
          <w:trHeight w:val="20"/>
        </w:trPr>
        <w:tc>
          <w:tcPr>
            <w:tcW w:w="1033" w:type="pct"/>
            <w:vAlign w:val="center"/>
          </w:tcPr>
          <w:p w:rsidR="00BD2100" w:rsidRDefault="003807A5" w:rsidP="00BD2100">
            <w:pPr>
              <w:spacing w:line="360" w:lineRule="exact"/>
              <w:jc w:val="center"/>
              <w:rPr>
                <w:rFonts w:eastAsia="新細明體"/>
                <w:b/>
                <w:szCs w:val="24"/>
              </w:rPr>
            </w:pPr>
            <w:r w:rsidRPr="00234F21">
              <w:rPr>
                <w:rFonts w:eastAsia="新細明體"/>
                <w:b/>
                <w:szCs w:val="24"/>
              </w:rPr>
              <w:t>臺中市</w:t>
            </w:r>
          </w:p>
          <w:p w:rsidR="003807A5" w:rsidRPr="00234F21" w:rsidRDefault="003807A5" w:rsidP="00BD2100">
            <w:pPr>
              <w:spacing w:line="360" w:lineRule="exact"/>
              <w:jc w:val="center"/>
              <w:rPr>
                <w:rFonts w:eastAsia="新細明體"/>
                <w:b/>
                <w:szCs w:val="24"/>
              </w:rPr>
            </w:pPr>
            <w:r w:rsidRPr="00234F21">
              <w:rPr>
                <w:rFonts w:eastAsia="新細明體"/>
                <w:b/>
                <w:szCs w:val="24"/>
              </w:rPr>
              <w:t>政府</w:t>
            </w:r>
          </w:p>
        </w:tc>
        <w:tc>
          <w:tcPr>
            <w:tcW w:w="3967" w:type="pct"/>
          </w:tcPr>
          <w:p w:rsidR="003807A5" w:rsidRPr="00234F21" w:rsidRDefault="003807A5" w:rsidP="00BD2100">
            <w:pPr>
              <w:pStyle w:val="1---"/>
              <w:ind w:firstLineChars="0" w:firstLine="0"/>
            </w:pPr>
            <w:r w:rsidRPr="00234F21">
              <w:t>1</w:t>
            </w:r>
            <w:r w:rsidRPr="00234F21">
              <w:t>、</w:t>
            </w:r>
            <w:r w:rsidRPr="00234F21">
              <w:t>106</w:t>
            </w:r>
            <w:r w:rsidRPr="00234F21">
              <w:t>年度已補提差額約</w:t>
            </w:r>
            <w:r w:rsidRPr="00234F21">
              <w:t>3.2</w:t>
            </w:r>
            <w:r w:rsidRPr="00234F21">
              <w:t>億元。</w:t>
            </w:r>
          </w:p>
          <w:p w:rsidR="003807A5" w:rsidRPr="00234F21" w:rsidRDefault="003807A5" w:rsidP="00BD2100">
            <w:pPr>
              <w:pStyle w:val="1---"/>
              <w:ind w:left="360" w:hangingChars="150" w:hanging="360"/>
            </w:pPr>
            <w:r w:rsidRPr="00234F21">
              <w:t>2</w:t>
            </w:r>
            <w:r w:rsidRPr="00234F21">
              <w:t>、尚不足部分規劃逐年由人事費賸餘款、各類員工待遇準備金賸餘款及該府第二預備金賸餘款籌措支應。</w:t>
            </w:r>
          </w:p>
        </w:tc>
      </w:tr>
      <w:tr w:rsidR="003807A5" w:rsidRPr="00234F21" w:rsidTr="00BD2100">
        <w:trPr>
          <w:trHeight w:val="20"/>
        </w:trPr>
        <w:tc>
          <w:tcPr>
            <w:tcW w:w="1033" w:type="pct"/>
            <w:vAlign w:val="center"/>
          </w:tcPr>
          <w:p w:rsidR="00BD2100" w:rsidRDefault="003807A5" w:rsidP="00BD2100">
            <w:pPr>
              <w:spacing w:line="360" w:lineRule="exact"/>
              <w:jc w:val="center"/>
              <w:rPr>
                <w:rFonts w:eastAsia="新細明體"/>
                <w:b/>
                <w:szCs w:val="24"/>
              </w:rPr>
            </w:pPr>
            <w:r w:rsidRPr="00234F21">
              <w:rPr>
                <w:rFonts w:eastAsia="新細明體"/>
                <w:b/>
                <w:szCs w:val="24"/>
              </w:rPr>
              <w:t>臺南市</w:t>
            </w:r>
          </w:p>
          <w:p w:rsidR="003807A5" w:rsidRPr="00234F21" w:rsidRDefault="003807A5" w:rsidP="00BD2100">
            <w:pPr>
              <w:spacing w:line="360" w:lineRule="exact"/>
              <w:jc w:val="center"/>
              <w:rPr>
                <w:rFonts w:eastAsia="新細明體"/>
                <w:b/>
                <w:szCs w:val="24"/>
              </w:rPr>
            </w:pPr>
            <w:r w:rsidRPr="00234F21">
              <w:rPr>
                <w:rFonts w:eastAsia="新細明體"/>
                <w:b/>
                <w:szCs w:val="24"/>
              </w:rPr>
              <w:t>政府</w:t>
            </w:r>
          </w:p>
        </w:tc>
        <w:tc>
          <w:tcPr>
            <w:tcW w:w="3967" w:type="pct"/>
          </w:tcPr>
          <w:p w:rsidR="003807A5" w:rsidRPr="00234F21" w:rsidRDefault="003807A5" w:rsidP="00BD2100">
            <w:pPr>
              <w:pStyle w:val="1---"/>
              <w:ind w:left="360" w:hangingChars="150" w:hanging="360"/>
            </w:pPr>
            <w:r w:rsidRPr="00234F21">
              <w:t>1</w:t>
            </w:r>
            <w:r w:rsidRPr="00234F21">
              <w:t>、</w:t>
            </w:r>
            <w:r w:rsidRPr="00234F21">
              <w:t>105</w:t>
            </w:r>
            <w:r w:rsidRPr="00234F21">
              <w:t>及</w:t>
            </w:r>
            <w:r w:rsidRPr="00234F21">
              <w:t>106</w:t>
            </w:r>
            <w:r w:rsidRPr="00234F21">
              <w:t>年度合計已補提差額約</w:t>
            </w:r>
            <w:r w:rsidRPr="00234F21">
              <w:t>2.2</w:t>
            </w:r>
            <w:r w:rsidRPr="00234F21">
              <w:t>億元。</w:t>
            </w:r>
          </w:p>
          <w:p w:rsidR="003807A5" w:rsidRPr="00234F21" w:rsidRDefault="003807A5" w:rsidP="00BD2100">
            <w:pPr>
              <w:pStyle w:val="1---"/>
              <w:ind w:left="360" w:hangingChars="150" w:hanging="360"/>
            </w:pPr>
            <w:r w:rsidRPr="00234F21">
              <w:t>2</w:t>
            </w:r>
            <w:r w:rsidRPr="00234F21">
              <w:t>、尚不足部分規劃自</w:t>
            </w:r>
            <w:r w:rsidRPr="00234F21">
              <w:t>107</w:t>
            </w:r>
            <w:r w:rsidRPr="00234F21">
              <w:t>年至</w:t>
            </w:r>
            <w:r w:rsidRPr="00234F21">
              <w:t>109</w:t>
            </w:r>
            <w:r w:rsidRPr="00234F21">
              <w:t>年，分</w:t>
            </w:r>
            <w:r w:rsidRPr="00234F21">
              <w:t>3</w:t>
            </w:r>
            <w:r w:rsidRPr="00234F21">
              <w:t>年以人事費賸餘數補足。</w:t>
            </w:r>
          </w:p>
        </w:tc>
      </w:tr>
      <w:tr w:rsidR="003807A5" w:rsidRPr="00234F21" w:rsidTr="00BD2100">
        <w:trPr>
          <w:trHeight w:val="20"/>
        </w:trPr>
        <w:tc>
          <w:tcPr>
            <w:tcW w:w="1033" w:type="pct"/>
            <w:vAlign w:val="center"/>
          </w:tcPr>
          <w:p w:rsidR="00BD2100" w:rsidRDefault="003807A5" w:rsidP="00BD2100">
            <w:pPr>
              <w:spacing w:line="360" w:lineRule="exact"/>
              <w:jc w:val="center"/>
              <w:rPr>
                <w:rFonts w:eastAsia="新細明體"/>
                <w:b/>
                <w:szCs w:val="24"/>
              </w:rPr>
            </w:pPr>
            <w:r w:rsidRPr="00234F21">
              <w:rPr>
                <w:rFonts w:eastAsia="新細明體"/>
                <w:b/>
                <w:szCs w:val="24"/>
              </w:rPr>
              <w:t>高雄市</w:t>
            </w:r>
          </w:p>
          <w:p w:rsidR="003807A5" w:rsidRPr="00234F21" w:rsidRDefault="003807A5" w:rsidP="00BD2100">
            <w:pPr>
              <w:spacing w:line="360" w:lineRule="exact"/>
              <w:jc w:val="center"/>
              <w:rPr>
                <w:rFonts w:eastAsia="新細明體"/>
                <w:b/>
                <w:szCs w:val="24"/>
              </w:rPr>
            </w:pPr>
            <w:r w:rsidRPr="00234F21">
              <w:rPr>
                <w:rFonts w:eastAsia="新細明體"/>
                <w:b/>
                <w:szCs w:val="24"/>
              </w:rPr>
              <w:t>政府</w:t>
            </w:r>
          </w:p>
        </w:tc>
        <w:tc>
          <w:tcPr>
            <w:tcW w:w="3967" w:type="pct"/>
          </w:tcPr>
          <w:p w:rsidR="003807A5" w:rsidRPr="00234F21" w:rsidRDefault="003807A5" w:rsidP="00BD2100">
            <w:pPr>
              <w:pStyle w:val="1---"/>
              <w:ind w:left="360" w:hangingChars="150" w:hanging="360"/>
            </w:pPr>
            <w:r w:rsidRPr="00234F21">
              <w:t>1</w:t>
            </w:r>
            <w:r w:rsidRPr="00234F21">
              <w:t>、為加速補足差額，除編列年度預算外，持續運用人事費、市府統籌科目退撫金及公務人員待遇福利等相關預算賸餘款撥補。</w:t>
            </w:r>
            <w:r w:rsidRPr="00234F21">
              <w:t>105</w:t>
            </w:r>
            <w:r w:rsidRPr="00234F21">
              <w:t>及</w:t>
            </w:r>
            <w:r w:rsidRPr="00234F21">
              <w:t>106</w:t>
            </w:r>
            <w:r w:rsidRPr="00234F21">
              <w:t>年度合計已補提差額約</w:t>
            </w:r>
            <w:r w:rsidRPr="00234F21">
              <w:t>19</w:t>
            </w:r>
            <w:r w:rsidRPr="00234F21">
              <w:t>億元。</w:t>
            </w:r>
          </w:p>
          <w:p w:rsidR="003807A5" w:rsidRPr="00234F21" w:rsidRDefault="003807A5" w:rsidP="00BD2100">
            <w:pPr>
              <w:pStyle w:val="1---"/>
              <w:ind w:left="360" w:hangingChars="150" w:hanging="360"/>
            </w:pPr>
            <w:r w:rsidRPr="00234F21">
              <w:lastRenderedPageBreak/>
              <w:t>2</w:t>
            </w:r>
            <w:r w:rsidRPr="00234F21">
              <w:t>、</w:t>
            </w:r>
            <w:r w:rsidRPr="00234F21">
              <w:t>107</w:t>
            </w:r>
            <w:r w:rsidRPr="00234F21">
              <w:t>年已編列預算約</w:t>
            </w:r>
            <w:r w:rsidRPr="00234F21">
              <w:t>10.39</w:t>
            </w:r>
            <w:r w:rsidRPr="00234F21">
              <w:t>億元，預計於</w:t>
            </w:r>
            <w:r w:rsidRPr="00234F21">
              <w:t>108</w:t>
            </w:r>
            <w:r w:rsidRPr="00234F21">
              <w:t>年補足差額。</w:t>
            </w:r>
          </w:p>
        </w:tc>
      </w:tr>
      <w:tr w:rsidR="003807A5" w:rsidRPr="00234F21" w:rsidTr="00BD2100">
        <w:trPr>
          <w:trHeight w:val="20"/>
        </w:trPr>
        <w:tc>
          <w:tcPr>
            <w:tcW w:w="1033" w:type="pct"/>
            <w:vAlign w:val="center"/>
          </w:tcPr>
          <w:p w:rsidR="00BD2100" w:rsidRDefault="003807A5" w:rsidP="00BD2100">
            <w:pPr>
              <w:spacing w:line="360" w:lineRule="exact"/>
              <w:jc w:val="center"/>
              <w:rPr>
                <w:rFonts w:eastAsia="新細明體"/>
                <w:b/>
                <w:szCs w:val="24"/>
              </w:rPr>
            </w:pPr>
            <w:r w:rsidRPr="00234F21">
              <w:rPr>
                <w:rFonts w:eastAsia="新細明體"/>
                <w:b/>
                <w:szCs w:val="24"/>
              </w:rPr>
              <w:lastRenderedPageBreak/>
              <w:t>基隆市</w:t>
            </w:r>
          </w:p>
          <w:p w:rsidR="003807A5" w:rsidRPr="00234F21" w:rsidRDefault="003807A5" w:rsidP="00BD2100">
            <w:pPr>
              <w:spacing w:line="360" w:lineRule="exact"/>
              <w:jc w:val="center"/>
              <w:rPr>
                <w:rFonts w:eastAsia="新細明體"/>
                <w:b/>
                <w:szCs w:val="24"/>
              </w:rPr>
            </w:pPr>
            <w:r w:rsidRPr="00234F21">
              <w:rPr>
                <w:rFonts w:eastAsia="新細明體"/>
                <w:b/>
                <w:szCs w:val="24"/>
              </w:rPr>
              <w:t>政府</w:t>
            </w:r>
          </w:p>
        </w:tc>
        <w:tc>
          <w:tcPr>
            <w:tcW w:w="3967" w:type="pct"/>
          </w:tcPr>
          <w:p w:rsidR="003807A5" w:rsidRPr="00234F21" w:rsidRDefault="003807A5" w:rsidP="00BD2100">
            <w:pPr>
              <w:pStyle w:val="1---"/>
              <w:ind w:firstLineChars="0" w:firstLine="0"/>
            </w:pPr>
            <w:r w:rsidRPr="00234F21">
              <w:t>1</w:t>
            </w:r>
            <w:r w:rsidRPr="00234F21">
              <w:t>、已由</w:t>
            </w:r>
            <w:r w:rsidRPr="00234F21">
              <w:t>106</w:t>
            </w:r>
            <w:r w:rsidRPr="00234F21">
              <w:t>年度預算結餘提撥</w:t>
            </w:r>
            <w:r w:rsidRPr="00234F21">
              <w:t>647</w:t>
            </w:r>
            <w:r w:rsidRPr="00234F21">
              <w:t>萬餘元。</w:t>
            </w:r>
          </w:p>
          <w:p w:rsidR="003807A5" w:rsidRPr="00234F21" w:rsidRDefault="003807A5" w:rsidP="00BD2100">
            <w:pPr>
              <w:pStyle w:val="1---"/>
              <w:ind w:left="360" w:hangingChars="150" w:hanging="360"/>
            </w:pPr>
            <w:r w:rsidRPr="00234F21">
              <w:t>2</w:t>
            </w:r>
            <w:r w:rsidRPr="00234F21">
              <w:t>、</w:t>
            </w:r>
            <w:r w:rsidRPr="00234F21">
              <w:t>107</w:t>
            </w:r>
            <w:r w:rsidRPr="00234F21">
              <w:t>年度已編列相關預算約</w:t>
            </w:r>
            <w:r w:rsidRPr="00234F21">
              <w:t>1</w:t>
            </w:r>
            <w:r w:rsidRPr="00234F21">
              <w:t>億元，尚不足部分，將以人事費賸餘款及逐年編列預算補足。</w:t>
            </w:r>
          </w:p>
        </w:tc>
      </w:tr>
      <w:tr w:rsidR="003807A5" w:rsidRPr="00234F21" w:rsidTr="00BD2100">
        <w:trPr>
          <w:trHeight w:val="20"/>
        </w:trPr>
        <w:tc>
          <w:tcPr>
            <w:tcW w:w="1033" w:type="pct"/>
            <w:vAlign w:val="center"/>
          </w:tcPr>
          <w:p w:rsidR="00BD2100" w:rsidRDefault="003807A5" w:rsidP="00BD2100">
            <w:pPr>
              <w:spacing w:line="360" w:lineRule="exact"/>
              <w:jc w:val="center"/>
              <w:rPr>
                <w:rFonts w:eastAsia="新細明體"/>
                <w:b/>
                <w:szCs w:val="24"/>
              </w:rPr>
            </w:pPr>
            <w:r w:rsidRPr="00234F21">
              <w:rPr>
                <w:rFonts w:eastAsia="新細明體"/>
                <w:b/>
                <w:szCs w:val="24"/>
              </w:rPr>
              <w:t>宜蘭縣</w:t>
            </w:r>
          </w:p>
          <w:p w:rsidR="003807A5" w:rsidRPr="00234F21" w:rsidRDefault="003807A5" w:rsidP="00BD2100">
            <w:pPr>
              <w:spacing w:line="360" w:lineRule="exact"/>
              <w:jc w:val="center"/>
              <w:rPr>
                <w:rFonts w:eastAsia="新細明體"/>
                <w:b/>
                <w:szCs w:val="24"/>
              </w:rPr>
            </w:pPr>
            <w:r w:rsidRPr="00234F21">
              <w:rPr>
                <w:rFonts w:eastAsia="新細明體"/>
                <w:b/>
                <w:szCs w:val="24"/>
              </w:rPr>
              <w:t>政府</w:t>
            </w:r>
          </w:p>
        </w:tc>
        <w:tc>
          <w:tcPr>
            <w:tcW w:w="3967" w:type="pct"/>
          </w:tcPr>
          <w:p w:rsidR="003807A5" w:rsidRPr="00234F21" w:rsidRDefault="003807A5" w:rsidP="00BD2100">
            <w:pPr>
              <w:pStyle w:val="1---"/>
              <w:ind w:left="360" w:hangingChars="150" w:hanging="360"/>
            </w:pPr>
            <w:r w:rsidRPr="00234F21">
              <w:t>1</w:t>
            </w:r>
            <w:r w:rsidRPr="00234F21">
              <w:t>、</w:t>
            </w:r>
            <w:r w:rsidRPr="00234F21">
              <w:t>106</w:t>
            </w:r>
            <w:r w:rsidRPr="00234F21">
              <w:t>年度已補提約</w:t>
            </w:r>
            <w:r w:rsidRPr="00234F21">
              <w:t>3,437</w:t>
            </w:r>
            <w:r w:rsidRPr="00234F21">
              <w:t>萬元，</w:t>
            </w:r>
            <w:r w:rsidRPr="00234F21">
              <w:t>107</w:t>
            </w:r>
            <w:r w:rsidRPr="00234F21">
              <w:t>年度編列預算約</w:t>
            </w:r>
            <w:r w:rsidRPr="00234F21">
              <w:t>4,659</w:t>
            </w:r>
            <w:r w:rsidRPr="00234F21">
              <w:t>萬元。</w:t>
            </w:r>
          </w:p>
          <w:p w:rsidR="003807A5" w:rsidRPr="00234F21" w:rsidRDefault="003807A5" w:rsidP="00BD2100">
            <w:pPr>
              <w:pStyle w:val="1---"/>
              <w:ind w:left="360" w:hangingChars="150" w:hanging="360"/>
              <w:jc w:val="distribute"/>
            </w:pPr>
            <w:r w:rsidRPr="00234F21">
              <w:t>2</w:t>
            </w:r>
            <w:r w:rsidRPr="00234F21">
              <w:t>、自</w:t>
            </w:r>
            <w:r w:rsidRPr="00234F21">
              <w:t>107</w:t>
            </w:r>
            <w:r w:rsidRPr="00234F21">
              <w:t>年起由原訂分</w:t>
            </w:r>
            <w:r w:rsidRPr="00234F21">
              <w:t>5</w:t>
            </w:r>
            <w:r w:rsidRPr="00234F21">
              <w:t>年補足，縮短為分</w:t>
            </w:r>
            <w:r w:rsidRPr="00BD2100">
              <w:rPr>
                <w:spacing w:val="-6"/>
              </w:rPr>
              <w:t>3</w:t>
            </w:r>
            <w:r w:rsidRPr="00BD2100">
              <w:rPr>
                <w:spacing w:val="-6"/>
              </w:rPr>
              <w:t>年平均提撥，至遲</w:t>
            </w:r>
            <w:r w:rsidRPr="00BD2100">
              <w:rPr>
                <w:spacing w:val="-10"/>
              </w:rPr>
              <w:t>於</w:t>
            </w:r>
            <w:r w:rsidRPr="00BD2100">
              <w:rPr>
                <w:spacing w:val="-6"/>
              </w:rPr>
              <w:t>10</w:t>
            </w:r>
            <w:r w:rsidRPr="00BD2100">
              <w:rPr>
                <w:spacing w:val="-10"/>
              </w:rPr>
              <w:t>9</w:t>
            </w:r>
            <w:r w:rsidRPr="00BD2100">
              <w:rPr>
                <w:spacing w:val="-10"/>
              </w:rPr>
              <w:t>年</w:t>
            </w:r>
            <w:r w:rsidRPr="00BD2100">
              <w:rPr>
                <w:spacing w:val="-10"/>
              </w:rPr>
              <w:t>3</w:t>
            </w:r>
            <w:r w:rsidRPr="00BD2100">
              <w:rPr>
                <w:spacing w:val="-6"/>
              </w:rPr>
              <w:t>月前補</w:t>
            </w:r>
            <w:r w:rsidRPr="00BD2100">
              <w:rPr>
                <w:spacing w:val="-10"/>
              </w:rPr>
              <w:t>足</w:t>
            </w:r>
            <w:r w:rsidRPr="00BD2100">
              <w:rPr>
                <w:spacing w:val="-6"/>
              </w:rPr>
              <w:t>。</w:t>
            </w:r>
          </w:p>
        </w:tc>
      </w:tr>
      <w:tr w:rsidR="003807A5" w:rsidRPr="00234F21" w:rsidTr="00BD2100">
        <w:trPr>
          <w:trHeight w:val="20"/>
        </w:trPr>
        <w:tc>
          <w:tcPr>
            <w:tcW w:w="1033" w:type="pct"/>
            <w:vAlign w:val="center"/>
          </w:tcPr>
          <w:p w:rsidR="00BD2100" w:rsidRDefault="003807A5" w:rsidP="00BD2100">
            <w:pPr>
              <w:spacing w:line="360" w:lineRule="exact"/>
              <w:jc w:val="center"/>
              <w:rPr>
                <w:rFonts w:eastAsia="新細明體"/>
                <w:b/>
                <w:szCs w:val="24"/>
              </w:rPr>
            </w:pPr>
            <w:r w:rsidRPr="00234F21">
              <w:rPr>
                <w:rFonts w:eastAsia="新細明體"/>
                <w:b/>
                <w:szCs w:val="24"/>
              </w:rPr>
              <w:t>新竹市</w:t>
            </w:r>
          </w:p>
          <w:p w:rsidR="003807A5" w:rsidRPr="00234F21" w:rsidRDefault="003807A5" w:rsidP="00BD2100">
            <w:pPr>
              <w:spacing w:line="360" w:lineRule="exact"/>
              <w:jc w:val="center"/>
              <w:rPr>
                <w:rFonts w:eastAsia="新細明體"/>
                <w:b/>
                <w:szCs w:val="24"/>
              </w:rPr>
            </w:pPr>
            <w:r w:rsidRPr="00234F21">
              <w:rPr>
                <w:rFonts w:eastAsia="新細明體"/>
                <w:b/>
                <w:szCs w:val="24"/>
              </w:rPr>
              <w:t>政府</w:t>
            </w:r>
          </w:p>
        </w:tc>
        <w:tc>
          <w:tcPr>
            <w:tcW w:w="3967" w:type="pct"/>
          </w:tcPr>
          <w:p w:rsidR="003807A5" w:rsidRPr="00234F21" w:rsidRDefault="003807A5" w:rsidP="00BD2100">
            <w:pPr>
              <w:pStyle w:val="1---"/>
              <w:ind w:firstLineChars="0" w:firstLine="0"/>
            </w:pPr>
            <w:r w:rsidRPr="00234F21">
              <w:t>已於</w:t>
            </w:r>
            <w:r w:rsidRPr="00234F21">
              <w:t>107</w:t>
            </w:r>
            <w:r w:rsidRPr="00234F21">
              <w:t>年度編列預算約</w:t>
            </w:r>
            <w:r w:rsidRPr="00234F21">
              <w:t>1.88</w:t>
            </w:r>
            <w:r w:rsidRPr="00234F21">
              <w:t>億元，刻正辦理撥補至勞工退休準備金專戶存儲。</w:t>
            </w:r>
          </w:p>
        </w:tc>
      </w:tr>
      <w:tr w:rsidR="003807A5" w:rsidRPr="00234F21" w:rsidTr="00BD2100">
        <w:trPr>
          <w:trHeight w:val="20"/>
        </w:trPr>
        <w:tc>
          <w:tcPr>
            <w:tcW w:w="1033" w:type="pct"/>
            <w:vAlign w:val="center"/>
          </w:tcPr>
          <w:p w:rsidR="00BD2100" w:rsidRDefault="003807A5" w:rsidP="00BD2100">
            <w:pPr>
              <w:spacing w:line="360" w:lineRule="exact"/>
              <w:jc w:val="center"/>
              <w:rPr>
                <w:rFonts w:eastAsia="新細明體"/>
                <w:b/>
                <w:szCs w:val="24"/>
              </w:rPr>
            </w:pPr>
            <w:r w:rsidRPr="00234F21">
              <w:rPr>
                <w:rFonts w:eastAsia="新細明體"/>
                <w:b/>
                <w:szCs w:val="24"/>
              </w:rPr>
              <w:t>嘉義縣</w:t>
            </w:r>
          </w:p>
          <w:p w:rsidR="003807A5" w:rsidRPr="00234F21" w:rsidRDefault="003807A5" w:rsidP="00BD2100">
            <w:pPr>
              <w:spacing w:line="360" w:lineRule="exact"/>
              <w:jc w:val="center"/>
              <w:rPr>
                <w:rFonts w:eastAsia="新細明體"/>
                <w:b/>
                <w:szCs w:val="24"/>
              </w:rPr>
            </w:pPr>
            <w:r w:rsidRPr="00234F21">
              <w:rPr>
                <w:rFonts w:eastAsia="新細明體"/>
                <w:b/>
                <w:szCs w:val="24"/>
              </w:rPr>
              <w:t>政府</w:t>
            </w:r>
          </w:p>
        </w:tc>
        <w:tc>
          <w:tcPr>
            <w:tcW w:w="3967" w:type="pct"/>
          </w:tcPr>
          <w:p w:rsidR="003807A5" w:rsidRPr="00234F21" w:rsidRDefault="003807A5" w:rsidP="00BD2100">
            <w:pPr>
              <w:pStyle w:val="1---"/>
              <w:ind w:left="360" w:hangingChars="150" w:hanging="360"/>
              <w:jc w:val="distribute"/>
            </w:pPr>
            <w:r w:rsidRPr="00234F21">
              <w:t>1</w:t>
            </w:r>
            <w:r w:rsidRPr="00234F21">
              <w:t>、</w:t>
            </w:r>
            <w:r w:rsidRPr="00BD2100">
              <w:rPr>
                <w:spacing w:val="-4"/>
              </w:rPr>
              <w:t>105</w:t>
            </w:r>
            <w:r w:rsidRPr="00BD2100">
              <w:rPr>
                <w:spacing w:val="-4"/>
              </w:rPr>
              <w:t>及</w:t>
            </w:r>
            <w:r w:rsidRPr="00BD2100">
              <w:rPr>
                <w:spacing w:val="-4"/>
              </w:rPr>
              <w:t>106</w:t>
            </w:r>
            <w:r w:rsidRPr="00BD2100">
              <w:rPr>
                <w:spacing w:val="-4"/>
              </w:rPr>
              <w:t>年度已補提差額約</w:t>
            </w:r>
            <w:r w:rsidRPr="00BD2100">
              <w:rPr>
                <w:spacing w:val="-4"/>
              </w:rPr>
              <w:t>7,900</w:t>
            </w:r>
            <w:r w:rsidRPr="00BD2100">
              <w:rPr>
                <w:spacing w:val="-4"/>
              </w:rPr>
              <w:t>萬元。</w:t>
            </w:r>
          </w:p>
          <w:p w:rsidR="003807A5" w:rsidRPr="00234F21" w:rsidRDefault="003807A5" w:rsidP="00BD2100">
            <w:pPr>
              <w:kinsoku w:val="0"/>
              <w:overflowPunct w:val="0"/>
              <w:snapToGrid/>
              <w:spacing w:line="360" w:lineRule="exact"/>
              <w:jc w:val="both"/>
              <w:rPr>
                <w:rFonts w:eastAsia="新細明體"/>
                <w:szCs w:val="24"/>
              </w:rPr>
            </w:pPr>
            <w:r w:rsidRPr="00234F21">
              <w:rPr>
                <w:rFonts w:eastAsia="新細明體"/>
                <w:szCs w:val="24"/>
              </w:rPr>
              <w:t>2</w:t>
            </w:r>
            <w:r w:rsidRPr="00234F21">
              <w:rPr>
                <w:rFonts w:eastAsia="新細明體"/>
                <w:szCs w:val="24"/>
              </w:rPr>
              <w:t>、</w:t>
            </w:r>
            <w:r w:rsidRPr="00234F21">
              <w:rPr>
                <w:rFonts w:eastAsia="新細明體"/>
                <w:szCs w:val="24"/>
              </w:rPr>
              <w:t>107</w:t>
            </w:r>
            <w:r w:rsidRPr="00234F21">
              <w:rPr>
                <w:rFonts w:eastAsia="新細明體"/>
                <w:szCs w:val="24"/>
              </w:rPr>
              <w:t>年度提繳勞工退休準備金差額。</w:t>
            </w:r>
          </w:p>
        </w:tc>
      </w:tr>
    </w:tbl>
    <w:p w:rsidR="00E96100" w:rsidRDefault="00E96100" w:rsidP="00425EE5">
      <w:pPr>
        <w:pStyle w:val="1----"/>
        <w:ind w:left="600" w:hanging="360"/>
        <w:rPr>
          <w:lang w:eastAsia="zh-TW"/>
        </w:rPr>
      </w:pPr>
    </w:p>
    <w:p w:rsidR="003807A5" w:rsidRPr="00AC77DF" w:rsidRDefault="003807A5" w:rsidP="00425EE5">
      <w:pPr>
        <w:pStyle w:val="1----"/>
        <w:ind w:left="600" w:hanging="360"/>
      </w:pPr>
      <w:r w:rsidRPr="00AC77DF">
        <w:t>2</w:t>
      </w:r>
      <w:r w:rsidRPr="00AC77DF">
        <w:t>、針對勞動主管機關未積極督導業者補足準備金差額部分，檢討改進措施如下：</w:t>
      </w:r>
    </w:p>
    <w:p w:rsidR="003807A5" w:rsidRPr="00AC77DF" w:rsidRDefault="003807A5" w:rsidP="004469D9">
      <w:pPr>
        <w:pStyle w:val="1--1"/>
        <w:ind w:left="1080" w:hanging="600"/>
      </w:pPr>
      <w:r w:rsidRPr="00AC77DF">
        <w:t>（</w:t>
      </w:r>
      <w:r w:rsidRPr="00AC77DF">
        <w:t>1</w:t>
      </w:r>
      <w:r w:rsidRPr="00AC77DF">
        <w:t>）</w:t>
      </w:r>
      <w:r w:rsidRPr="00AC77DF">
        <w:t>106</w:t>
      </w:r>
      <w:r w:rsidRPr="00AC77DF">
        <w:t>年</w:t>
      </w:r>
      <w:r w:rsidRPr="00AC77DF">
        <w:t>12</w:t>
      </w:r>
      <w:r w:rsidRPr="00AC77DF">
        <w:t>月底未補足差額家數及金額降至</w:t>
      </w:r>
      <w:r w:rsidRPr="00AC77DF">
        <w:t>3,016</w:t>
      </w:r>
      <w:r w:rsidRPr="00AC77DF">
        <w:t>家、</w:t>
      </w:r>
      <w:r w:rsidRPr="00AC77DF">
        <w:t>133</w:t>
      </w:r>
      <w:r w:rsidRPr="00AC77DF">
        <w:t>億元。</w:t>
      </w:r>
    </w:p>
    <w:p w:rsidR="003807A5" w:rsidRPr="00AC77DF" w:rsidRDefault="003807A5" w:rsidP="00BD2100">
      <w:pPr>
        <w:pStyle w:val="1--1"/>
        <w:ind w:left="1080" w:hanging="600"/>
      </w:pPr>
      <w:r w:rsidRPr="00AC77DF">
        <w:t>（</w:t>
      </w:r>
      <w:r w:rsidRPr="00AC77DF">
        <w:t>2</w:t>
      </w:r>
      <w:r w:rsidRPr="00AC77DF">
        <w:t>）</w:t>
      </w:r>
      <w:r w:rsidRPr="00BD2100">
        <w:rPr>
          <w:spacing w:val="-2"/>
        </w:rPr>
        <w:t>裁罰</w:t>
      </w:r>
      <w:r w:rsidRPr="00BD2100">
        <w:rPr>
          <w:spacing w:val="-2"/>
        </w:rPr>
        <w:t>100</w:t>
      </w:r>
      <w:r w:rsidRPr="00BD2100">
        <w:rPr>
          <w:spacing w:val="-2"/>
        </w:rPr>
        <w:t>件（裁罰後已補足差額計</w:t>
      </w:r>
      <w:r w:rsidRPr="00BD2100">
        <w:rPr>
          <w:spacing w:val="-2"/>
        </w:rPr>
        <w:t>20</w:t>
      </w:r>
      <w:r w:rsidRPr="00BD2100">
        <w:rPr>
          <w:spacing w:val="-2"/>
        </w:rPr>
        <w:t>件</w:t>
      </w:r>
      <w:r w:rsidRPr="00BD2100">
        <w:rPr>
          <w:spacing w:val="-32"/>
        </w:rPr>
        <w:t>）</w:t>
      </w:r>
      <w:r w:rsidRPr="00BD2100">
        <w:rPr>
          <w:spacing w:val="-2"/>
        </w:rPr>
        <w:t>，裁罰金額</w:t>
      </w:r>
      <w:r w:rsidRPr="00AC77DF">
        <w:t>達</w:t>
      </w:r>
      <w:r w:rsidRPr="00AC77DF">
        <w:t>1,025</w:t>
      </w:r>
      <w:r w:rsidRPr="00AC77DF">
        <w:t>萬元，裁罰件數及金額均較</w:t>
      </w:r>
      <w:r w:rsidRPr="00AC77DF">
        <w:t>105</w:t>
      </w:r>
      <w:r w:rsidRPr="00AC77DF">
        <w:t>年度提升。</w:t>
      </w:r>
    </w:p>
    <w:p w:rsidR="003807A5" w:rsidRPr="00AC77DF" w:rsidRDefault="003807A5" w:rsidP="004469D9">
      <w:pPr>
        <w:pStyle w:val="1--1"/>
        <w:ind w:left="1080" w:hanging="600"/>
      </w:pPr>
      <w:r w:rsidRPr="00AC77DF">
        <w:t>（</w:t>
      </w:r>
      <w:r w:rsidRPr="00AC77DF">
        <w:t>3</w:t>
      </w:r>
      <w:r w:rsidRPr="00AC77DF">
        <w:t>）</w:t>
      </w:r>
      <w:r w:rsidRPr="00AC77DF">
        <w:t>106</w:t>
      </w:r>
      <w:r w:rsidRPr="00AC77DF">
        <w:t>年</w:t>
      </w:r>
      <w:r w:rsidRPr="00AC77DF">
        <w:t>8</w:t>
      </w:r>
      <w:r w:rsidRPr="00AC77DF">
        <w:t>月底即達</w:t>
      </w:r>
      <w:r w:rsidRPr="00AC77DF">
        <w:t>95.71%</w:t>
      </w:r>
      <w:r w:rsidRPr="00AC77DF">
        <w:t>，提前達成年度績效指標，至</w:t>
      </w:r>
      <w:r w:rsidRPr="00AC77DF">
        <w:t>12</w:t>
      </w:r>
      <w:r w:rsidRPr="00AC77DF">
        <w:t>月底時，再提升至</w:t>
      </w:r>
      <w:r w:rsidRPr="00AC77DF">
        <w:t>97.32%</w:t>
      </w:r>
      <w:r w:rsidRPr="00AC77DF">
        <w:t>，計</w:t>
      </w:r>
      <w:r w:rsidRPr="00AC77DF">
        <w:t>10</w:t>
      </w:r>
      <w:r w:rsidRPr="00AC77DF">
        <w:t>萬</w:t>
      </w:r>
      <w:r w:rsidRPr="00AC77DF">
        <w:t>9,511</w:t>
      </w:r>
      <w:r w:rsidRPr="00AC77DF">
        <w:t>家足</w:t>
      </w:r>
      <w:r w:rsidRPr="00AC77DF">
        <w:lastRenderedPageBreak/>
        <w:t>額。</w:t>
      </w:r>
    </w:p>
    <w:p w:rsidR="003807A5" w:rsidRPr="00AC77DF" w:rsidRDefault="003807A5" w:rsidP="00425EE5">
      <w:pPr>
        <w:pStyle w:val="1----"/>
        <w:ind w:left="600" w:hanging="360"/>
      </w:pPr>
      <w:r w:rsidRPr="00AC77DF">
        <w:t>3</w:t>
      </w:r>
      <w:r w:rsidRPr="00AC77DF">
        <w:t>、有關勞動主管機關任由業者長期未依法按月提撥及開立專戶部分，檢討改進措施如下：</w:t>
      </w:r>
    </w:p>
    <w:p w:rsidR="003807A5" w:rsidRPr="00AC77DF" w:rsidRDefault="003807A5" w:rsidP="004469D9">
      <w:pPr>
        <w:pStyle w:val="1--1"/>
        <w:ind w:left="1080" w:hanging="600"/>
      </w:pPr>
      <w:r w:rsidRPr="00AC77DF">
        <w:t>（</w:t>
      </w:r>
      <w:r w:rsidRPr="00AC77DF">
        <w:t>1</w:t>
      </w:r>
      <w:r w:rsidRPr="00AC77DF">
        <w:t>）按月提撥欠繳月數合計逾</w:t>
      </w:r>
      <w:r w:rsidRPr="00AC77DF">
        <w:t>12</w:t>
      </w:r>
      <w:r w:rsidRPr="00AC77DF">
        <w:t>個月以上之家數，經勞動部積極督促地方政府持續催繳及輔導，欠繳</w:t>
      </w:r>
      <w:r w:rsidRPr="00AC77DF">
        <w:t>12</w:t>
      </w:r>
      <w:r w:rsidRPr="00AC77DF">
        <w:t>個月以上家數已由</w:t>
      </w:r>
      <w:r w:rsidRPr="00AC77DF">
        <w:t>105</w:t>
      </w:r>
      <w:r w:rsidRPr="00AC77DF">
        <w:t>年底之</w:t>
      </w:r>
      <w:r w:rsidRPr="00AC77DF">
        <w:t>7,919</w:t>
      </w:r>
      <w:r w:rsidRPr="00AC77DF">
        <w:t>家，降至</w:t>
      </w:r>
      <w:r w:rsidRPr="00AC77DF">
        <w:t>106</w:t>
      </w:r>
      <w:r w:rsidRPr="00AC77DF">
        <w:t>年底之</w:t>
      </w:r>
      <w:r w:rsidRPr="00AC77DF">
        <w:t>2,274</w:t>
      </w:r>
      <w:r w:rsidRPr="00AC77DF">
        <w:t>家（占總開戶數</w:t>
      </w:r>
      <w:r w:rsidRPr="00AC77DF">
        <w:t>104,393</w:t>
      </w:r>
      <w:r w:rsidRPr="00AC77DF">
        <w:t>家之</w:t>
      </w:r>
      <w:r w:rsidRPr="00AC77DF">
        <w:t>2.2%</w:t>
      </w:r>
      <w:r w:rsidRPr="00D54AFE">
        <w:rPr>
          <w:spacing w:val="-28"/>
        </w:rPr>
        <w:t>）</w:t>
      </w:r>
      <w:r w:rsidRPr="00AC77DF">
        <w:t>，已責由地方政府持續列管輔導。</w:t>
      </w:r>
    </w:p>
    <w:p w:rsidR="003807A5" w:rsidRPr="00AC77DF" w:rsidRDefault="003807A5" w:rsidP="004469D9">
      <w:pPr>
        <w:pStyle w:val="1--1"/>
        <w:ind w:left="1080" w:hanging="600"/>
      </w:pPr>
      <w:r w:rsidRPr="00AC77DF">
        <w:t>（</w:t>
      </w:r>
      <w:r w:rsidRPr="00AC77DF">
        <w:t>2</w:t>
      </w:r>
      <w:r w:rsidRPr="00AC77DF">
        <w:t>）勞工退休準備金未開戶家數，至</w:t>
      </w:r>
      <w:r w:rsidRPr="00AC77DF">
        <w:t>106</w:t>
      </w:r>
      <w:r w:rsidRPr="00AC77DF">
        <w:t>年</w:t>
      </w:r>
      <w:r w:rsidRPr="00AC77DF">
        <w:t>12</w:t>
      </w:r>
      <w:r w:rsidRPr="00AC77DF">
        <w:t>月</w:t>
      </w:r>
      <w:r w:rsidRPr="00AC77DF">
        <w:t>1</w:t>
      </w:r>
      <w:r w:rsidRPr="00AC77DF">
        <w:t>日已全數輔導完畢，開戶率達</w:t>
      </w:r>
      <w:r w:rsidRPr="00AC77DF">
        <w:t>100%</w:t>
      </w:r>
      <w:r w:rsidRPr="00AC77DF">
        <w:t>。</w:t>
      </w:r>
    </w:p>
    <w:p w:rsidR="003807A5" w:rsidRPr="00AC77DF" w:rsidRDefault="00E853FE" w:rsidP="00DE66F8">
      <w:pPr>
        <w:pStyle w:val="afff1"/>
        <w:spacing w:before="360" w:after="360"/>
      </w:pPr>
      <w:r>
        <w:rPr>
          <w:rFonts w:hint="eastAsia"/>
        </w:rPr>
        <w:t>(四)</w:t>
      </w:r>
      <w:r w:rsidR="003807A5" w:rsidRPr="00AC77DF">
        <w:t>案件進展</w:t>
      </w:r>
    </w:p>
    <w:p w:rsidR="003807A5" w:rsidRDefault="003807A5" w:rsidP="00234F21">
      <w:pPr>
        <w:pStyle w:val="1---"/>
        <w:ind w:firstLine="480"/>
        <w:rPr>
          <w:lang w:eastAsia="zh-TW"/>
        </w:rPr>
      </w:pPr>
      <w:r w:rsidRPr="00AC77DF">
        <w:t>監察院仍持續追蹤主管機關改善辦理情形。</w:t>
      </w:r>
    </w:p>
    <w:p w:rsidR="00E853FE" w:rsidRDefault="00E853FE" w:rsidP="00234F21">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2689"/>
      </w:tblGrid>
      <w:tr w:rsidR="00E853FE" w:rsidTr="00253A59">
        <w:tc>
          <w:tcPr>
            <w:tcW w:w="2689" w:type="dxa"/>
            <w:shd w:val="clear" w:color="auto" w:fill="D9D9D9" w:themeFill="background1" w:themeFillShade="D9"/>
          </w:tcPr>
          <w:p w:rsidR="00E853FE" w:rsidRDefault="00E853FE" w:rsidP="00E853FE">
            <w:pPr>
              <w:pStyle w:val="11-"/>
              <w:spacing w:before="72" w:after="108"/>
              <w:rPr>
                <w:lang w:eastAsia="zh-TW"/>
              </w:rPr>
            </w:pPr>
            <w:bookmarkStart w:id="656" w:name="_Toc535228424"/>
            <w:bookmarkStart w:id="657" w:name="_Toc4058836"/>
            <w:r w:rsidRPr="00AC77DF">
              <w:t>以房養老政策研析</w:t>
            </w:r>
            <w:bookmarkEnd w:id="656"/>
            <w:bookmarkEnd w:id="657"/>
          </w:p>
        </w:tc>
      </w:tr>
    </w:tbl>
    <w:p w:rsidR="003807A5" w:rsidRPr="00AC77DF" w:rsidRDefault="00E853FE" w:rsidP="00DE66F8">
      <w:pPr>
        <w:pStyle w:val="afff1"/>
        <w:spacing w:before="360" w:after="360"/>
      </w:pPr>
      <w:r>
        <w:rPr>
          <w:rFonts w:hint="eastAsia"/>
        </w:rPr>
        <w:t>(一)</w:t>
      </w:r>
      <w:r w:rsidR="003807A5" w:rsidRPr="00AC77DF">
        <w:t>案情簡述</w:t>
      </w:r>
    </w:p>
    <w:p w:rsidR="003807A5" w:rsidRPr="00AC77DF" w:rsidRDefault="003807A5" w:rsidP="00234F21">
      <w:pPr>
        <w:pStyle w:val="1---"/>
        <w:ind w:firstLine="480"/>
      </w:pPr>
      <w:bookmarkStart w:id="658" w:name="_Toc462866074"/>
      <w:r w:rsidRPr="00AC77DF">
        <w:t>因應我國社會的高齡化，</w:t>
      </w:r>
      <w:r w:rsidR="001C604B" w:rsidRPr="00AC77DF">
        <w:t>內政部</w:t>
      </w:r>
      <w:r w:rsidRPr="00AC77DF">
        <w:t>於</w:t>
      </w:r>
      <w:r w:rsidRPr="00AC77DF">
        <w:t>102</w:t>
      </w:r>
      <w:r w:rsidRPr="00AC77DF">
        <w:t>年推出「不動產逆向抵押貸款制度試辦方案</w:t>
      </w:r>
      <w:r w:rsidRPr="00D54AFE">
        <w:rPr>
          <w:spacing w:val="-28"/>
        </w:rPr>
        <w:t>」</w:t>
      </w:r>
      <w:r w:rsidRPr="00AC77DF">
        <w:t>，隔年臺北市政府亦推出「臺北市公益型『以房養老』實驗方案</w:t>
      </w:r>
      <w:r w:rsidRPr="00D54AFE">
        <w:rPr>
          <w:spacing w:val="-28"/>
        </w:rPr>
        <w:t>」</w:t>
      </w:r>
      <w:r w:rsidRPr="00AC77DF">
        <w:t>。然而，原內政部與臺北市政府分別於</w:t>
      </w:r>
      <w:r w:rsidRPr="00AC77DF">
        <w:t>102</w:t>
      </w:r>
      <w:r w:rsidRPr="00AC77DF">
        <w:t>年及</w:t>
      </w:r>
      <w:r w:rsidRPr="00AC77DF">
        <w:t>103</w:t>
      </w:r>
      <w:r w:rsidRPr="00AC77DF">
        <w:t>年推動之公益型「以房養老」方案成效如何？又目前金融機構雖已陸續開辦商業型「以房養老」方案</w:t>
      </w:r>
      <w:r w:rsidRPr="00AC77DF">
        <w:lastRenderedPageBreak/>
        <w:t>，民眾接受度如何？是否遭遇亟待解決困難？現有法令規範是否足以促進此項方案普及性？是否應建置相關配套措施，以擴大不同行業別（如保險業）參與，並有助於國家推展長期照顧政策？另國外實施「以房養老」經驗，能否作為國內借鏡與推廣參考？均有深入調查與研究必要，爰經監察院財政及經濟委員會決議調查研究</w:t>
      </w:r>
      <w:bookmarkEnd w:id="658"/>
      <w:r w:rsidRPr="00AC77DF">
        <w:t>。</w:t>
      </w:r>
    </w:p>
    <w:p w:rsidR="003807A5" w:rsidRPr="00AC77DF" w:rsidRDefault="00E853FE" w:rsidP="00DE66F8">
      <w:pPr>
        <w:pStyle w:val="afff1"/>
        <w:spacing w:before="360" w:after="360"/>
      </w:pPr>
      <w:r>
        <w:rPr>
          <w:rFonts w:hint="eastAsia"/>
        </w:rPr>
        <w:t>(二)</w:t>
      </w:r>
      <w:r w:rsidR="003807A5" w:rsidRPr="00AC77DF">
        <w:t xml:space="preserve">監察院調查發現與建議    </w:t>
      </w:r>
    </w:p>
    <w:p w:rsidR="003807A5" w:rsidRPr="00AC77DF" w:rsidRDefault="000B4370" w:rsidP="00564517">
      <w:pPr>
        <w:pStyle w:val="1--13"/>
        <w:spacing w:before="180" w:after="180"/>
      </w:pPr>
      <w:r w:rsidRPr="008E1832">
        <w:rPr>
          <w:rFonts w:hint="eastAsia"/>
        </w:rPr>
        <w:t>˙</w:t>
      </w:r>
      <w:r w:rsidR="003807A5" w:rsidRPr="00AC77DF">
        <w:t>及早因應面對人口老化趨勢</w:t>
      </w:r>
    </w:p>
    <w:p w:rsidR="003807A5" w:rsidRPr="00AC77DF" w:rsidRDefault="003807A5" w:rsidP="00234F21">
      <w:pPr>
        <w:pStyle w:val="1---"/>
        <w:ind w:firstLine="480"/>
      </w:pPr>
      <w:r w:rsidRPr="00AC77DF">
        <w:t>「以房養老」制度不僅能使老人享有經濟穩定的退休生活，落實在地老化之理想，減輕政府在老人經濟保障、長期照護與社會保險的支出與負擔，更能鼓勵相關業者創新服務與拓展業務。當前我國人口老化速度日益加速，從目前我國老人經濟安全保障體系、老人自有住宅情況及居住型態等面向觀察，</w:t>
      </w:r>
      <w:r w:rsidR="004D0068">
        <w:t>顯示</w:t>
      </w:r>
      <w:r w:rsidRPr="00AC77DF">
        <w:t>我國「以房養老」政策的推行具有發展潛力與必要性，政府應以前瞻的態度及早因應面對。</w:t>
      </w:r>
    </w:p>
    <w:p w:rsidR="003807A5" w:rsidRPr="00AC77DF" w:rsidRDefault="000B4370" w:rsidP="00564517">
      <w:pPr>
        <w:pStyle w:val="1--13"/>
        <w:spacing w:before="180" w:after="180"/>
      </w:pPr>
      <w:r w:rsidRPr="008E1832">
        <w:rPr>
          <w:rFonts w:hint="eastAsia"/>
        </w:rPr>
        <w:t>˙</w:t>
      </w:r>
      <w:r w:rsidR="003807A5" w:rsidRPr="00AC77DF">
        <w:t>商業型「以房養老」商品具未來發展潛力</w:t>
      </w:r>
    </w:p>
    <w:p w:rsidR="003807A5" w:rsidRPr="00AC77DF" w:rsidRDefault="003807A5" w:rsidP="00234F21">
      <w:pPr>
        <w:pStyle w:val="1---"/>
        <w:ind w:firstLine="480"/>
      </w:pPr>
      <w:r w:rsidRPr="00AC77DF">
        <w:t>商業型「以房養老」商品推出迄今僅</w:t>
      </w:r>
      <w:r w:rsidR="001C604B">
        <w:t>3</w:t>
      </w:r>
      <w:r w:rsidRPr="00AC77DF">
        <w:t>載，已有</w:t>
      </w:r>
      <w:r w:rsidRPr="00AC77DF">
        <w:t>12</w:t>
      </w:r>
      <w:r w:rsidRPr="00AC77DF">
        <w:t>家金融機構開辦，應具未來發展潛力，且符合政府之「高齡化金融創新」策略。惟政府並未積極協助突破現行困境，態度似略顯消極。宜參採國外經驗，從制度面建立風險分擔機制，協助業者降低風險，擴大市場規模，以嘉惠更多民眾。</w:t>
      </w:r>
    </w:p>
    <w:p w:rsidR="003807A5" w:rsidRPr="00AC77DF" w:rsidRDefault="003807A5" w:rsidP="00274413">
      <w:pPr>
        <w:pStyle w:val="1---"/>
        <w:spacing w:after="180"/>
        <w:ind w:firstLine="480"/>
        <w:rPr>
          <w:lang w:eastAsia="zh-TW"/>
        </w:rPr>
      </w:pPr>
      <w:r w:rsidRPr="00AC77DF">
        <w:lastRenderedPageBreak/>
        <w:t>現行商業型「以房養老」主要僅提供金錢支應，並未附加社會福利媒合服務，恐難以照顧低房產價值、以服務為導向之長者需求，爰公益型「以房養老」仍有存在之必要。政府應思考在現行商業型「以房養老」商品下，建立提供信託、保險與媒合福利服務等相關產業鏈結之機制，並研提更具財務可行性同時能兼顧弱勢族群照護的公益型方案。</w:t>
      </w:r>
    </w:p>
    <w:p w:rsidR="003807A5" w:rsidRPr="00AC77DF" w:rsidRDefault="000B4370" w:rsidP="00564517">
      <w:pPr>
        <w:pStyle w:val="1--13"/>
        <w:spacing w:before="180" w:after="180"/>
      </w:pPr>
      <w:r w:rsidRPr="008E1832">
        <w:rPr>
          <w:rFonts w:hint="eastAsia"/>
        </w:rPr>
        <w:t>˙</w:t>
      </w:r>
      <w:r w:rsidR="003807A5" w:rsidRPr="00AC77DF">
        <w:t>保險業售後租回年金屋</w:t>
      </w:r>
    </w:p>
    <w:p w:rsidR="003807A5" w:rsidRPr="00AC77DF" w:rsidRDefault="003807A5" w:rsidP="00234F21">
      <w:pPr>
        <w:pStyle w:val="1---"/>
        <w:ind w:firstLine="480"/>
        <w:rPr>
          <w:lang w:eastAsia="zh-TW"/>
        </w:rPr>
      </w:pPr>
      <w:r w:rsidRPr="00AC77DF">
        <w:t>保險業以「售後租回年金屋」方式</w:t>
      </w:r>
      <w:r w:rsidRPr="00D54AFE">
        <w:rPr>
          <w:spacing w:val="-28"/>
        </w:rPr>
        <w:t>，</w:t>
      </w:r>
      <w:r w:rsidRPr="00AC77DF">
        <w:t>「直接」參與「以房養老」業務，除與保險「公平分擔原則」及「收支相等原則」有間外，尚需解決若干法制面、政策面、執行面問題，並詳予評估民眾接受度。政府宜思考如何擴大「以房養老」規模，鼓勵保險業者結合「以房養老」提供多元化的保險選擇，創新保險業務，增進老人健康安全的保障。</w:t>
      </w:r>
    </w:p>
    <w:p w:rsidR="003807A5" w:rsidRPr="00AC77DF" w:rsidRDefault="000B4370" w:rsidP="00564517">
      <w:pPr>
        <w:pStyle w:val="1--13"/>
        <w:spacing w:before="180" w:after="180"/>
      </w:pPr>
      <w:r w:rsidRPr="008E1832">
        <w:rPr>
          <w:rFonts w:hint="eastAsia"/>
        </w:rPr>
        <w:t>˙</w:t>
      </w:r>
      <w:r w:rsidR="003807A5" w:rsidRPr="00AC77DF">
        <w:t>建構完善以房養老制度</w:t>
      </w:r>
    </w:p>
    <w:p w:rsidR="003807A5" w:rsidRPr="00AC77DF" w:rsidRDefault="003807A5" w:rsidP="00234F21">
      <w:pPr>
        <w:pStyle w:val="1---"/>
        <w:ind w:firstLine="480"/>
      </w:pPr>
      <w:r w:rsidRPr="00AC77DF">
        <w:t>中央機關宜成立跨部會專責單位，統籌「以房養老」政策</w:t>
      </w:r>
      <w:r w:rsidR="00D075D5">
        <w:rPr>
          <w:rFonts w:hint="eastAsia"/>
        </w:rPr>
        <w:t>推動</w:t>
      </w:r>
      <w:r w:rsidRPr="00AC77DF">
        <w:t>之可行性，並訂定執行計畫，增修相關法令，調和中央相關部會與地方政府，且提供專業諮詢服務、資訊傳遞及服務轉介平台，結合「跨領域</w:t>
      </w:r>
      <w:r w:rsidRPr="00D54AFE">
        <w:rPr>
          <w:spacing w:val="-28"/>
        </w:rPr>
        <w:t>」、</w:t>
      </w:r>
      <w:r w:rsidRPr="00AC77DF">
        <w:t>「跨部門</w:t>
      </w:r>
      <w:r w:rsidRPr="00D54AFE">
        <w:rPr>
          <w:spacing w:val="-28"/>
        </w:rPr>
        <w:t>」、</w:t>
      </w:r>
      <w:r w:rsidRPr="00AC77DF">
        <w:t>「跨機關」動能，與民間機構通力合作，以建構完善的「以房養老」制度。</w:t>
      </w:r>
    </w:p>
    <w:p w:rsidR="003807A5" w:rsidRPr="00AC77DF" w:rsidRDefault="003807A5" w:rsidP="00234F21">
      <w:pPr>
        <w:pStyle w:val="1---"/>
        <w:ind w:firstLine="480"/>
      </w:pPr>
      <w:r w:rsidRPr="00AC77DF">
        <w:t>日本「以房養老」採公益型與商業型並行制度。商業型「以房養老」提供終身型貸款方案，並透過「調整貸款成數」及「每年重新鑑價」等配套，確保制度永續；公益型之貸款年限，則因不同的貸款主體而有差異。若法定繼承人反對申辦「以</w:t>
      </w:r>
      <w:r w:rsidRPr="00AC77DF">
        <w:lastRenderedPageBreak/>
        <w:t>房養老」時，仍尊重不動產所有權人處分權等，均值我國參考與借鏡。</w:t>
      </w:r>
    </w:p>
    <w:p w:rsidR="003807A5" w:rsidRPr="00AC77DF" w:rsidRDefault="003807A5" w:rsidP="00234F21">
      <w:pPr>
        <w:pStyle w:val="1---"/>
        <w:ind w:firstLine="480"/>
      </w:pPr>
      <w:r w:rsidRPr="00AC77DF">
        <w:t>我國「民法」第</w:t>
      </w:r>
      <w:r w:rsidRPr="00AC77DF">
        <w:t>881</w:t>
      </w:r>
      <w:r w:rsidRPr="00AC77DF">
        <w:t>條之</w:t>
      </w:r>
      <w:r w:rsidRPr="00AC77DF">
        <w:t>4</w:t>
      </w:r>
      <w:r w:rsidRPr="00AC77DF">
        <w:t>及「銀行法」第</w:t>
      </w:r>
      <w:r w:rsidRPr="00AC77DF">
        <w:t>38</w:t>
      </w:r>
      <w:r w:rsidRPr="00AC77DF">
        <w:t>條等規範，是否造成金融機構難以開辦終身型「以房養老」方案，主管機關應儘速釐清外界疑義。</w:t>
      </w:r>
    </w:p>
    <w:p w:rsidR="003807A5" w:rsidRPr="00AC77DF" w:rsidRDefault="003807A5" w:rsidP="000315BA">
      <w:pPr>
        <w:pStyle w:val="1---"/>
        <w:ind w:firstLine="480"/>
      </w:pPr>
      <w:r w:rsidRPr="00AC77DF">
        <w:t>依據本案調查意見</w:t>
      </w:r>
      <w:r w:rsidRPr="00E24CA6">
        <w:rPr>
          <w:rStyle w:val="aff2"/>
        </w:rPr>
        <w:footnoteReference w:id="151"/>
      </w:r>
      <w:r w:rsidRPr="00AC77DF">
        <w:t>，監察院函請行政院參處。</w:t>
      </w:r>
    </w:p>
    <w:p w:rsidR="003807A5" w:rsidRPr="00AC77DF" w:rsidRDefault="00E853FE" w:rsidP="00DE66F8">
      <w:pPr>
        <w:pStyle w:val="afff1"/>
        <w:spacing w:before="360" w:after="360"/>
      </w:pPr>
      <w:r>
        <w:rPr>
          <w:rFonts w:hint="eastAsia"/>
        </w:rPr>
        <w:t>(三)</w:t>
      </w:r>
      <w:r w:rsidR="003807A5" w:rsidRPr="00AC77DF">
        <w:t>政府機關改善情形</w:t>
      </w:r>
    </w:p>
    <w:p w:rsidR="003807A5" w:rsidRPr="00AC77DF" w:rsidRDefault="003807A5" w:rsidP="000315BA">
      <w:pPr>
        <w:pStyle w:val="1---"/>
        <w:ind w:firstLine="480"/>
        <w:rPr>
          <w:color w:val="FF0000"/>
        </w:rPr>
      </w:pPr>
      <w:r w:rsidRPr="00AC77DF">
        <w:t>藉由本通案調查研究，瞭解我國「以房養老」之政策、法令、程序及實務現況，並探討執行成效及問題癥結，就未來我國推動「以房養老」政策方向與作法提出建言，冀本調查研究之成果，有助於政府相關部門「以房養老」政策後續推動時之參考。</w:t>
      </w:r>
    </w:p>
    <w:p w:rsidR="003807A5" w:rsidRPr="00AC77DF" w:rsidRDefault="00E853FE" w:rsidP="00DE66F8">
      <w:pPr>
        <w:pStyle w:val="afff1"/>
        <w:spacing w:before="360" w:after="360"/>
      </w:pPr>
      <w:r>
        <w:rPr>
          <w:rFonts w:hint="eastAsia"/>
        </w:rPr>
        <w:t>(四)</w:t>
      </w:r>
      <w:r w:rsidR="003807A5" w:rsidRPr="00AC77DF">
        <w:t>案件進展</w:t>
      </w:r>
    </w:p>
    <w:p w:rsidR="003807A5" w:rsidRDefault="003807A5" w:rsidP="000315BA">
      <w:pPr>
        <w:pStyle w:val="1---"/>
        <w:ind w:firstLine="480"/>
        <w:rPr>
          <w:lang w:eastAsia="zh-TW"/>
        </w:rPr>
      </w:pPr>
      <w:r w:rsidRPr="00AC77DF">
        <w:t>本調查研究報告，函請行政院參處。</w:t>
      </w:r>
      <w:r w:rsidRPr="00AC77DF">
        <w:t xml:space="preserve">  </w:t>
      </w:r>
    </w:p>
    <w:p w:rsidR="006F1702" w:rsidRDefault="006F1702" w:rsidP="000315BA">
      <w:pPr>
        <w:pStyle w:val="1---"/>
        <w:ind w:firstLine="480"/>
        <w:rPr>
          <w:lang w:eastAsia="zh-TW"/>
        </w:rPr>
      </w:pPr>
    </w:p>
    <w:p w:rsidR="005F0413" w:rsidRDefault="005F0413">
      <w:bookmarkStart w:id="659" w:name="_Toc535228425"/>
      <w:bookmarkStart w:id="660" w:name="_Toc4058837"/>
      <w:r>
        <w:rPr>
          <w:shadow/>
        </w:rPr>
        <w:br w:type="page"/>
      </w:r>
    </w:p>
    <w:tbl>
      <w:tblPr>
        <w:tblStyle w:val="aff5"/>
        <w:tblW w:w="0" w:type="auto"/>
        <w:tblInd w:w="113" w:type="dxa"/>
        <w:shd w:val="clear" w:color="auto" w:fill="D9D9D9" w:themeFill="background1" w:themeFillShade="D9"/>
        <w:tblLook w:val="04A0" w:firstRow="1" w:lastRow="0" w:firstColumn="1" w:lastColumn="0" w:noHBand="0" w:noVBand="1"/>
      </w:tblPr>
      <w:tblGrid>
        <w:gridCol w:w="4560"/>
      </w:tblGrid>
      <w:tr w:rsidR="00E853FE" w:rsidTr="00D67309">
        <w:tc>
          <w:tcPr>
            <w:tcW w:w="4560" w:type="dxa"/>
            <w:shd w:val="clear" w:color="auto" w:fill="D9D9D9" w:themeFill="background1" w:themeFillShade="D9"/>
          </w:tcPr>
          <w:p w:rsidR="00E853FE" w:rsidRDefault="00E853FE" w:rsidP="00E853FE">
            <w:pPr>
              <w:pStyle w:val="11-"/>
              <w:spacing w:before="72" w:after="108"/>
              <w:rPr>
                <w:lang w:eastAsia="zh-TW"/>
              </w:rPr>
            </w:pPr>
            <w:r w:rsidRPr="00AC77DF">
              <w:lastRenderedPageBreak/>
              <w:t>性侵假釋犯破壞電子腳鐐潛逃案</w:t>
            </w:r>
            <w:bookmarkEnd w:id="659"/>
            <w:bookmarkEnd w:id="660"/>
          </w:p>
        </w:tc>
      </w:tr>
    </w:tbl>
    <w:p w:rsidR="003807A5" w:rsidRPr="00AC77DF" w:rsidRDefault="00E853FE" w:rsidP="00DE66F8">
      <w:pPr>
        <w:pStyle w:val="afff1"/>
        <w:spacing w:before="360" w:after="360"/>
      </w:pPr>
      <w:r>
        <w:rPr>
          <w:rFonts w:hint="eastAsia"/>
        </w:rPr>
        <w:t>(一)</w:t>
      </w:r>
      <w:r w:rsidR="003807A5" w:rsidRPr="00AC77DF">
        <w:t>案情簡述</w:t>
      </w:r>
    </w:p>
    <w:p w:rsidR="003807A5" w:rsidRPr="00AC77DF" w:rsidRDefault="003807A5" w:rsidP="000315BA">
      <w:pPr>
        <w:pStyle w:val="1---"/>
        <w:ind w:firstLine="480"/>
      </w:pPr>
      <w:r w:rsidRPr="00AC77DF">
        <w:t>據悉，澎湖地區蕭姓性侵假釋犯破壞電子腳鐐後搭船潛返臺灣，後經警方於臺北萬華某旅館緝獲，造成社會恐慌。究電子腳鐐是否為適當有效之監控方式？該人犯脫逃時之港口管制有無疏失？假釋後保護管束之措施是否確實？均有深入探究之必要，爰經監察委員立案調查。</w:t>
      </w:r>
    </w:p>
    <w:p w:rsidR="003807A5" w:rsidRPr="00AC77DF" w:rsidRDefault="00E853FE" w:rsidP="00DE66F8">
      <w:pPr>
        <w:pStyle w:val="afff1"/>
        <w:spacing w:before="360" w:after="360"/>
      </w:pPr>
      <w:r>
        <w:rPr>
          <w:rFonts w:hint="eastAsia"/>
        </w:rPr>
        <w:t>(二)</w:t>
      </w:r>
      <w:r w:rsidR="003807A5" w:rsidRPr="00AC77DF">
        <w:t>監察院調查發現與建議</w:t>
      </w:r>
    </w:p>
    <w:p w:rsidR="003807A5" w:rsidRPr="00AC77DF" w:rsidRDefault="000B4370" w:rsidP="00564517">
      <w:pPr>
        <w:pStyle w:val="1--13"/>
        <w:spacing w:before="180" w:after="180"/>
      </w:pPr>
      <w:r w:rsidRPr="008E1832">
        <w:rPr>
          <w:rFonts w:hint="eastAsia"/>
        </w:rPr>
        <w:t>˙</w:t>
      </w:r>
      <w:r w:rsidR="003807A5" w:rsidRPr="00AC77DF">
        <w:t>誤判逃亡風險</w:t>
      </w:r>
    </w:p>
    <w:p w:rsidR="003807A5" w:rsidRPr="00AC77DF" w:rsidRDefault="003807A5" w:rsidP="000315BA">
      <w:pPr>
        <w:pStyle w:val="1---"/>
        <w:ind w:firstLine="480"/>
        <w:rPr>
          <w:lang w:eastAsia="zh-TW"/>
        </w:rPr>
      </w:pPr>
      <w:r w:rsidRPr="0025002C">
        <w:rPr>
          <w:rFonts w:hint="eastAsia"/>
        </w:rPr>
        <w:t>臺灣澎湖地方檢察署（簡稱澎湖地檢署）</w:t>
      </w:r>
      <w:r w:rsidRPr="00AC77DF">
        <w:t>於</w:t>
      </w:r>
      <w:r w:rsidRPr="00AC77DF">
        <w:t>106</w:t>
      </w:r>
      <w:r w:rsidRPr="00AC77DF">
        <w:t>年</w:t>
      </w:r>
      <w:r w:rsidRPr="00AC77DF">
        <w:t>5</w:t>
      </w:r>
      <w:r w:rsidRPr="00AC77DF">
        <w:t>月</w:t>
      </w:r>
      <w:r w:rsidRPr="00AC77DF">
        <w:t>5</w:t>
      </w:r>
      <w:r w:rsidRPr="00AC77DF">
        <w:t>日辦理性侵害付保護管束個案蕭</w:t>
      </w:r>
      <w:r w:rsidR="000853BF">
        <w:rPr>
          <w:rFonts w:hint="eastAsia"/>
        </w:rPr>
        <w:t>○○</w:t>
      </w:r>
      <w:r w:rsidRPr="00AC77DF">
        <w:t>因另犯刑案撤銷假釋時，對蕭員逃亡風險有所誤判，未依「法務部所屬檢察、矯正機關強化監控與輔導性侵害及性騷擾案件付保護管束行動方案」，啟動再犯通知與撤銷假釋無縫銜接機制，致蕭員不僅破壞電子腳鐐，更順利出海逃回臺灣，造成社會恐慌。</w:t>
      </w:r>
    </w:p>
    <w:p w:rsidR="003807A5" w:rsidRPr="00AC77DF" w:rsidRDefault="000B4370" w:rsidP="00564517">
      <w:pPr>
        <w:pStyle w:val="1--13"/>
        <w:spacing w:before="180" w:after="180"/>
      </w:pPr>
      <w:r w:rsidRPr="008E1832">
        <w:rPr>
          <w:rFonts w:hint="eastAsia"/>
        </w:rPr>
        <w:t>˙</w:t>
      </w:r>
      <w:r w:rsidR="003807A5" w:rsidRPr="00AC77DF">
        <w:t>安檢資訊系統待改進</w:t>
      </w:r>
    </w:p>
    <w:p w:rsidR="003807A5" w:rsidRPr="00AC77DF" w:rsidRDefault="003807A5" w:rsidP="000315BA">
      <w:pPr>
        <w:pStyle w:val="1---"/>
        <w:ind w:firstLine="480"/>
        <w:rPr>
          <w:lang w:eastAsia="zh-TW"/>
        </w:rPr>
      </w:pPr>
      <w:r w:rsidRPr="00AC77DF">
        <w:t>海巡署海岸巡防總局馬公商港安檢所雖經運用安檢資訊系統查悉蕭員為澎湖地檢署「限制出海」之對象，然因該總局未將安檢手冊與相關法令彙編依</w:t>
      </w:r>
      <w:r w:rsidRPr="00AC77DF">
        <w:t>95</w:t>
      </w:r>
      <w:r w:rsidRPr="00AC77DF">
        <w:t>年</w:t>
      </w:r>
      <w:r w:rsidRPr="00AC77DF">
        <w:t>10</w:t>
      </w:r>
      <w:r w:rsidRPr="00AC77DF">
        <w:t>月之函示修正為「限制</w:t>
      </w:r>
      <w:r w:rsidRPr="00AC77DF">
        <w:lastRenderedPageBreak/>
        <w:t>出海對象，應即禁止搭船出海</w:t>
      </w:r>
      <w:r w:rsidRPr="00D54AFE">
        <w:rPr>
          <w:spacing w:val="-28"/>
        </w:rPr>
        <w:t>」</w:t>
      </w:r>
      <w:r w:rsidRPr="00AC77DF">
        <w:t>，致安檢所人員於</w:t>
      </w:r>
      <w:r w:rsidRPr="00AC77DF">
        <w:t>106</w:t>
      </w:r>
      <w:r w:rsidRPr="00AC77DF">
        <w:t>年</w:t>
      </w:r>
      <w:r w:rsidRPr="00AC77DF">
        <w:t>5</w:t>
      </w:r>
      <w:r w:rsidRPr="00AC77DF">
        <w:t>月</w:t>
      </w:r>
      <w:r w:rsidRPr="00AC77DF">
        <w:t>10</w:t>
      </w:r>
      <w:r w:rsidRPr="00AC77DF">
        <w:t>日查察蕭員搭乘客輪前往嘉義時，因上述誤解及安檢資訊系統一次僅能顯示單一處分種類（即顯示「限制出海</w:t>
      </w:r>
      <w:r w:rsidRPr="00D54AFE">
        <w:rPr>
          <w:spacing w:val="-28"/>
        </w:rPr>
        <w:t>」</w:t>
      </w:r>
      <w:r w:rsidRPr="00AC77DF">
        <w:t>，就無法顯示「限制住居</w:t>
      </w:r>
      <w:r w:rsidRPr="00D54AFE">
        <w:rPr>
          <w:spacing w:val="-28"/>
        </w:rPr>
        <w:t>」）</w:t>
      </w:r>
      <w:r w:rsidRPr="00AC77DF">
        <w:t>。雖知蕭員為限制出海對象，仍未禁止其搭乘客船出海。海巡署應立即全面審視及修正安檢相關法令，並改進資訊系統設定，俾供所屬遵循有據。</w:t>
      </w:r>
    </w:p>
    <w:p w:rsidR="003807A5" w:rsidRPr="00AC77DF" w:rsidRDefault="000B4370" w:rsidP="00564517">
      <w:pPr>
        <w:pStyle w:val="1--13"/>
        <w:spacing w:before="180" w:after="180"/>
      </w:pPr>
      <w:r w:rsidRPr="008E1832">
        <w:rPr>
          <w:rFonts w:hint="eastAsia"/>
        </w:rPr>
        <w:t>˙</w:t>
      </w:r>
      <w:r w:rsidR="003807A5" w:rsidRPr="00AC77DF">
        <w:t>性侵害犯罪防治</w:t>
      </w:r>
    </w:p>
    <w:p w:rsidR="003807A5" w:rsidRPr="00AC77DF" w:rsidRDefault="003807A5" w:rsidP="000315BA">
      <w:pPr>
        <w:pStyle w:val="1---"/>
        <w:ind w:firstLine="480"/>
      </w:pPr>
      <w:r w:rsidRPr="00AC77DF">
        <w:t>法務部應重視社會對於性侵害犯罪零容忍之輿論，審慎研議可否修正通緝書類處理系統，開放保護管束事件可以通緝性侵害犯人。鑑於目前觀護人於接獲性侵害犯人破壞電子腳鐐之訊號協請警方協助時，需由觀護人報請檢察官核發拘票，過程緩不濟急。在保護社會安全及兼顧人權之前提下，是否授予警察逕行拘捕權，司法改革國是會議亦曾就此議題作出修正性侵害犯罪防治法之決議。為期至當允適，衛福部與法務部、內政部應思考如何取捨，始為善策。</w:t>
      </w:r>
    </w:p>
    <w:p w:rsidR="003807A5" w:rsidRPr="00AC77DF" w:rsidRDefault="000B4370" w:rsidP="00564517">
      <w:pPr>
        <w:pStyle w:val="1--13"/>
        <w:spacing w:before="180" w:after="180"/>
      </w:pPr>
      <w:r w:rsidRPr="008E1832">
        <w:rPr>
          <w:rFonts w:hint="eastAsia"/>
        </w:rPr>
        <w:t>˙</w:t>
      </w:r>
      <w:r w:rsidR="003807A5" w:rsidRPr="00AC77DF">
        <w:t>改善科技監控設備</w:t>
      </w:r>
    </w:p>
    <w:p w:rsidR="003807A5" w:rsidRPr="00AC77DF" w:rsidRDefault="003807A5" w:rsidP="000315BA">
      <w:pPr>
        <w:pStyle w:val="1---"/>
        <w:ind w:firstLine="480"/>
      </w:pPr>
      <w:r w:rsidRPr="00AC77DF">
        <w:t>法務部應責成所屬持續改良科技監控設備破壞難度、設備功能及通訊品質，並加強各地檢署輪值人員相關教育訓練，以提升科技監控違規事件之判斷精確度。</w:t>
      </w:r>
    </w:p>
    <w:p w:rsidR="003807A5" w:rsidRPr="00AC77DF" w:rsidRDefault="003807A5" w:rsidP="000315BA">
      <w:pPr>
        <w:pStyle w:val="1---"/>
        <w:ind w:firstLine="480"/>
      </w:pPr>
      <w:r w:rsidRPr="00AC77DF">
        <w:t>依據本案調查意見</w:t>
      </w:r>
      <w:r w:rsidRPr="00F85A65">
        <w:rPr>
          <w:rStyle w:val="aff2"/>
        </w:rPr>
        <w:footnoteReference w:id="152"/>
      </w:r>
      <w:r w:rsidRPr="00AC77DF">
        <w:t>，監察院函請法務部轉飭澎湖地檢署檢討改善，並函前行政院海岸巡防署轉飭該署海岸巡防總局檢</w:t>
      </w:r>
      <w:r w:rsidRPr="00AC77DF">
        <w:lastRenderedPageBreak/>
        <w:t>討改進並議處失職人員；另分函衛福部、法務部、內政部檢討辦理見復。</w:t>
      </w:r>
    </w:p>
    <w:p w:rsidR="003807A5" w:rsidRPr="00AC77DF" w:rsidRDefault="00E853FE" w:rsidP="00DE66F8">
      <w:pPr>
        <w:pStyle w:val="afff1"/>
        <w:spacing w:before="360" w:after="360"/>
      </w:pPr>
      <w:r>
        <w:rPr>
          <w:rFonts w:hint="eastAsia"/>
        </w:rPr>
        <w:t>(三)</w:t>
      </w:r>
      <w:r w:rsidR="003807A5" w:rsidRPr="00AC77DF">
        <w:t>政府機關改善情形</w:t>
      </w:r>
    </w:p>
    <w:p w:rsidR="003807A5" w:rsidRPr="00AC77DF" w:rsidRDefault="003807A5" w:rsidP="00425EE5">
      <w:pPr>
        <w:pStyle w:val="1----"/>
        <w:ind w:left="600" w:hanging="360"/>
      </w:pPr>
      <w:r w:rsidRPr="00AC77DF">
        <w:t>1</w:t>
      </w:r>
      <w:r w:rsidRPr="00AC77DF">
        <w:t>、澎湖地檢署確依「法務部所屬檢察、矯正機關強化監控與輔導性侵害及性騷擾案件付保護管束行動方案</w:t>
      </w:r>
      <w:r w:rsidRPr="00D54AFE">
        <w:rPr>
          <w:spacing w:val="-28"/>
        </w:rPr>
        <w:t>」</w:t>
      </w:r>
      <w:r w:rsidRPr="00AC77DF">
        <w:t>，辦理無縫撤銷假釋相關作業，並律定三層督核機制，落實性侵害及性騷擾保護管束案件之執行，並強化與警察、海巡機關之聯繫，適時啟動防逃機制、風險控管及危機處理。另該署建置「臺灣澎湖地方檢察署管制出境、出海、住居資料查詢網絡系統</w:t>
      </w:r>
      <w:r w:rsidRPr="00D54AFE">
        <w:rPr>
          <w:spacing w:val="-28"/>
        </w:rPr>
        <w:t>」</w:t>
      </w:r>
      <w:r w:rsidRPr="00AC77DF">
        <w:t>，管控限制出境、出海人員基本資料之正確性，便於各該管制單位查詢，以防範類此脫逃情事再次發生。</w:t>
      </w:r>
    </w:p>
    <w:p w:rsidR="003807A5" w:rsidRPr="00AC77DF" w:rsidRDefault="003807A5" w:rsidP="00425EE5">
      <w:pPr>
        <w:pStyle w:val="1----"/>
        <w:ind w:left="600" w:hanging="360"/>
      </w:pPr>
      <w:r w:rsidRPr="00AC77DF">
        <w:t>2</w:t>
      </w:r>
      <w:r w:rsidRPr="00AC77DF">
        <w:t>、海岸巡防總局已於</w:t>
      </w:r>
      <w:r w:rsidRPr="00AC77DF">
        <w:t>106</w:t>
      </w:r>
      <w:r w:rsidRPr="00AC77DF">
        <w:t>年</w:t>
      </w:r>
      <w:r w:rsidRPr="00AC77DF">
        <w:t>7</w:t>
      </w:r>
      <w:r w:rsidRPr="00AC77DF">
        <w:t>月</w:t>
      </w:r>
      <w:r w:rsidRPr="00AC77DF">
        <w:t>6</w:t>
      </w:r>
      <w:r w:rsidRPr="00AC77DF">
        <w:t>日函頒「對限制出海處分安全檢查勤務指導作為</w:t>
      </w:r>
      <w:r w:rsidRPr="00D54AFE">
        <w:rPr>
          <w:spacing w:val="-28"/>
        </w:rPr>
        <w:t>」</w:t>
      </w:r>
      <w:r w:rsidRPr="00AC77DF">
        <w:t>，停止適用</w:t>
      </w:r>
      <w:r w:rsidRPr="00AC77DF">
        <w:t>93</w:t>
      </w:r>
      <w:r w:rsidRPr="00AC77DF">
        <w:t>年函釋。另修正「安檢常見問題暨處置要領參考手冊」及「</w:t>
      </w:r>
      <w:r w:rsidRPr="00AC77DF">
        <w:t>106</w:t>
      </w:r>
      <w:r w:rsidRPr="00AC77DF">
        <w:t>年版安檢相關法令彙編</w:t>
      </w:r>
      <w:r w:rsidRPr="00D54AFE">
        <w:rPr>
          <w:spacing w:val="-28"/>
        </w:rPr>
        <w:t>」</w:t>
      </w:r>
      <w:r w:rsidRPr="00AC77DF">
        <w:t>，將內容公告該總局內部網站，要求所屬發現「限制出海」對象，即禁止出海。另該總局已懲處失職人員，並完成安</w:t>
      </w:r>
      <w:r w:rsidR="005F0413">
        <w:rPr>
          <w:rFonts w:hint="eastAsia"/>
          <w:lang w:eastAsia="zh-TW"/>
        </w:rPr>
        <w:t>檢</w:t>
      </w:r>
      <w:r w:rsidRPr="00AC77DF">
        <w:t>資</w:t>
      </w:r>
      <w:r w:rsidR="005F0413">
        <w:rPr>
          <w:rFonts w:hint="eastAsia"/>
          <w:lang w:eastAsia="zh-TW"/>
        </w:rPr>
        <w:t>訊</w:t>
      </w:r>
      <w:r w:rsidRPr="00AC77DF">
        <w:t>系統測試及調整。</w:t>
      </w:r>
    </w:p>
    <w:p w:rsidR="003807A5" w:rsidRPr="00AC77DF" w:rsidRDefault="003807A5" w:rsidP="00425EE5">
      <w:pPr>
        <w:pStyle w:val="1----"/>
        <w:ind w:left="600" w:hanging="360"/>
      </w:pPr>
      <w:r w:rsidRPr="00AC77DF">
        <w:t>3</w:t>
      </w:r>
      <w:r w:rsidRPr="00AC77DF">
        <w:t>、法務部於</w:t>
      </w:r>
      <w:r w:rsidRPr="00AC77DF">
        <w:t>106</w:t>
      </w:r>
      <w:r w:rsidRPr="00AC77DF">
        <w:t>年</w:t>
      </w:r>
      <w:r w:rsidRPr="00AC77DF">
        <w:t>12</w:t>
      </w:r>
      <w:r w:rsidRPr="00AC77DF">
        <w:t>月</w:t>
      </w:r>
      <w:r w:rsidRPr="00AC77DF">
        <w:t>5</w:t>
      </w:r>
      <w:r w:rsidRPr="00AC77DF">
        <w:t>日召開「防範性侵害犯罪付保護管束人破壞科技監控設備及處置流程精進會議</w:t>
      </w:r>
      <w:r w:rsidRPr="00D54AFE">
        <w:rPr>
          <w:spacing w:val="-28"/>
        </w:rPr>
        <w:t>」</w:t>
      </w:r>
      <w:r w:rsidRPr="00AC77DF">
        <w:t>，決議破壞科技監控設備者應適用刑法第</w:t>
      </w:r>
      <w:r w:rsidRPr="00AC77DF">
        <w:t>138</w:t>
      </w:r>
      <w:r w:rsidRPr="00AC77DF">
        <w:t>條毀損公物罪，可由檢察官分案偵辦，進行相關偵查程序；必要時得向法院聲請羈押，避免危害擴大。</w:t>
      </w:r>
    </w:p>
    <w:p w:rsidR="003807A5" w:rsidRPr="00AC77DF" w:rsidRDefault="003807A5" w:rsidP="00425EE5">
      <w:pPr>
        <w:pStyle w:val="1----"/>
        <w:ind w:left="600" w:hanging="360"/>
      </w:pPr>
      <w:r w:rsidRPr="00AC77DF">
        <w:lastRenderedPageBreak/>
        <w:t>4</w:t>
      </w:r>
      <w:r w:rsidRPr="00AC77DF">
        <w:t>、法務部所擬「性侵害犯罪防治法」第</w:t>
      </w:r>
      <w:r w:rsidRPr="00AC77DF">
        <w:t>35</w:t>
      </w:r>
      <w:r w:rsidRPr="00AC77DF">
        <w:t>條修正條文，加害人有故意拆除、損壞、隱匿、阻斷科技監控設備而情況急迫者，經該管地方檢察署通報警察機關，司法警察官或司法警察得逕行拘提之。業經衛福部性侵害犯罪防治法修正草案研商會議討論通過，刻正依法制作業程序函報行政院審議，後續將積極推動修法相關事宜，以確保社會大眾之人身安全。</w:t>
      </w:r>
    </w:p>
    <w:p w:rsidR="003807A5" w:rsidRPr="00AC77DF" w:rsidRDefault="003807A5" w:rsidP="00425EE5">
      <w:pPr>
        <w:pStyle w:val="1----"/>
        <w:ind w:left="600" w:hanging="360"/>
      </w:pPr>
      <w:r w:rsidRPr="00AC77DF">
        <w:t>5</w:t>
      </w:r>
      <w:r w:rsidRPr="00AC77DF">
        <w:t>、法務部已責成</w:t>
      </w:r>
      <w:r w:rsidR="005012B9">
        <w:rPr>
          <w:rFonts w:hint="eastAsia"/>
        </w:rPr>
        <w:t>高檢署</w:t>
      </w:r>
      <w:r w:rsidRPr="00AC77DF">
        <w:t>持續改良科技監控設備破壞難度、設備功能及通訊品質，並加強各地檢署輪值人員之判斷、判讀知能，該署合約規範將納入教育訓練課程，協同合約廠商持續辦理訓練並提供相關教材。</w:t>
      </w:r>
    </w:p>
    <w:p w:rsidR="003807A5" w:rsidRPr="00AC77DF" w:rsidRDefault="00E853FE" w:rsidP="00DE66F8">
      <w:pPr>
        <w:pStyle w:val="afff1"/>
        <w:spacing w:before="360" w:after="360"/>
      </w:pPr>
      <w:r>
        <w:rPr>
          <w:rFonts w:hint="eastAsia"/>
        </w:rPr>
        <w:t>(四)</w:t>
      </w:r>
      <w:r w:rsidR="003807A5" w:rsidRPr="00AC77DF">
        <w:t>案件進展</w:t>
      </w:r>
    </w:p>
    <w:p w:rsidR="003807A5" w:rsidRPr="00AC77DF" w:rsidRDefault="003807A5" w:rsidP="000315BA">
      <w:pPr>
        <w:pStyle w:val="1---"/>
        <w:ind w:firstLine="480"/>
      </w:pPr>
      <w:r w:rsidRPr="00AC77DF">
        <w:t>本案監察院仍持續追蹤法務部就保護管束案件通（撤）緝作業流程及資訊系統研議辦理情形，以及性侵害犯罪防治法第</w:t>
      </w:r>
      <w:r w:rsidRPr="00AC77DF">
        <w:t>35</w:t>
      </w:r>
      <w:r w:rsidRPr="00AC77DF">
        <w:t>條修正之法制作業程序，維護婦女人權及社會安全。</w:t>
      </w:r>
    </w:p>
    <w:p w:rsidR="003807A5" w:rsidRPr="00AC77DF" w:rsidRDefault="00802DFF" w:rsidP="00802DFF">
      <w:pPr>
        <w:pStyle w:val="1--16"/>
        <w:spacing w:before="180" w:after="180"/>
      </w:pPr>
      <w:bookmarkStart w:id="661" w:name="_Toc535228426"/>
      <w:bookmarkStart w:id="662" w:name="_Toc4058838"/>
      <w:r>
        <w:rPr>
          <w:rFonts w:hint="eastAsia"/>
        </w:rPr>
        <w:t>◆</w:t>
      </w:r>
      <w:r w:rsidR="003807A5" w:rsidRPr="00AC77DF">
        <w:t>評析</w:t>
      </w:r>
      <w:bookmarkEnd w:id="661"/>
      <w:bookmarkEnd w:id="662"/>
    </w:p>
    <w:p w:rsidR="003807A5" w:rsidRPr="00AC77DF" w:rsidRDefault="003807A5" w:rsidP="000315BA">
      <w:pPr>
        <w:pStyle w:val="1---"/>
        <w:ind w:firstLine="480"/>
        <w:rPr>
          <w:lang w:eastAsia="zh-TW"/>
        </w:rPr>
      </w:pPr>
      <w:r w:rsidRPr="00AC77DF">
        <w:t>「社會保障」乃國家或社會透過各種組織或制度，以保障社會成員，特別是因貧病傷殘、老弱孤獨及災害意外等特定事故而造成無力生活或生活困難者的基本生活權利之社會安全制度。</w:t>
      </w:r>
      <w:r w:rsidR="00FB2C93">
        <w:t>世界人權宣言</w:t>
      </w:r>
      <w:r w:rsidRPr="00AC77DF">
        <w:t>第</w:t>
      </w:r>
      <w:r w:rsidRPr="00AC77DF">
        <w:t>22</w:t>
      </w:r>
      <w:r w:rsidRPr="00AC77DF">
        <w:t>條揭示</w:t>
      </w:r>
      <w:r w:rsidRPr="00D54AFE">
        <w:rPr>
          <w:spacing w:val="-28"/>
        </w:rPr>
        <w:t>：</w:t>
      </w:r>
      <w:r w:rsidRPr="00AC77DF">
        <w:t>「每個人，作為社會的一員，有權享受社會保障</w:t>
      </w:r>
      <w:r w:rsidRPr="00D54AFE">
        <w:rPr>
          <w:spacing w:val="-28"/>
        </w:rPr>
        <w:t>。</w:t>
      </w:r>
      <w:r w:rsidRPr="00AC77DF">
        <w:t>」而</w:t>
      </w:r>
      <w:r w:rsidR="003B029E">
        <w:t>經濟社會文化權利國際公約</w:t>
      </w:r>
      <w:r w:rsidRPr="00AC77DF">
        <w:t>第</w:t>
      </w:r>
      <w:r w:rsidRPr="00AC77DF">
        <w:t>9</w:t>
      </w:r>
      <w:r w:rsidRPr="00AC77DF">
        <w:t>條也規定</w:t>
      </w:r>
      <w:r w:rsidRPr="00D54AFE">
        <w:rPr>
          <w:spacing w:val="-28"/>
        </w:rPr>
        <w:t>：</w:t>
      </w:r>
      <w:r w:rsidRPr="00AC77DF">
        <w:t>「人人有權享受社會保障，包括社會保險</w:t>
      </w:r>
      <w:r w:rsidRPr="00D54AFE">
        <w:rPr>
          <w:spacing w:val="-28"/>
        </w:rPr>
        <w:t>。</w:t>
      </w:r>
      <w:r w:rsidRPr="00AC77DF">
        <w:t>」至於我國憲</w:t>
      </w:r>
      <w:r w:rsidRPr="00AC77DF">
        <w:lastRenderedPageBreak/>
        <w:t>法第</w:t>
      </w:r>
      <w:r w:rsidRPr="00AC77DF">
        <w:t>13</w:t>
      </w:r>
      <w:r w:rsidRPr="00AC77DF">
        <w:t>章第</w:t>
      </w:r>
      <w:r w:rsidRPr="00AC77DF">
        <w:t>4</w:t>
      </w:r>
      <w:r w:rsidRPr="00AC77DF">
        <w:t>節以「社會安全」為題，共</w:t>
      </w:r>
      <w:r w:rsidRPr="00AC77DF">
        <w:t>6</w:t>
      </w:r>
      <w:r w:rsidRPr="00AC77DF">
        <w:rPr>
          <w:spacing w:val="4"/>
        </w:rPr>
        <w:t>條，皆與社會保障有關，如第</w:t>
      </w:r>
      <w:r w:rsidRPr="00AC77DF">
        <w:rPr>
          <w:spacing w:val="4"/>
        </w:rPr>
        <w:t>155</w:t>
      </w:r>
      <w:r w:rsidRPr="00AC77DF">
        <w:rPr>
          <w:spacing w:val="4"/>
        </w:rPr>
        <w:t>條規定</w:t>
      </w:r>
      <w:r w:rsidRPr="00D54AFE">
        <w:rPr>
          <w:spacing w:val="-28"/>
        </w:rPr>
        <w:t>：</w:t>
      </w:r>
      <w:r w:rsidRPr="00AC77DF">
        <w:rPr>
          <w:spacing w:val="4"/>
        </w:rPr>
        <w:t>「國家為謀社會福利</w:t>
      </w:r>
      <w:r w:rsidRPr="00AC77DF">
        <w:t>，應實施社會保險制度。人民之老弱殘廢，無力生活，及受非常災害者，國家應予以適當之扶助與救濟</w:t>
      </w:r>
      <w:r w:rsidRPr="00D54AFE">
        <w:rPr>
          <w:spacing w:val="-28"/>
        </w:rPr>
        <w:t>。</w:t>
      </w:r>
      <w:r w:rsidRPr="00AC77DF">
        <w:t>」另憲法增修條文第</w:t>
      </w:r>
      <w:r w:rsidRPr="00AC77DF">
        <w:t>10</w:t>
      </w:r>
      <w:r w:rsidRPr="00AC77DF">
        <w:t>條各項也揭示「推行全民健康保險</w:t>
      </w:r>
      <w:r w:rsidRPr="00D54AFE">
        <w:rPr>
          <w:spacing w:val="-28"/>
        </w:rPr>
        <w:t>」、</w:t>
      </w:r>
      <w:r w:rsidRPr="00AC77DF">
        <w:t>「身心障礙者之保險與就醫</w:t>
      </w:r>
      <w:r w:rsidRPr="00D54AFE">
        <w:rPr>
          <w:spacing w:val="-28"/>
        </w:rPr>
        <w:t>」、</w:t>
      </w:r>
      <w:r w:rsidRPr="00AC77DF">
        <w:t>「社會救助、福利服務</w:t>
      </w:r>
      <w:r w:rsidRPr="00D54AFE">
        <w:rPr>
          <w:spacing w:val="-28"/>
        </w:rPr>
        <w:t>」、</w:t>
      </w:r>
      <w:r w:rsidRPr="00AC77DF">
        <w:t>「軍人退役後之就學、就業、就醫、就養</w:t>
      </w:r>
      <w:r w:rsidRPr="00D54AFE">
        <w:rPr>
          <w:spacing w:val="-28"/>
        </w:rPr>
        <w:t>」、</w:t>
      </w:r>
      <w:r w:rsidRPr="00AC77DF">
        <w:t>「原住民族之社會福利」等規定，以充實憲法第</w:t>
      </w:r>
      <w:r w:rsidRPr="00AC77DF">
        <w:t>13</w:t>
      </w:r>
      <w:r w:rsidRPr="00AC77DF">
        <w:t>章第</w:t>
      </w:r>
      <w:r w:rsidRPr="00AC77DF">
        <w:t>4</w:t>
      </w:r>
      <w:r w:rsidRPr="00AC77DF">
        <w:t>節之內容。</w:t>
      </w:r>
    </w:p>
    <w:p w:rsidR="003807A5" w:rsidRPr="00AC77DF" w:rsidRDefault="003807A5" w:rsidP="000315BA">
      <w:pPr>
        <w:pStyle w:val="1---"/>
        <w:ind w:firstLine="480"/>
        <w:rPr>
          <w:lang w:eastAsia="zh-TW"/>
        </w:rPr>
      </w:pPr>
      <w:r w:rsidRPr="00AC77DF">
        <w:t>本章分別就身心障礙者之就業基金、勞工退休準備金、老人安養及社會安全四個面向摘錄相關個案。在地方政府運用身心障礙者就業基金檢視案，監察院調查發現，各地方政府身心障礙者就業基金餘額差距過大，且</w:t>
      </w:r>
      <w:r w:rsidRPr="00AC77DF">
        <w:t>101</w:t>
      </w:r>
      <w:r w:rsidRPr="00AC77DF">
        <w:t>至</w:t>
      </w:r>
      <w:r w:rsidRPr="00AC77DF">
        <w:t>104</w:t>
      </w:r>
      <w:r w:rsidRPr="00AC77DF">
        <w:t>年竟有</w:t>
      </w:r>
      <w:r w:rsidRPr="00AC77DF">
        <w:t>10</w:t>
      </w:r>
      <w:r w:rsidRPr="00AC77DF">
        <w:t>個地方政府未依法編列公務預算辦理身心障礙者就業促進業務；即使有編列者，金額卻偏低，甚至逐年減少，而主管機關卻未有效督促改善。案經監察院調查後，主管機關已檢討並修正提撥及分配相關法規，並督導地方政府</w:t>
      </w:r>
      <w:r w:rsidR="006A632C">
        <w:rPr>
          <w:rFonts w:hint="eastAsia"/>
        </w:rPr>
        <w:t>落實執行</w:t>
      </w:r>
      <w:r w:rsidRPr="00AC77DF">
        <w:t>。</w:t>
      </w:r>
    </w:p>
    <w:p w:rsidR="003807A5" w:rsidRPr="00AC77DF" w:rsidRDefault="003807A5" w:rsidP="000315BA">
      <w:pPr>
        <w:pStyle w:val="1---"/>
        <w:ind w:firstLine="480"/>
        <w:rPr>
          <w:lang w:eastAsia="zh-TW"/>
        </w:rPr>
      </w:pPr>
      <w:r w:rsidRPr="00AC77DF">
        <w:t>針對各事業單位提撥勞工退休準備金情形，</w:t>
      </w:r>
      <w:r w:rsidR="006A632C">
        <w:rPr>
          <w:rFonts w:hint="eastAsia"/>
        </w:rPr>
        <w:t>監察院調查</w:t>
      </w:r>
      <w:r w:rsidRPr="00AC77DF">
        <w:t>發現有業者未依規定提撥勞工退休準備金且有公部門未補足勞工退休準備金情事。案經監察院調查後，勞動部已函請各機關並督導業者儘速籌措經費，補足準備金差額。</w:t>
      </w:r>
    </w:p>
    <w:p w:rsidR="003807A5" w:rsidRPr="00AC77DF" w:rsidRDefault="003807A5" w:rsidP="000315BA">
      <w:pPr>
        <w:pStyle w:val="1---"/>
        <w:ind w:firstLine="480"/>
        <w:rPr>
          <w:lang w:eastAsia="zh-TW"/>
        </w:rPr>
      </w:pPr>
      <w:r w:rsidRPr="00AC77DF">
        <w:t>臺灣自</w:t>
      </w:r>
      <w:r w:rsidRPr="00AC77DF">
        <w:t>107</w:t>
      </w:r>
      <w:r w:rsidRPr="00AC77DF">
        <w:t>年老年人口比率已超過</w:t>
      </w:r>
      <w:r w:rsidRPr="00AC77DF">
        <w:t>14%</w:t>
      </w:r>
      <w:r w:rsidRPr="00AC77DF">
        <w:t>而正式邁入高齡社會，預計至</w:t>
      </w:r>
      <w:r w:rsidRPr="00AC77DF">
        <w:t>135</w:t>
      </w:r>
      <w:r w:rsidRPr="00AC77DF">
        <w:t>年，我國人口中的三分之一是老人。如何因應並確保老年人生活安定與尊嚴，實乃政府施政一大課題。內政部因應我國社會的高齡化，於</w:t>
      </w:r>
      <w:r w:rsidRPr="00AC77DF">
        <w:t>102</w:t>
      </w:r>
      <w:r w:rsidRPr="00AC77DF">
        <w:t>年推出「不動產逆向抵押貸款制度試辦方案</w:t>
      </w:r>
      <w:r w:rsidRPr="00D54AFE">
        <w:rPr>
          <w:spacing w:val="-28"/>
        </w:rPr>
        <w:t>」</w:t>
      </w:r>
      <w:r w:rsidRPr="00AC77DF">
        <w:t>，隔年臺北市政府亦推出「臺北市公益型『</w:t>
      </w:r>
      <w:r w:rsidRPr="00AC77DF">
        <w:lastRenderedPageBreak/>
        <w:t>以房養老』實驗方案</w:t>
      </w:r>
      <w:r w:rsidRPr="00D54AFE">
        <w:rPr>
          <w:spacing w:val="-28"/>
        </w:rPr>
        <w:t>」</w:t>
      </w:r>
      <w:r w:rsidRPr="00AC77DF">
        <w:t>。為瞭解其推展可行性，監察院就以房養老政策進行研析，期望主管機關能建構完善以房養老制度，並就現行法制是否侷限金融機構開辦終身型「以房養老」方案儘速研析，以完善「老有所終」理念。</w:t>
      </w:r>
    </w:p>
    <w:p w:rsidR="003807A5" w:rsidRDefault="003807A5" w:rsidP="000315BA">
      <w:pPr>
        <w:pStyle w:val="1---"/>
        <w:ind w:firstLine="480"/>
        <w:rPr>
          <w:lang w:eastAsia="zh-TW"/>
        </w:rPr>
      </w:pPr>
      <w:r w:rsidRPr="00AC77DF">
        <w:t>為確保社會安全體系之建構，監察院針對性侵害假釋犯破壞電子腳鐐潛逃案進行調查。本案涉及社會安全與假釋犯人權之權衡，經監察院調查後，地檢署已律定三層督核機制，落實性侵害及性騷擾保護管束案件之執行，並強化與警察、海巡機關之聯繫，適時啟動防逃機制、風險控管及危機處理。另持續改良科技監控設備破壞難度、設備功能及通訊品質。期在兼顧犯罪者人權情況下，</w:t>
      </w:r>
      <w:r w:rsidR="006A632C">
        <w:rPr>
          <w:rFonts w:hint="eastAsia"/>
        </w:rPr>
        <w:t>確保</w:t>
      </w:r>
      <w:r w:rsidRPr="00AC77DF">
        <w:t>社會安全之實踐。</w:t>
      </w:r>
    </w:p>
    <w:p w:rsidR="00974F17" w:rsidRDefault="00974F17" w:rsidP="00274413">
      <w:pPr>
        <w:pStyle w:val="1---"/>
        <w:spacing w:after="180"/>
        <w:ind w:firstLine="480"/>
        <w:rPr>
          <w:lang w:eastAsia="zh-TW"/>
        </w:rPr>
      </w:pPr>
    </w:p>
    <w:p w:rsidR="00974F17" w:rsidRPr="00AC77DF" w:rsidRDefault="00974F17" w:rsidP="00274413">
      <w:pPr>
        <w:pStyle w:val="1---"/>
        <w:spacing w:after="180"/>
        <w:ind w:firstLine="480"/>
        <w:rPr>
          <w:lang w:eastAsia="zh-TW"/>
        </w:rPr>
        <w:sectPr w:rsidR="00974F17" w:rsidRPr="00AC77DF" w:rsidSect="00037CD1">
          <w:headerReference w:type="default" r:id="rId30"/>
          <w:pgSz w:w="8392" w:h="11907" w:code="11"/>
          <w:pgMar w:top="1701" w:right="794" w:bottom="1134" w:left="964" w:header="624" w:footer="397" w:gutter="0"/>
          <w:cols w:space="425"/>
          <w:docGrid w:type="lines" w:linePitch="360"/>
        </w:sectPr>
      </w:pPr>
    </w:p>
    <w:p w:rsidR="003807A5" w:rsidRPr="00AC77DF" w:rsidRDefault="003807A5" w:rsidP="00E24CA6">
      <w:pPr>
        <w:pStyle w:val="1--"/>
        <w:spacing w:after="180"/>
      </w:pPr>
      <w:bookmarkStart w:id="663" w:name="_Toc535228427"/>
      <w:bookmarkStart w:id="664" w:name="_Toc4058839"/>
      <w:r w:rsidRPr="00AC77DF">
        <w:lastRenderedPageBreak/>
        <w:t>第十一章</w:t>
      </w:r>
      <w:r w:rsidRPr="00AC77DF">
        <w:rPr>
          <w:rFonts w:ascii="細明體" w:eastAsia="細明體" w:hAnsi="細明體" w:cs="細明體" w:hint="eastAsia"/>
        </w:rPr>
        <w:t xml:space="preserve">　</w:t>
      </w:r>
      <w:r w:rsidRPr="00AC77DF">
        <w:rPr>
          <w:rFonts w:hAnsi="華康粗黑體" w:cs="華康粗黑體" w:hint="eastAsia"/>
        </w:rPr>
        <w:t>其</w:t>
      </w:r>
      <w:r w:rsidRPr="00AC77DF">
        <w:t>他權</w:t>
      </w:r>
      <w:r w:rsidR="00F85A65">
        <w:rPr>
          <w:rFonts w:hint="eastAsia"/>
        </w:rPr>
        <w:t>利</w:t>
      </w:r>
      <w:bookmarkEnd w:id="663"/>
      <w:bookmarkEnd w:id="664"/>
    </w:p>
    <w:p w:rsidR="003807A5" w:rsidRPr="003E255C" w:rsidRDefault="003807A5" w:rsidP="003E255C">
      <w:pPr>
        <w:pStyle w:val="11-"/>
        <w:spacing w:before="72" w:after="108"/>
        <w:rPr>
          <w:sz w:val="32"/>
          <w:szCs w:val="32"/>
        </w:rPr>
      </w:pPr>
      <w:bookmarkStart w:id="665" w:name="_Toc535228428"/>
      <w:bookmarkStart w:id="666" w:name="_Toc4058840"/>
      <w:r w:rsidRPr="003E255C">
        <w:rPr>
          <w:sz w:val="32"/>
          <w:szCs w:val="32"/>
        </w:rPr>
        <w:t>一、學術倫理與著作正義</w:t>
      </w:r>
      <w:bookmarkEnd w:id="665"/>
      <w:bookmarkEnd w:id="666"/>
    </w:p>
    <w:p w:rsidR="00802DFF" w:rsidRDefault="00802DFF" w:rsidP="00802DFF">
      <w:pPr>
        <w:pStyle w:val="1---"/>
        <w:ind w:firstLine="480"/>
        <w:rPr>
          <w:lang w:eastAsia="zh-TW"/>
        </w:rPr>
      </w:pPr>
      <w:bookmarkStart w:id="667" w:name="_Toc535228429"/>
      <w:bookmarkStart w:id="668" w:name="_Toc4058841"/>
    </w:p>
    <w:tbl>
      <w:tblPr>
        <w:tblStyle w:val="aff5"/>
        <w:tblW w:w="0" w:type="auto"/>
        <w:tblInd w:w="113" w:type="dxa"/>
        <w:shd w:val="clear" w:color="auto" w:fill="D9D9D9" w:themeFill="background1" w:themeFillShade="D9"/>
        <w:tblLook w:val="04A0" w:firstRow="1" w:lastRow="0" w:firstColumn="1" w:lastColumn="0" w:noHBand="0" w:noVBand="1"/>
      </w:tblPr>
      <w:tblGrid>
        <w:gridCol w:w="3964"/>
      </w:tblGrid>
      <w:tr w:rsidR="00802DFF" w:rsidTr="003E255C">
        <w:tc>
          <w:tcPr>
            <w:tcW w:w="3964" w:type="dxa"/>
            <w:shd w:val="clear" w:color="auto" w:fill="D9D9D9" w:themeFill="background1" w:themeFillShade="D9"/>
          </w:tcPr>
          <w:p w:rsidR="00802DFF" w:rsidRDefault="00802DFF" w:rsidP="00802DFF">
            <w:pPr>
              <w:pStyle w:val="11-"/>
              <w:spacing w:before="72" w:after="108"/>
              <w:rPr>
                <w:lang w:eastAsia="zh-TW"/>
              </w:rPr>
            </w:pPr>
            <w:r w:rsidRPr="00AC77DF">
              <w:rPr>
                <w:lang w:eastAsia="zh-HK"/>
              </w:rPr>
              <w:t>國立</w:t>
            </w:r>
            <w:r w:rsidRPr="00AC77DF">
              <w:t>大</w:t>
            </w:r>
            <w:r w:rsidRPr="00AC77DF">
              <w:rPr>
                <w:lang w:eastAsia="zh-HK"/>
              </w:rPr>
              <w:t>學</w:t>
            </w:r>
            <w:r w:rsidRPr="00AC77DF">
              <w:t>教授論文涉造假案</w:t>
            </w:r>
          </w:p>
        </w:tc>
      </w:tr>
      <w:bookmarkEnd w:id="667"/>
      <w:bookmarkEnd w:id="668"/>
    </w:tbl>
    <w:p w:rsidR="003807A5" w:rsidRPr="00AC77DF" w:rsidRDefault="003807A5" w:rsidP="00802DFF">
      <w:pPr>
        <w:pStyle w:val="1---"/>
        <w:ind w:firstLine="480"/>
      </w:pPr>
    </w:p>
    <w:tbl>
      <w:tblPr>
        <w:tblW w:w="4756" w:type="pct"/>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16"/>
      </w:tblGrid>
      <w:tr w:rsidR="003807A5" w:rsidRPr="00AC77DF" w:rsidTr="005F0413">
        <w:trPr>
          <w:trHeight w:val="3306"/>
        </w:trPr>
        <w:tc>
          <w:tcPr>
            <w:tcW w:w="5000" w:type="pct"/>
          </w:tcPr>
          <w:p w:rsidR="003807A5" w:rsidRPr="00AC77DF" w:rsidRDefault="003807A5" w:rsidP="003E255C">
            <w:pPr>
              <w:spacing w:line="360" w:lineRule="exact"/>
              <w:jc w:val="both"/>
              <w:rPr>
                <w:lang w:val="x-none"/>
              </w:rPr>
            </w:pPr>
            <w:r w:rsidRPr="00AC77DF">
              <w:rPr>
                <w:b/>
                <w:lang w:val="x-none"/>
              </w:rPr>
              <w:t>相關國際人權公約：</w:t>
            </w:r>
            <w:r w:rsidRPr="00AC77DF">
              <w:t>伯恩公約第</w:t>
            </w:r>
            <w:r w:rsidRPr="00AC77DF">
              <w:t>9</w:t>
            </w:r>
            <w:r w:rsidRPr="00AC77DF">
              <w:t>條</w:t>
            </w:r>
          </w:p>
          <w:p w:rsidR="003807A5" w:rsidRPr="00AC77DF" w:rsidRDefault="003807A5" w:rsidP="003E255C">
            <w:pPr>
              <w:spacing w:line="360" w:lineRule="exact"/>
              <w:jc w:val="both"/>
              <w:rPr>
                <w:b/>
              </w:rPr>
            </w:pPr>
            <w:r w:rsidRPr="00AC77DF">
              <w:rPr>
                <w:b/>
              </w:rPr>
              <w:t>伯恩公約第</w:t>
            </w:r>
            <w:r w:rsidRPr="00AC77DF">
              <w:rPr>
                <w:b/>
              </w:rPr>
              <w:t>9</w:t>
            </w:r>
            <w:r w:rsidRPr="00AC77DF">
              <w:rPr>
                <w:b/>
              </w:rPr>
              <w:t>條（</w:t>
            </w:r>
            <w:r w:rsidRPr="00AC77DF">
              <w:rPr>
                <w:b/>
                <w:lang w:eastAsia="zh-HK"/>
              </w:rPr>
              <w:t>重製權</w:t>
            </w:r>
            <w:r w:rsidRPr="00AC77DF">
              <w:rPr>
                <w:b/>
              </w:rPr>
              <w:t>）</w:t>
            </w:r>
          </w:p>
          <w:p w:rsidR="003807A5" w:rsidRPr="00AC77DF" w:rsidRDefault="003807A5" w:rsidP="003E255C">
            <w:pPr>
              <w:spacing w:line="360" w:lineRule="exact"/>
              <w:jc w:val="both"/>
              <w:rPr>
                <w:lang w:val="x-none"/>
              </w:rPr>
            </w:pPr>
            <w:r w:rsidRPr="00AC77DF">
              <w:rPr>
                <w:lang w:val="x-none"/>
              </w:rPr>
              <w:t>1.</w:t>
            </w:r>
            <w:r w:rsidRPr="00AC77DF">
              <w:rPr>
                <w:lang w:val="x-none"/>
              </w:rPr>
              <w:t>概括規定；</w:t>
            </w:r>
            <w:r w:rsidRPr="00AC77DF">
              <w:rPr>
                <w:lang w:val="x-none"/>
              </w:rPr>
              <w:t>2.</w:t>
            </w:r>
            <w:r w:rsidRPr="00AC77DF">
              <w:rPr>
                <w:lang w:val="x-none"/>
              </w:rPr>
              <w:t>可能除外情形；</w:t>
            </w:r>
            <w:r w:rsidRPr="00AC77DF">
              <w:rPr>
                <w:lang w:val="x-none"/>
              </w:rPr>
              <w:t>3.</w:t>
            </w:r>
            <w:r w:rsidRPr="00AC77DF">
              <w:rPr>
                <w:lang w:val="x-none"/>
              </w:rPr>
              <w:t>聲音及影像之錄製</w:t>
            </w:r>
          </w:p>
          <w:p w:rsidR="003807A5" w:rsidRPr="00AC77DF" w:rsidRDefault="003807A5" w:rsidP="006E2EB5">
            <w:pPr>
              <w:spacing w:line="360" w:lineRule="exact"/>
              <w:ind w:leftChars="75" w:left="468" w:hangingChars="120" w:hanging="288"/>
              <w:jc w:val="both"/>
              <w:rPr>
                <w:lang w:val="x-none"/>
              </w:rPr>
            </w:pPr>
            <w:r w:rsidRPr="00AC77DF">
              <w:rPr>
                <w:lang w:val="x-none"/>
              </w:rPr>
              <w:t>(1)</w:t>
            </w:r>
            <w:r w:rsidRPr="00AC77DF">
              <w:rPr>
                <w:lang w:val="x-none"/>
              </w:rPr>
              <w:t>受本公約保護之文學及藝術著作，其著作人專有授權他人以任何方式或形式重製各該著作之權利。</w:t>
            </w:r>
          </w:p>
          <w:p w:rsidR="003807A5" w:rsidRPr="00AC77DF" w:rsidRDefault="003807A5" w:rsidP="006E2EB5">
            <w:pPr>
              <w:spacing w:line="360" w:lineRule="exact"/>
              <w:ind w:leftChars="75" w:left="468" w:hangingChars="120" w:hanging="288"/>
              <w:jc w:val="both"/>
              <w:rPr>
                <w:lang w:val="x-none"/>
              </w:rPr>
            </w:pPr>
            <w:r w:rsidRPr="00AC77DF">
              <w:rPr>
                <w:lang w:val="x-none"/>
              </w:rPr>
              <w:t>(2)</w:t>
            </w:r>
            <w:r w:rsidRPr="00AC77DF">
              <w:rPr>
                <w:lang w:val="x-none"/>
              </w:rPr>
              <w:t>上開著作得重製之特定特殊情形，依本聯盟各會員國之法律定之，惟所為重製，不得牴觸著作之正常利用，亦不得不當損害著作人合法權益。</w:t>
            </w:r>
          </w:p>
          <w:p w:rsidR="003807A5" w:rsidRPr="00AC77DF" w:rsidRDefault="003807A5" w:rsidP="006E2EB5">
            <w:pPr>
              <w:spacing w:line="360" w:lineRule="exact"/>
              <w:ind w:leftChars="75" w:left="468" w:hangingChars="120" w:hanging="288"/>
              <w:jc w:val="both"/>
            </w:pPr>
            <w:r w:rsidRPr="00AC77DF">
              <w:rPr>
                <w:lang w:val="x-none"/>
              </w:rPr>
              <w:t>(3)</w:t>
            </w:r>
            <w:r w:rsidRPr="00AC77DF">
              <w:rPr>
                <w:lang w:val="x-none"/>
              </w:rPr>
              <w:t>聲音或影像之錄製，一律視為本公約所稱重製。</w:t>
            </w:r>
          </w:p>
        </w:tc>
      </w:tr>
    </w:tbl>
    <w:p w:rsidR="003807A5" w:rsidRPr="00AC77DF" w:rsidRDefault="00802DFF" w:rsidP="00DE66F8">
      <w:pPr>
        <w:pStyle w:val="afff1"/>
        <w:spacing w:before="360" w:after="360"/>
      </w:pPr>
      <w:r>
        <w:rPr>
          <w:rFonts w:hint="eastAsia"/>
        </w:rPr>
        <w:t>(一)</w:t>
      </w:r>
      <w:r w:rsidR="003807A5" w:rsidRPr="00AC77DF">
        <w:t>案情簡述</w:t>
      </w:r>
    </w:p>
    <w:p w:rsidR="003807A5" w:rsidRPr="00AC77DF" w:rsidRDefault="003807A5" w:rsidP="000315BA">
      <w:pPr>
        <w:pStyle w:val="1---"/>
        <w:ind w:firstLine="480"/>
      </w:pPr>
      <w:r w:rsidRPr="00AC77DF">
        <w:t>臺大楊前校長掛名論文捲入造假風波，除究明事實與相關責任外，尚應檢視學術界掛名等相關不良習氣，經由掛名累積學術點數及掌控學術資源，有無層級剝削等不公平及違反學術倫理之陋習？案經監察委員認有深入瞭解之必要而立案調查。</w:t>
      </w:r>
    </w:p>
    <w:p w:rsidR="003807A5" w:rsidRPr="00AC77DF" w:rsidRDefault="00802DFF" w:rsidP="00DE66F8">
      <w:pPr>
        <w:pStyle w:val="afff1"/>
        <w:spacing w:before="360" w:after="360"/>
      </w:pPr>
      <w:r>
        <w:rPr>
          <w:rFonts w:hint="eastAsia"/>
        </w:rPr>
        <w:lastRenderedPageBreak/>
        <w:t>(二)</w:t>
      </w:r>
      <w:r w:rsidR="003807A5" w:rsidRPr="00AC77DF">
        <w:t>監察院調查發現與建議</w:t>
      </w:r>
    </w:p>
    <w:p w:rsidR="003807A5" w:rsidRPr="00AC77DF" w:rsidRDefault="000B4370" w:rsidP="00564517">
      <w:pPr>
        <w:pStyle w:val="1--13"/>
        <w:spacing w:before="180" w:after="180"/>
      </w:pPr>
      <w:r w:rsidRPr="008E1832">
        <w:rPr>
          <w:rFonts w:hint="eastAsia"/>
        </w:rPr>
        <w:t>˙</w:t>
      </w:r>
      <w:r w:rsidR="003807A5" w:rsidRPr="00AC77DF">
        <w:t>主管機關未積極查處</w:t>
      </w:r>
    </w:p>
    <w:p w:rsidR="003807A5" w:rsidRPr="00AC77DF" w:rsidRDefault="003807A5" w:rsidP="000315BA">
      <w:pPr>
        <w:pStyle w:val="1---"/>
        <w:ind w:firstLine="480"/>
      </w:pPr>
      <w:r w:rsidRPr="00AC77DF">
        <w:t>教育部掌理專科以上學校教師資格審定、學術倫理規範及國家講座、學術獎遴選等事項，對如「學界同行審論平臺網站（</w:t>
      </w:r>
      <w:r w:rsidRPr="00AC77DF">
        <w:t>PubPeer</w:t>
      </w:r>
      <w:r w:rsidRPr="00D54AFE">
        <w:rPr>
          <w:spacing w:val="-28"/>
        </w:rPr>
        <w:t>）</w:t>
      </w:r>
      <w:r w:rsidRPr="00AC77DF">
        <w:t>」等揭露全球疑似違反學術倫理案件網站，平時並無監看機制。而經媒體大幅報導臺大郭前教授發表之多篇論文涉有造假等違反學術倫理一案，涉及教師資格審定、學位授予及教育部國家講座及學術獎獎項、獎補助經費等事項，其中部分共同發表之論文更直接涉及臺大楊前校長，教育部卻未主動進行查處，致使該校需另行成立特別委員會進行調查，招致外界質疑臺大自行調查程序及結果之公正性。</w:t>
      </w:r>
    </w:p>
    <w:p w:rsidR="003807A5" w:rsidRPr="00AC77DF" w:rsidRDefault="000B4370" w:rsidP="00564517">
      <w:pPr>
        <w:pStyle w:val="1--13"/>
        <w:spacing w:before="180" w:after="180"/>
      </w:pPr>
      <w:r w:rsidRPr="008E1832">
        <w:rPr>
          <w:rFonts w:hint="eastAsia"/>
        </w:rPr>
        <w:t>˙</w:t>
      </w:r>
      <w:r w:rsidR="003807A5" w:rsidRPr="00AC77DF">
        <w:t>相關法令未臻完備</w:t>
      </w:r>
    </w:p>
    <w:p w:rsidR="003807A5" w:rsidRPr="00AC77DF" w:rsidRDefault="003807A5" w:rsidP="000315BA">
      <w:pPr>
        <w:pStyle w:val="1---"/>
        <w:ind w:firstLine="480"/>
      </w:pPr>
      <w:r w:rsidRPr="00AC77DF">
        <w:t>教育部負有我國專科以上學校學術倫理之規範及審議職責，應統整學術倫理事項之相關規範，以利各專科以上學校依循，卻未能儘早完備相關法令，迨至本次臺大楊前校長掛名論文疑涉造假案發生，並經媒體大幅報導批評後，始於</w:t>
      </w:r>
      <w:r w:rsidRPr="00AC77DF">
        <w:t>106</w:t>
      </w:r>
      <w:r w:rsidRPr="00AC77DF">
        <w:t>年</w:t>
      </w:r>
      <w:r w:rsidRPr="00AC77DF">
        <w:t>5</w:t>
      </w:r>
      <w:r w:rsidRPr="00AC77DF">
        <w:t>月</w:t>
      </w:r>
      <w:r w:rsidRPr="00AC77DF">
        <w:t>31</w:t>
      </w:r>
      <w:r w:rsidRPr="00AC77DF">
        <w:t>日訂定發布「專科以上學校學術倫理案件處理原則</w:t>
      </w:r>
      <w:r w:rsidRPr="00D54AFE">
        <w:rPr>
          <w:spacing w:val="-28"/>
        </w:rPr>
        <w:t>」</w:t>
      </w:r>
      <w:r w:rsidRPr="00AC77DF">
        <w:t>，明定違反學術倫理之定義、處理審議流程及處分方式。</w:t>
      </w:r>
    </w:p>
    <w:p w:rsidR="003807A5" w:rsidRPr="00AC77DF" w:rsidRDefault="000B4370" w:rsidP="00564517">
      <w:pPr>
        <w:pStyle w:val="1--13"/>
        <w:spacing w:before="180" w:after="180"/>
      </w:pPr>
      <w:r w:rsidRPr="008E1832">
        <w:rPr>
          <w:rFonts w:hint="eastAsia"/>
        </w:rPr>
        <w:t>˙</w:t>
      </w:r>
      <w:r w:rsidR="003807A5" w:rsidRPr="00AC77DF">
        <w:t>逕依行政權成立特別委員會</w:t>
      </w:r>
    </w:p>
    <w:p w:rsidR="003807A5" w:rsidRPr="00AC77DF" w:rsidRDefault="003807A5" w:rsidP="000315BA">
      <w:pPr>
        <w:pStyle w:val="1---"/>
        <w:ind w:firstLine="480"/>
      </w:pPr>
      <w:r w:rsidRPr="00AC77DF">
        <w:t>有關臺大郭前教授論文疑造假案，臺大由教評會受理後，即依規定由醫學院及生命科學院分別組成院級調查小組。該校</w:t>
      </w:r>
      <w:r w:rsidRPr="00AC77DF">
        <w:lastRenderedPageBreak/>
        <w:t>並以本案牽涉較廣為期慎重為由，另行組成特別委員會。惟卻未先經教評會決議，逕依行政權成立特別委員會，並負責調查學校校長是否涉及違反學術倫理案，程序尚非妥適。</w:t>
      </w:r>
    </w:p>
    <w:p w:rsidR="003807A5" w:rsidRPr="00AC77DF" w:rsidRDefault="000B4370" w:rsidP="00564517">
      <w:pPr>
        <w:pStyle w:val="1--13"/>
        <w:spacing w:before="180" w:after="180"/>
      </w:pPr>
      <w:r w:rsidRPr="008E1832">
        <w:rPr>
          <w:rFonts w:hint="eastAsia"/>
        </w:rPr>
        <w:t>˙</w:t>
      </w:r>
      <w:r w:rsidR="003807A5" w:rsidRPr="00AC77DF">
        <w:t>共同作者規範亟待研議改善</w:t>
      </w:r>
    </w:p>
    <w:p w:rsidR="003807A5" w:rsidRPr="00AC77DF" w:rsidRDefault="003807A5" w:rsidP="000315BA">
      <w:pPr>
        <w:pStyle w:val="1---"/>
        <w:ind w:firstLine="480"/>
      </w:pPr>
      <w:r w:rsidRPr="00AC77DF">
        <w:t>健全學術倫理對於國家學術研究之長遠發展至關緊要，尤以國內最高學府臺大邇來竟亦迭生教授浮濫掛名、造假等違反學術倫理情事，</w:t>
      </w:r>
      <w:r w:rsidR="004D0068">
        <w:t>顯示</w:t>
      </w:r>
      <w:r w:rsidRPr="00AC77DF">
        <w:t>導正國內學術不良惡習之迫切性。教育部及科技部應儘速針對共同作者列名之要件</w:t>
      </w:r>
      <w:r w:rsidR="00D167F7">
        <w:rPr>
          <w:rFonts w:hint="eastAsia"/>
          <w:lang w:eastAsia="zh-TW"/>
        </w:rPr>
        <w:t>，</w:t>
      </w:r>
      <w:r w:rsidRPr="00AC77DF">
        <w:t>敘明其負責項目或貢獻度等問題妥予研議改善。</w:t>
      </w:r>
    </w:p>
    <w:p w:rsidR="003807A5" w:rsidRPr="00AC77DF" w:rsidRDefault="000B4370" w:rsidP="00564517">
      <w:pPr>
        <w:pStyle w:val="1--13"/>
        <w:spacing w:before="180" w:after="180"/>
      </w:pPr>
      <w:r w:rsidRPr="008E1832">
        <w:rPr>
          <w:rFonts w:hint="eastAsia"/>
        </w:rPr>
        <w:t>˙</w:t>
      </w:r>
      <w:r w:rsidR="003807A5" w:rsidRPr="00AC77DF">
        <w:t>檢討實驗數據保存與使用規範</w:t>
      </w:r>
    </w:p>
    <w:p w:rsidR="003807A5" w:rsidRPr="00AC77DF" w:rsidRDefault="003807A5" w:rsidP="000315BA">
      <w:pPr>
        <w:pStyle w:val="1---"/>
        <w:ind w:firstLine="480"/>
      </w:pPr>
      <w:r w:rsidRPr="00AC77DF">
        <w:t>實驗參數、數據、圖（影）像及相關紀錄乃科學研究歷程之重要佐證，既為判斷研究是否具原創性之參考依據，應完妥保存，尤以獲國家資源與經費補助之科研計畫更應率先為之，足讓後繼研究者得以重複驗證，進而以此為基礎持續精進創新，科技部應會同教育部積極檢討相關保存與使用規範，以資完備。</w:t>
      </w:r>
    </w:p>
    <w:p w:rsidR="003807A5" w:rsidRDefault="003807A5" w:rsidP="000315BA">
      <w:pPr>
        <w:pStyle w:val="1---"/>
        <w:ind w:firstLine="480"/>
        <w:rPr>
          <w:lang w:eastAsia="zh-TW"/>
        </w:rPr>
      </w:pPr>
      <w:r w:rsidRPr="00AC77DF">
        <w:t>依據本案調查意見</w:t>
      </w:r>
      <w:r w:rsidRPr="00AC77DF">
        <w:rPr>
          <w:rStyle w:val="aff2"/>
          <w:rFonts w:eastAsiaTheme="minorEastAsia"/>
        </w:rPr>
        <w:footnoteReference w:id="153"/>
      </w:r>
      <w:r w:rsidRPr="00AC77DF">
        <w:t>，監察院糾正教育部及科技部，並函請行政院督飭所屬檢討改進。</w:t>
      </w:r>
    </w:p>
    <w:p w:rsidR="000D2025" w:rsidRDefault="000D2025" w:rsidP="000315BA">
      <w:pPr>
        <w:pStyle w:val="1---"/>
        <w:ind w:firstLine="480"/>
        <w:rPr>
          <w:lang w:eastAsia="zh-TW"/>
        </w:rPr>
      </w:pPr>
    </w:p>
    <w:p w:rsidR="000D2025" w:rsidRPr="00AC77DF" w:rsidRDefault="000D2025" w:rsidP="000315BA">
      <w:pPr>
        <w:pStyle w:val="1---"/>
        <w:ind w:firstLine="480"/>
        <w:rPr>
          <w:lang w:eastAsia="zh-TW"/>
        </w:rPr>
      </w:pPr>
    </w:p>
    <w:p w:rsidR="003807A5" w:rsidRPr="00AC77DF" w:rsidRDefault="00802DFF" w:rsidP="00DE66F8">
      <w:pPr>
        <w:pStyle w:val="afff1"/>
        <w:spacing w:before="360" w:after="360"/>
      </w:pPr>
      <w:r>
        <w:rPr>
          <w:rFonts w:hint="eastAsia"/>
        </w:rPr>
        <w:lastRenderedPageBreak/>
        <w:t>(三)</w:t>
      </w:r>
      <w:r w:rsidR="003807A5" w:rsidRPr="00AC77DF">
        <w:t>政府機關改善情形</w:t>
      </w:r>
    </w:p>
    <w:p w:rsidR="003807A5" w:rsidRPr="00AC77DF" w:rsidRDefault="003807A5" w:rsidP="00425EE5">
      <w:pPr>
        <w:pStyle w:val="1----"/>
        <w:ind w:left="600" w:hanging="360"/>
      </w:pPr>
      <w:r w:rsidRPr="00AC77DF">
        <w:t>1</w:t>
      </w:r>
      <w:r w:rsidRPr="00AC77DF">
        <w:t>、為強化學術倫理處理機制，教育部將檢討學術倫理態樣及該部、學校處理學術倫理案件之規定，並配合修訂審定辦法及「專科以上學校學術倫理案件處理原則」等規定，期能維護學術正向價值。另教師法修正草案已辦理</w:t>
      </w:r>
      <w:r w:rsidRPr="00AC77DF">
        <w:t>5</w:t>
      </w:r>
      <w:r w:rsidRPr="00AC77DF">
        <w:t>次修正草案討論會議，該部刻蒐集各界意見修正調整中。</w:t>
      </w:r>
    </w:p>
    <w:p w:rsidR="003807A5" w:rsidRPr="00AC77DF" w:rsidRDefault="003807A5" w:rsidP="00425EE5">
      <w:pPr>
        <w:pStyle w:val="1----"/>
        <w:ind w:left="600" w:hanging="360"/>
      </w:pPr>
      <w:r w:rsidRPr="00AC77DF">
        <w:t>2</w:t>
      </w:r>
      <w:r w:rsidRPr="00AC77DF">
        <w:t>、教育部將針對違反學術倫理態樣及處分等定期檢討修正「專科以上學校學術倫理案件處理原則</w:t>
      </w:r>
      <w:r w:rsidRPr="00D54AFE">
        <w:rPr>
          <w:spacing w:val="-28"/>
        </w:rPr>
        <w:t>」</w:t>
      </w:r>
      <w:r w:rsidRPr="00AC77DF">
        <w:t>。另為協助大專校院建立學術倫理自律機制並強化師生學術倫理意識，教育部已於</w:t>
      </w:r>
      <w:r w:rsidRPr="00AC77DF">
        <w:t>106</w:t>
      </w:r>
      <w:r w:rsidRPr="00AC77DF">
        <w:t>年</w:t>
      </w:r>
      <w:r w:rsidRPr="00AC77DF">
        <w:t>5</w:t>
      </w:r>
      <w:r w:rsidRPr="00AC77DF">
        <w:t>月</w:t>
      </w:r>
      <w:r w:rsidRPr="00AC77DF">
        <w:t>16</w:t>
      </w:r>
      <w:r w:rsidRPr="00AC77DF">
        <w:t>日簽奉核可設立學術倫理專案辦公室。</w:t>
      </w:r>
    </w:p>
    <w:p w:rsidR="003807A5" w:rsidRPr="00AC77DF" w:rsidRDefault="003807A5" w:rsidP="006B4B2A">
      <w:pPr>
        <w:pStyle w:val="1----"/>
        <w:ind w:left="600" w:hanging="360"/>
      </w:pPr>
      <w:r w:rsidRPr="00AC77DF">
        <w:t>3</w:t>
      </w:r>
      <w:r w:rsidRPr="00AC77DF">
        <w:t>、臺大已於</w:t>
      </w:r>
      <w:r w:rsidRPr="00AC77DF">
        <w:t>106</w:t>
      </w:r>
      <w:r w:rsidRPr="00AC77DF">
        <w:t>年</w:t>
      </w:r>
      <w:r w:rsidRPr="00AC77DF">
        <w:t>9</w:t>
      </w:r>
      <w:r w:rsidRPr="00AC77DF">
        <w:t>月</w:t>
      </w:r>
      <w:r w:rsidRPr="00AC77DF">
        <w:t>5</w:t>
      </w:r>
      <w:r w:rsidRPr="00AC77DF">
        <w:t>日新訂「學術倫理委員會設置辦法</w:t>
      </w:r>
      <w:r w:rsidRPr="00D54AFE">
        <w:rPr>
          <w:spacing w:val="-28"/>
        </w:rPr>
        <w:t>」</w:t>
      </w:r>
      <w:r w:rsidRPr="00AC77DF">
        <w:t>，為使委員會委員選任機制更臻完備，於同年</w:t>
      </w:r>
      <w:r w:rsidRPr="00AC77DF">
        <w:t>12</w:t>
      </w:r>
      <w:r w:rsidRPr="00AC77DF">
        <w:t>月</w:t>
      </w:r>
      <w:r w:rsidRPr="00AC77DF">
        <w:t>12</w:t>
      </w:r>
      <w:r w:rsidRPr="00AC77DF">
        <w:t>日修正部分條文，並自同年月</w:t>
      </w:r>
      <w:r w:rsidRPr="00AC77DF">
        <w:t>18</w:t>
      </w:r>
      <w:r w:rsidRPr="00AC77DF">
        <w:t>日發布施行</w:t>
      </w:r>
      <w:r w:rsidRPr="00D54AFE">
        <w:rPr>
          <w:spacing w:val="-28"/>
        </w:rPr>
        <w:t>。</w:t>
      </w:r>
      <w:r w:rsidR="006B4B2A">
        <w:rPr>
          <w:rFonts w:hint="eastAsia"/>
          <w:spacing w:val="-28"/>
          <w:lang w:eastAsia="zh-TW"/>
        </w:rPr>
        <w:t>另</w:t>
      </w:r>
      <w:r w:rsidRPr="00AC77DF">
        <w:t>「違反送</w:t>
      </w:r>
      <w:r w:rsidRPr="006B4B2A">
        <w:rPr>
          <w:spacing w:val="-2"/>
        </w:rPr>
        <w:t>審教師資格規定及學術倫理案件處理要點」</w:t>
      </w:r>
      <w:r w:rsidR="006B4B2A" w:rsidRPr="006B4B2A">
        <w:rPr>
          <w:rFonts w:hint="eastAsia"/>
          <w:spacing w:val="-2"/>
          <w:lang w:eastAsia="zh-TW"/>
        </w:rPr>
        <w:t>已</w:t>
      </w:r>
      <w:r w:rsidRPr="006B4B2A">
        <w:rPr>
          <w:spacing w:val="-2"/>
        </w:rPr>
        <w:t>於同年</w:t>
      </w:r>
      <w:r w:rsidRPr="006B4B2A">
        <w:rPr>
          <w:spacing w:val="-2"/>
        </w:rPr>
        <w:t>10</w:t>
      </w:r>
      <w:r w:rsidRPr="006B4B2A">
        <w:rPr>
          <w:spacing w:val="-2"/>
        </w:rPr>
        <w:t>月</w:t>
      </w:r>
      <w:r w:rsidRPr="00AC77DF">
        <w:t>21</w:t>
      </w:r>
      <w:r w:rsidRPr="00AC77DF">
        <w:t>日校務會議修正通過，並自同年</w:t>
      </w:r>
      <w:r w:rsidRPr="00AC77DF">
        <w:t>11</w:t>
      </w:r>
      <w:r w:rsidRPr="00AC77DF">
        <w:t>月</w:t>
      </w:r>
      <w:r w:rsidRPr="00AC77DF">
        <w:t>7</w:t>
      </w:r>
      <w:r w:rsidRPr="00AC77DF">
        <w:t>日發布施行。</w:t>
      </w:r>
    </w:p>
    <w:p w:rsidR="003807A5" w:rsidRPr="00AC77DF" w:rsidRDefault="003807A5" w:rsidP="00425EE5">
      <w:pPr>
        <w:pStyle w:val="1----"/>
        <w:ind w:left="600" w:hanging="360"/>
      </w:pPr>
      <w:r w:rsidRPr="00AC77DF">
        <w:t>4</w:t>
      </w:r>
      <w:r w:rsidRPr="00AC77DF">
        <w:t>、為提高學術研究之風氣及社會大眾之信任，科技部已於</w:t>
      </w:r>
      <w:r w:rsidRPr="00AC77DF">
        <w:t>106</w:t>
      </w:r>
      <w:r w:rsidRPr="00AC77DF">
        <w:t>年</w:t>
      </w:r>
      <w:r w:rsidRPr="00AC77DF">
        <w:t>11</w:t>
      </w:r>
      <w:r w:rsidRPr="00AC77DF">
        <w:t>月</w:t>
      </w:r>
      <w:r w:rsidRPr="00AC77DF">
        <w:t>13</w:t>
      </w:r>
      <w:r w:rsidRPr="00AC77DF">
        <w:t>日修正「科技部對研究人員學術倫理規範」增列共同作者列名原則，其目的在使共同作者之</w:t>
      </w:r>
      <w:r w:rsidR="009442A9">
        <w:t>貢獻、排名與相應責任更臻明確，以符合實務並提高學術風氣。科技部</w:t>
      </w:r>
      <w:r w:rsidRPr="00AC77DF">
        <w:t>於</w:t>
      </w:r>
      <w:r w:rsidRPr="00AC77DF">
        <w:t>106</w:t>
      </w:r>
      <w:r w:rsidRPr="00AC77DF">
        <w:t>年</w:t>
      </w:r>
      <w:r w:rsidRPr="00AC77DF">
        <w:t>1</w:t>
      </w:r>
      <w:r w:rsidRPr="00AC77DF">
        <w:t>月</w:t>
      </w:r>
      <w:r w:rsidRPr="00AC77DF">
        <w:t>4</w:t>
      </w:r>
      <w:r w:rsidRPr="00AC77DF">
        <w:t>日修正「科技部補助專題研究計畫作業要點」第</w:t>
      </w:r>
      <w:r w:rsidRPr="00AC77DF">
        <w:t>26</w:t>
      </w:r>
      <w:r w:rsidRPr="00AC77DF">
        <w:t>點規定，要求申請機構建置學術倫理相關機制，內容包括：訂定學術倫理管理及自律規範、指定或成立學術倫理管理專責單位、建立學術倫理教育機制、</w:t>
      </w:r>
      <w:r w:rsidRPr="00AC77DF">
        <w:lastRenderedPageBreak/>
        <w:t>訂定學術倫理案件處理標準作業流程。未完成辦理者，科技部得不受理所申請之計畫。至</w:t>
      </w:r>
      <w:r w:rsidRPr="00AC77DF">
        <w:t>106</w:t>
      </w:r>
      <w:r w:rsidRPr="00AC77DF">
        <w:t>年底已有</w:t>
      </w:r>
      <w:r w:rsidRPr="00AC77DF">
        <w:t>263</w:t>
      </w:r>
      <w:r w:rsidRPr="00AC77DF">
        <w:t>所學</w:t>
      </w:r>
      <w:r w:rsidR="00662EA0" w:rsidRPr="00AC77DF">
        <w:t>術</w:t>
      </w:r>
      <w:r w:rsidRPr="00AC77DF">
        <w:t>研機構完成機制檢核，期達學術自律之功效。</w:t>
      </w:r>
    </w:p>
    <w:p w:rsidR="003807A5" w:rsidRPr="00AC77DF" w:rsidRDefault="003807A5" w:rsidP="00425EE5">
      <w:pPr>
        <w:pStyle w:val="1----"/>
        <w:ind w:left="600" w:hanging="360"/>
      </w:pPr>
      <w:r w:rsidRPr="00AC77DF">
        <w:t>5</w:t>
      </w:r>
      <w:r w:rsidRPr="00AC77DF">
        <w:t>、科技部已要求自</w:t>
      </w:r>
      <w:r w:rsidRPr="00AC77DF">
        <w:t>106</w:t>
      </w:r>
      <w:r w:rsidRPr="00AC77DF">
        <w:t>年</w:t>
      </w:r>
      <w:r w:rsidRPr="00AC77DF">
        <w:t>12</w:t>
      </w:r>
      <w:r w:rsidRPr="00AC77DF">
        <w:t>月</w:t>
      </w:r>
      <w:r w:rsidRPr="00AC77DF">
        <w:t>1</w:t>
      </w:r>
      <w:r w:rsidRPr="00AC77DF">
        <w:t>日起首次申請計畫之計畫主持人、申請書內所列首次執行科技部計畫之參與研究人員及計畫開始執行後所聘首次執行科技部計畫之參與研究人員，應完成至少</w:t>
      </w:r>
      <w:r w:rsidRPr="00AC77DF">
        <w:t>6</w:t>
      </w:r>
      <w:r w:rsidRPr="00AC77DF">
        <w:t>小時學術倫理教育課程訓練，並檢附相關證明文件送申請機構備查。</w:t>
      </w:r>
    </w:p>
    <w:p w:rsidR="003807A5" w:rsidRPr="00AC77DF" w:rsidRDefault="00802DFF" w:rsidP="00DE66F8">
      <w:pPr>
        <w:pStyle w:val="afff1"/>
        <w:spacing w:before="360" w:after="360"/>
      </w:pPr>
      <w:r>
        <w:rPr>
          <w:rFonts w:hint="eastAsia"/>
        </w:rPr>
        <w:t>(四)</w:t>
      </w:r>
      <w:r w:rsidR="003807A5" w:rsidRPr="00AC77DF">
        <w:t>案件進展</w:t>
      </w:r>
    </w:p>
    <w:p w:rsidR="003807A5" w:rsidRDefault="003807A5" w:rsidP="000315BA">
      <w:pPr>
        <w:pStyle w:val="1---"/>
        <w:ind w:firstLine="480"/>
        <w:rPr>
          <w:lang w:eastAsia="zh-TW"/>
        </w:rPr>
      </w:pPr>
      <w:r w:rsidRPr="00AC77DF">
        <w:t>本案監察院仍持續追蹤主管機關辦理情形。</w:t>
      </w:r>
    </w:p>
    <w:p w:rsidR="008E0E51" w:rsidRDefault="008E0E51" w:rsidP="000315BA">
      <w:pPr>
        <w:pStyle w:val="1---"/>
        <w:ind w:firstLine="480"/>
        <w:rPr>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2972"/>
      </w:tblGrid>
      <w:tr w:rsidR="008E0E51" w:rsidTr="00302AC9">
        <w:tc>
          <w:tcPr>
            <w:tcW w:w="2972" w:type="dxa"/>
            <w:shd w:val="clear" w:color="auto" w:fill="D9D9D9" w:themeFill="background1" w:themeFillShade="D9"/>
          </w:tcPr>
          <w:p w:rsidR="008E0E51" w:rsidRDefault="008E0E51" w:rsidP="008E0E51">
            <w:pPr>
              <w:pStyle w:val="11-"/>
              <w:spacing w:before="72" w:after="108"/>
              <w:rPr>
                <w:lang w:eastAsia="zh-TW"/>
              </w:rPr>
            </w:pPr>
            <w:bookmarkStart w:id="669" w:name="_Toc535228430"/>
            <w:bookmarkStart w:id="670" w:name="_Toc4058842"/>
            <w:r w:rsidRPr="00AC77DF">
              <w:t>研究計畫涉有抄襲案</w:t>
            </w:r>
            <w:bookmarkEnd w:id="669"/>
            <w:bookmarkEnd w:id="670"/>
          </w:p>
        </w:tc>
      </w:tr>
    </w:tbl>
    <w:p w:rsidR="003807A5" w:rsidRPr="00AC77DF" w:rsidRDefault="008E0E51" w:rsidP="00DE66F8">
      <w:pPr>
        <w:pStyle w:val="afff1"/>
        <w:spacing w:before="360" w:after="360"/>
      </w:pPr>
      <w:r>
        <w:rPr>
          <w:rFonts w:hint="eastAsia"/>
        </w:rPr>
        <w:t>(一)</w:t>
      </w:r>
      <w:r w:rsidR="003807A5" w:rsidRPr="00AC77DF">
        <w:t>案情簡述</w:t>
      </w:r>
    </w:p>
    <w:p w:rsidR="003807A5" w:rsidRPr="00AC77DF" w:rsidRDefault="003807A5" w:rsidP="000315BA">
      <w:pPr>
        <w:pStyle w:val="1---"/>
        <w:ind w:firstLine="480"/>
        <w:rPr>
          <w:b/>
        </w:rPr>
      </w:pPr>
      <w:r w:rsidRPr="00AC77DF">
        <w:t>據訴，為某大學林姓教授所提科技部</w:t>
      </w:r>
      <w:r w:rsidRPr="00AC77DF">
        <w:t>101</w:t>
      </w:r>
      <w:r w:rsidRPr="00AC77DF">
        <w:t>年度提升</w:t>
      </w:r>
      <w:r w:rsidRPr="00811AA1">
        <w:rPr>
          <w:rFonts w:asciiTheme="majorEastAsia" w:eastAsiaTheme="majorEastAsia" w:hAnsiTheme="majorEastAsia"/>
        </w:rPr>
        <w:t>○</w:t>
      </w:r>
      <w:r w:rsidRPr="00AC77DF">
        <w:t>校研發</w:t>
      </w:r>
      <w:r w:rsidRPr="00811AA1">
        <w:rPr>
          <w:rFonts w:asciiTheme="majorEastAsia" w:eastAsiaTheme="majorEastAsia" w:hAnsiTheme="majorEastAsia"/>
        </w:rPr>
        <w:t>○○</w:t>
      </w:r>
      <w:r w:rsidRPr="00AC77DF">
        <w:t>專案計畫「都市</w:t>
      </w:r>
      <w:r w:rsidRPr="00811AA1">
        <w:rPr>
          <w:rFonts w:asciiTheme="majorEastAsia" w:eastAsiaTheme="majorEastAsia" w:hAnsiTheme="majorEastAsia"/>
        </w:rPr>
        <w:t>○○</w:t>
      </w:r>
      <w:r w:rsidRPr="00AC77DF">
        <w:t>環境系統</w:t>
      </w:r>
      <w:r w:rsidRPr="00811AA1">
        <w:rPr>
          <w:rFonts w:asciiTheme="majorEastAsia" w:eastAsiaTheme="majorEastAsia" w:hAnsiTheme="majorEastAsia"/>
        </w:rPr>
        <w:t>○○</w:t>
      </w:r>
      <w:r w:rsidRPr="00AC77DF">
        <w:t>、評估與規劃</w:t>
      </w:r>
      <w:r w:rsidR="00974F17">
        <w:rPr>
          <w:rFonts w:hint="eastAsia"/>
          <w:lang w:eastAsia="zh-TW"/>
        </w:rPr>
        <w:t>－</w:t>
      </w:r>
      <w:r w:rsidRPr="00AC77DF">
        <w:t>架構</w:t>
      </w:r>
      <w:r w:rsidRPr="00811AA1">
        <w:rPr>
          <w:rFonts w:asciiTheme="majorEastAsia" w:eastAsiaTheme="majorEastAsia" w:hAnsiTheme="majorEastAsia"/>
        </w:rPr>
        <w:t>○○</w:t>
      </w:r>
      <w:r w:rsidRPr="00AC77DF">
        <w:t>都市之實務探究</w:t>
      </w:r>
      <w:r w:rsidRPr="00D54AFE">
        <w:rPr>
          <w:spacing w:val="-28"/>
        </w:rPr>
        <w:t>」</w:t>
      </w:r>
      <w:r w:rsidRPr="00AC77DF">
        <w:t>，該計畫之子計畫四主持人周姓教授所提之計畫書，涉違反學術倫理事件，科技部疑未依規定處理，監察院教育及文化委員會爰決議調查。</w:t>
      </w:r>
    </w:p>
    <w:p w:rsidR="006B4B2A" w:rsidRDefault="006B4B2A">
      <w:pPr>
        <w:widowControl/>
        <w:snapToGrid/>
        <w:rPr>
          <w:rFonts w:ascii="華康魏碑體" w:eastAsia="華康魏碑體" w:hAnsi="細明體" w:cs="細明體"/>
          <w:kern w:val="0"/>
          <w:sz w:val="34"/>
          <w:szCs w:val="32"/>
        </w:rPr>
      </w:pPr>
      <w:r>
        <w:br w:type="page"/>
      </w:r>
    </w:p>
    <w:p w:rsidR="003807A5" w:rsidRPr="00AC77DF" w:rsidRDefault="008E0E51" w:rsidP="00DE66F8">
      <w:pPr>
        <w:pStyle w:val="afff1"/>
        <w:spacing w:before="360" w:after="360"/>
      </w:pPr>
      <w:r>
        <w:rPr>
          <w:rFonts w:hint="eastAsia"/>
        </w:rPr>
        <w:lastRenderedPageBreak/>
        <w:t>(二)</w:t>
      </w:r>
      <w:r w:rsidR="003807A5" w:rsidRPr="00AC77DF">
        <w:t>監察院調查發現與建議</w:t>
      </w:r>
    </w:p>
    <w:p w:rsidR="003807A5" w:rsidRPr="00AC77DF" w:rsidRDefault="000B4370" w:rsidP="00564517">
      <w:pPr>
        <w:pStyle w:val="1--13"/>
        <w:spacing w:before="180" w:after="180"/>
      </w:pPr>
      <w:r w:rsidRPr="008E1832">
        <w:rPr>
          <w:rFonts w:hint="eastAsia"/>
        </w:rPr>
        <w:t>˙</w:t>
      </w:r>
      <w:r w:rsidR="003807A5" w:rsidRPr="00AC77DF">
        <w:t>與其他計畫文字重疊性高</w:t>
      </w:r>
    </w:p>
    <w:p w:rsidR="003807A5" w:rsidRPr="00AC77DF" w:rsidRDefault="003807A5" w:rsidP="000315BA">
      <w:pPr>
        <w:pStyle w:val="1---"/>
        <w:ind w:firstLine="480"/>
      </w:pPr>
      <w:r w:rsidRPr="00AC77DF">
        <w:t>本案子計畫相關章節文字既遭他計畫作者比對認與其計畫相關文字重疊達</w:t>
      </w:r>
      <w:r w:rsidRPr="00AC77DF">
        <w:t>90%</w:t>
      </w:r>
      <w:r w:rsidRPr="00AC77DF">
        <w:t>以上，科技部委外專家學者亦多數咸認有抄襲之虞，並認相關文字逾</w:t>
      </w:r>
      <w:r w:rsidRPr="00AC77DF">
        <w:t>90%</w:t>
      </w:r>
      <w:r w:rsidRPr="00AC77DF">
        <w:t>以上內容與他計畫雷同，且該部初審會議尤認定「確有大量沿用他計畫構想而未註明出處，顯有違反學術倫理規範之疑慮</w:t>
      </w:r>
      <w:r w:rsidRPr="00D54AFE">
        <w:rPr>
          <w:spacing w:val="-28"/>
        </w:rPr>
        <w:t>」</w:t>
      </w:r>
      <w:r w:rsidRPr="00AC77DF">
        <w:t>，詎該部竟率認「未涉及違反學術倫理」而使檢舉案不成立。</w:t>
      </w:r>
    </w:p>
    <w:p w:rsidR="003807A5" w:rsidRPr="00AC77DF" w:rsidRDefault="000B4370" w:rsidP="00564517">
      <w:pPr>
        <w:pStyle w:val="1--13"/>
        <w:spacing w:before="180" w:after="180"/>
      </w:pPr>
      <w:r w:rsidRPr="008E1832">
        <w:rPr>
          <w:rFonts w:hint="eastAsia"/>
        </w:rPr>
        <w:t>˙</w:t>
      </w:r>
      <w:r w:rsidR="003807A5" w:rsidRPr="00AC77DF">
        <w:t>研究計畫審查機制未臻健全</w:t>
      </w:r>
    </w:p>
    <w:p w:rsidR="003807A5" w:rsidRPr="00AC77DF" w:rsidRDefault="003807A5" w:rsidP="000315BA">
      <w:pPr>
        <w:pStyle w:val="1---"/>
        <w:ind w:firstLine="480"/>
        <w:rPr>
          <w:lang w:eastAsia="zh-TW"/>
        </w:rPr>
      </w:pPr>
      <w:r w:rsidRPr="00AC77DF">
        <w:t>系爭子計畫涉有抄襲，且主持人之學歷及專長亦有適格疑慮，卻通過科技部審查而獲取國家大量經費補助，致影響國家資源分配之公正性</w:t>
      </w:r>
      <w:r w:rsidR="000A0DCF">
        <w:t>。</w:t>
      </w:r>
      <w:r w:rsidRPr="00AC77DF">
        <w:t>該部未能切實檢討正視，主動勾稽查核機制盡付闕如，將國家研究倫理及計畫審查公信力付託於專家學者之把關及申請人之自律，無異坐視少數欠缺自律能力之學術研究人員有違規可乘之機。</w:t>
      </w:r>
    </w:p>
    <w:p w:rsidR="003807A5" w:rsidRPr="00AC77DF" w:rsidRDefault="003807A5" w:rsidP="000315BA">
      <w:pPr>
        <w:pStyle w:val="1---"/>
        <w:ind w:firstLine="480"/>
        <w:rPr>
          <w:lang w:eastAsia="zh-TW"/>
        </w:rPr>
      </w:pPr>
      <w:r w:rsidRPr="00AC77DF">
        <w:t>科技部針對系爭子計畫涉有違反學術倫理案，既早</w:t>
      </w:r>
      <w:r w:rsidRPr="000D2025">
        <w:rPr>
          <w:spacing w:val="-28"/>
        </w:rPr>
        <w:t>於</w:t>
      </w:r>
      <w:r w:rsidRPr="00AC77DF">
        <w:t>105</w:t>
      </w:r>
      <w:r w:rsidRPr="00AC77DF">
        <w:t>年</w:t>
      </w:r>
      <w:r w:rsidRPr="00AC77DF">
        <w:t>8</w:t>
      </w:r>
      <w:r w:rsidRPr="00AC77DF">
        <w:t>月</w:t>
      </w:r>
      <w:r w:rsidRPr="00AC77DF">
        <w:t>23</w:t>
      </w:r>
      <w:r w:rsidRPr="00AC77DF">
        <w:t>日召開之第</w:t>
      </w:r>
      <w:r w:rsidRPr="00AC77DF">
        <w:t>2</w:t>
      </w:r>
      <w:r w:rsidRPr="00AC77DF">
        <w:t>次初審會議即決議發函提醒、告誡相關當事人，卻遲延近</w:t>
      </w:r>
      <w:r w:rsidRPr="00AC77DF">
        <w:t>4</w:t>
      </w:r>
      <w:r w:rsidRPr="00AC77DF">
        <w:t>個月，至</w:t>
      </w:r>
      <w:r w:rsidRPr="00AC77DF">
        <w:t>105</w:t>
      </w:r>
      <w:r w:rsidRPr="00AC77DF">
        <w:t>年</w:t>
      </w:r>
      <w:r w:rsidRPr="00AC77DF">
        <w:t>12</w:t>
      </w:r>
      <w:r w:rsidRPr="00AC77DF">
        <w:t>月</w:t>
      </w:r>
      <w:r w:rsidRPr="00AC77DF">
        <w:t>14</w:t>
      </w:r>
      <w:r w:rsidRPr="00AC77DF">
        <w:t>日始執行，行事延宕。</w:t>
      </w:r>
    </w:p>
    <w:p w:rsidR="003807A5" w:rsidRPr="00AC77DF" w:rsidRDefault="000B4370" w:rsidP="00564517">
      <w:pPr>
        <w:pStyle w:val="1--13"/>
        <w:spacing w:before="180" w:after="180"/>
      </w:pPr>
      <w:r w:rsidRPr="008E1832">
        <w:rPr>
          <w:rFonts w:hint="eastAsia"/>
        </w:rPr>
        <w:t>˙</w:t>
      </w:r>
      <w:r w:rsidR="003807A5" w:rsidRPr="00AC77DF">
        <w:t>檢討因應作為有待提升</w:t>
      </w:r>
    </w:p>
    <w:p w:rsidR="003807A5" w:rsidRPr="00AC77DF" w:rsidRDefault="003807A5" w:rsidP="000315BA">
      <w:pPr>
        <w:pStyle w:val="1---"/>
        <w:ind w:firstLine="480"/>
        <w:rPr>
          <w:rFonts w:eastAsiaTheme="minorEastAsia"/>
        </w:rPr>
      </w:pPr>
      <w:r w:rsidRPr="00AC77DF">
        <w:t>系爭研究計畫總主持人及其子計畫四主持人分別位居大學</w:t>
      </w:r>
      <w:r w:rsidRPr="00AC77DF">
        <w:lastRenderedPageBreak/>
        <w:t>教務長及副教務長等重要領導主管職務，相關研究倫理等操守言行即應為該校師生之表率，且該計畫斯時既以該校名義申請，經費亦透過該校轉發，任何疑似違反規定情節應由校方充分掌握，以</w:t>
      </w:r>
      <w:r w:rsidR="002F03B2">
        <w:t>為因應。然科技部於系爭學術倫理案件調查過程除未責請該校協助調查</w:t>
      </w:r>
      <w:r w:rsidRPr="00AC77DF">
        <w:t>，更未將結果通知該校，致該校未針對該子計畫主持人不當行為有具體檢討因應措施</w:t>
      </w:r>
      <w:r w:rsidRPr="00AC77DF">
        <w:rPr>
          <w:rFonts w:eastAsiaTheme="minorEastAsia"/>
        </w:rPr>
        <w:t>。</w:t>
      </w:r>
    </w:p>
    <w:p w:rsidR="003807A5" w:rsidRPr="00AC77DF" w:rsidRDefault="003807A5" w:rsidP="000315BA">
      <w:pPr>
        <w:pStyle w:val="1---"/>
        <w:ind w:firstLine="464"/>
        <w:rPr>
          <w:rFonts w:eastAsiaTheme="minorEastAsia"/>
        </w:rPr>
      </w:pPr>
      <w:r w:rsidRPr="00AC77DF">
        <w:rPr>
          <w:spacing w:val="-4"/>
        </w:rPr>
        <w:t>該校</w:t>
      </w:r>
      <w:r w:rsidRPr="00AC77DF">
        <w:t>「大學教師違反學術倫理案件處理辦法」關於其他違反學術倫理行為之處分規定，較「教育部專科以上學校教師資格審定辦法」寬鬆，既經該部審認核欠妥適，宜由該部持續通盤檢討國內各大專校院相關規定有無類此不合規定情事，以避免漏未察覺致影響國內相關規定適用之一致性及公平性</w:t>
      </w:r>
      <w:r w:rsidRPr="00AC77DF">
        <w:rPr>
          <w:rFonts w:eastAsiaTheme="minorEastAsia"/>
        </w:rPr>
        <w:t>。</w:t>
      </w:r>
    </w:p>
    <w:p w:rsidR="003807A5" w:rsidRPr="00AC77DF" w:rsidRDefault="003807A5" w:rsidP="00274413">
      <w:pPr>
        <w:pStyle w:val="1---"/>
        <w:spacing w:after="180"/>
        <w:ind w:firstLine="480"/>
      </w:pPr>
      <w:r w:rsidRPr="00AC77DF">
        <w:t>依據本案調查意見</w:t>
      </w:r>
      <w:r w:rsidRPr="00AC77DF">
        <w:rPr>
          <w:vertAlign w:val="superscript"/>
        </w:rPr>
        <w:footnoteReference w:id="154"/>
      </w:r>
      <w:r w:rsidRPr="00AC77DF">
        <w:t>，監察院函請科技部及教育部確實檢討改進見復。</w:t>
      </w:r>
    </w:p>
    <w:p w:rsidR="003807A5" w:rsidRPr="00AC77DF" w:rsidRDefault="008E0E51" w:rsidP="00DE66F8">
      <w:pPr>
        <w:pStyle w:val="afff1"/>
        <w:spacing w:before="360" w:after="360"/>
      </w:pPr>
      <w:r>
        <w:rPr>
          <w:rFonts w:hint="eastAsia"/>
        </w:rPr>
        <w:t>(三)</w:t>
      </w:r>
      <w:r w:rsidR="003807A5" w:rsidRPr="00AC77DF">
        <w:t>政府機關改善情形</w:t>
      </w:r>
    </w:p>
    <w:p w:rsidR="003807A5" w:rsidRPr="00AC77DF" w:rsidRDefault="003807A5" w:rsidP="00425EE5">
      <w:pPr>
        <w:pStyle w:val="1----"/>
        <w:ind w:left="600" w:hanging="360"/>
      </w:pPr>
      <w:r w:rsidRPr="00AC77DF">
        <w:t>1</w:t>
      </w:r>
      <w:r w:rsidRPr="00AC77DF">
        <w:t>、科技部為求學術倫理案件審議程序之完備，已檢討訂定「學術倫理案件各階段處理流程分層負責表</w:t>
      </w:r>
      <w:r w:rsidRPr="00D54AFE">
        <w:rPr>
          <w:spacing w:val="-28"/>
        </w:rPr>
        <w:t>」</w:t>
      </w:r>
      <w:r w:rsidRPr="00AC77DF">
        <w:t>。另該部受理學術倫理案件送請相關領域學術司辦理初審時，須填復「科技部學術倫理案件審查文件檢核表</w:t>
      </w:r>
      <w:r w:rsidRPr="00D54AFE">
        <w:rPr>
          <w:spacing w:val="-28"/>
        </w:rPr>
        <w:t>」</w:t>
      </w:r>
      <w:r w:rsidRPr="00AC77DF">
        <w:t>，並提供相關文件，以使案件審查標準處理程序明確。此外，該部為強化學術倫理，已研提「申請機構必須辦理完成或建置學術倫理相關機制」等相關興革措施在案。</w:t>
      </w:r>
    </w:p>
    <w:p w:rsidR="003807A5" w:rsidRPr="00AC77DF" w:rsidRDefault="003807A5" w:rsidP="00425EE5">
      <w:pPr>
        <w:pStyle w:val="1----"/>
        <w:ind w:left="600" w:hanging="360"/>
      </w:pPr>
      <w:r w:rsidRPr="00AC77DF">
        <w:lastRenderedPageBreak/>
        <w:t>2</w:t>
      </w:r>
      <w:r w:rsidRPr="00AC77DF">
        <w:t>、教育部已通盤調查國內各大專院校相關學術倫理處分規定，並持續追蹤促請各校儘速依程序修正。</w:t>
      </w:r>
    </w:p>
    <w:p w:rsidR="003807A5" w:rsidRPr="00AC77DF" w:rsidRDefault="008E0E51" w:rsidP="00DE66F8">
      <w:pPr>
        <w:pStyle w:val="afff1"/>
        <w:spacing w:before="360" w:after="360"/>
      </w:pPr>
      <w:r>
        <w:rPr>
          <w:rFonts w:hint="eastAsia"/>
        </w:rPr>
        <w:t>(四)</w:t>
      </w:r>
      <w:r w:rsidR="003807A5" w:rsidRPr="00AC77DF">
        <w:t>案件進展</w:t>
      </w:r>
    </w:p>
    <w:p w:rsidR="003807A5" w:rsidRPr="00AC77DF" w:rsidRDefault="003807A5" w:rsidP="000315BA">
      <w:pPr>
        <w:pStyle w:val="1---"/>
        <w:ind w:firstLine="480"/>
      </w:pPr>
      <w:r w:rsidRPr="00AC77DF">
        <w:t>本案監察院仍持續追蹤相關主管機關辦理情形。</w:t>
      </w:r>
    </w:p>
    <w:p w:rsidR="003807A5" w:rsidRPr="00302AC9" w:rsidRDefault="003807A5" w:rsidP="006B4B2A">
      <w:pPr>
        <w:pStyle w:val="11-"/>
        <w:spacing w:beforeLines="130" w:before="468" w:afterLines="130" w:after="468"/>
        <w:rPr>
          <w:sz w:val="32"/>
          <w:szCs w:val="32"/>
        </w:rPr>
      </w:pPr>
      <w:bookmarkStart w:id="671" w:name="_Toc535228431"/>
      <w:bookmarkStart w:id="672" w:name="_Toc4058843"/>
      <w:r w:rsidRPr="00302AC9">
        <w:rPr>
          <w:sz w:val="32"/>
          <w:szCs w:val="32"/>
        </w:rPr>
        <w:t>二、國家安全與反恐</w:t>
      </w:r>
      <w:bookmarkEnd w:id="671"/>
      <w:bookmarkEnd w:id="672"/>
    </w:p>
    <w:tbl>
      <w:tblPr>
        <w:tblStyle w:val="aff5"/>
        <w:tblW w:w="0" w:type="auto"/>
        <w:tblInd w:w="113" w:type="dxa"/>
        <w:shd w:val="clear" w:color="auto" w:fill="D9D9D9" w:themeFill="background1" w:themeFillShade="D9"/>
        <w:tblLook w:val="04A0" w:firstRow="1" w:lastRow="0" w:firstColumn="1" w:lastColumn="0" w:noHBand="0" w:noVBand="1"/>
      </w:tblPr>
      <w:tblGrid>
        <w:gridCol w:w="3284"/>
      </w:tblGrid>
      <w:tr w:rsidR="008E0E51" w:rsidTr="00302AC9">
        <w:tc>
          <w:tcPr>
            <w:tcW w:w="3284" w:type="dxa"/>
            <w:shd w:val="clear" w:color="auto" w:fill="D9D9D9" w:themeFill="background1" w:themeFillShade="D9"/>
          </w:tcPr>
          <w:p w:rsidR="008E0E51" w:rsidRDefault="008E0E51" w:rsidP="008E0E51">
            <w:pPr>
              <w:pStyle w:val="11-"/>
              <w:spacing w:before="72" w:after="108"/>
            </w:pPr>
            <w:bookmarkStart w:id="673" w:name="_Toc535228432"/>
            <w:bookmarkStart w:id="674" w:name="_Toc4058844"/>
            <w:r w:rsidRPr="00AC77DF">
              <w:rPr>
                <w:rFonts w:ascii="Times New Roman"/>
              </w:rPr>
              <w:t>反恐指揮及協調機制案</w:t>
            </w:r>
          </w:p>
        </w:tc>
      </w:tr>
    </w:tbl>
    <w:bookmarkEnd w:id="673"/>
    <w:bookmarkEnd w:id="674"/>
    <w:p w:rsidR="003807A5" w:rsidRPr="00AC77DF" w:rsidRDefault="008E0E51" w:rsidP="006B4B2A">
      <w:pPr>
        <w:pStyle w:val="afff1"/>
        <w:spacing w:beforeLines="120" w:before="432" w:after="360"/>
      </w:pPr>
      <w:r>
        <w:rPr>
          <w:rFonts w:hint="eastAsia"/>
        </w:rPr>
        <w:t>(一)</w:t>
      </w:r>
      <w:r w:rsidR="003807A5" w:rsidRPr="00AC77DF">
        <w:t>案情簡述</w:t>
      </w:r>
    </w:p>
    <w:p w:rsidR="003807A5" w:rsidRPr="00AC77DF" w:rsidRDefault="003807A5" w:rsidP="000315BA">
      <w:pPr>
        <w:pStyle w:val="1---"/>
        <w:ind w:firstLine="480"/>
      </w:pPr>
      <w:r w:rsidRPr="00AC77DF">
        <w:t>104</w:t>
      </w:r>
      <w:r w:rsidRPr="00AC77DF">
        <w:t>年巴黎恐怖攻擊後，世界各地恐怖主義活動依然猖獗。</w:t>
      </w:r>
      <w:r w:rsidRPr="00AC77DF">
        <w:t>105</w:t>
      </w:r>
      <w:r w:rsidRPr="00AC77DF">
        <w:t>年</w:t>
      </w:r>
      <w:r w:rsidRPr="00AC77DF">
        <w:t>3</w:t>
      </w:r>
      <w:r w:rsidRPr="00AC77DF">
        <w:t>月比利時又遭伊斯蘭國（</w:t>
      </w:r>
      <w:r w:rsidRPr="00AC77DF">
        <w:t>Islamic State,</w:t>
      </w:r>
      <w:r w:rsidRPr="00AC77DF">
        <w:rPr>
          <w:lang w:eastAsia="zh-TW"/>
        </w:rPr>
        <w:t xml:space="preserve"> </w:t>
      </w:r>
      <w:r w:rsidRPr="00AC77DF">
        <w:t>IS</w:t>
      </w:r>
      <w:r w:rsidRPr="00AC77DF">
        <w:t>）恐怖組織大規模襲擊，全球各地亦陸續發生恐怖攻擊，恐怖主義的陰影籠罩全球。伊斯蘭國極端組織已將我國列為反</w:t>
      </w:r>
      <w:r w:rsidRPr="00AC77DF">
        <w:t>IS</w:t>
      </w:r>
      <w:r w:rsidRPr="00AC77DF">
        <w:t>聯盟成員國，我國的</w:t>
      </w:r>
      <w:r w:rsidRPr="00AC77DF">
        <w:t>101</w:t>
      </w:r>
      <w:r w:rsidRPr="00AC77DF">
        <w:t>大樓亦曾出現在該組織的文宣品中，針對性的威脅意味濃厚。反恐是維護人類價值，促進國際合作的重要工作。有鑑於國人反恐意識尚未普遍建立，我國尚無制定反恐專法，亦無設置反恐的專責機關，一旦遇到恐怖攻擊，將涉及各機關的統一指揮權限、相互分工的權責以及機關間相互協調之機制，究竟是否足以因應國際恐怖主義新形勢的變化？監察院基於</w:t>
      </w:r>
      <w:r w:rsidRPr="00AC77DF">
        <w:lastRenderedPageBreak/>
        <w:t>職責，對反恐作為事先情資掌握、國際間合作加強、國際洗錢防制及國家重要設施、民眾經常聚集場所的安全維護，國際人士入出國境的安全把關等工作，均有責任要求行政部門予以重視，以維護民眾生命、財產安全，爰經監察委員立案調查。</w:t>
      </w:r>
    </w:p>
    <w:p w:rsidR="003807A5" w:rsidRPr="00AC77DF" w:rsidRDefault="008E0E51" w:rsidP="00DE66F8">
      <w:pPr>
        <w:pStyle w:val="afff1"/>
        <w:spacing w:before="360" w:after="360"/>
      </w:pPr>
      <w:r>
        <w:rPr>
          <w:rFonts w:hint="eastAsia"/>
        </w:rPr>
        <w:t>(二)</w:t>
      </w:r>
      <w:r w:rsidR="003807A5" w:rsidRPr="00AC77DF">
        <w:t>監察院調查發現與建議</w:t>
      </w:r>
    </w:p>
    <w:p w:rsidR="003807A5" w:rsidRPr="00AC77DF" w:rsidRDefault="000B4370" w:rsidP="00564517">
      <w:pPr>
        <w:pStyle w:val="1--13"/>
        <w:spacing w:before="180" w:after="180"/>
      </w:pPr>
      <w:r w:rsidRPr="008E1832">
        <w:rPr>
          <w:rFonts w:hint="eastAsia"/>
        </w:rPr>
        <w:t>˙</w:t>
      </w:r>
      <w:r w:rsidR="003807A5" w:rsidRPr="00AC77DF">
        <w:t>強化反恐警覺</w:t>
      </w:r>
    </w:p>
    <w:p w:rsidR="003807A5" w:rsidRPr="00AC77DF" w:rsidRDefault="003807A5" w:rsidP="000315BA">
      <w:pPr>
        <w:pStyle w:val="1---"/>
        <w:ind w:firstLine="480"/>
        <w:rPr>
          <w:lang w:eastAsia="zh-TW"/>
        </w:rPr>
      </w:pPr>
      <w:r w:rsidRPr="00AC77DF">
        <w:t>據「經濟與和平研究所」公布之全球恐怖主義指數，</w:t>
      </w:r>
      <w:r w:rsidRPr="00AC77DF">
        <w:t>105</w:t>
      </w:r>
      <w:r w:rsidRPr="00AC77DF">
        <w:t>年我國占全球</w:t>
      </w:r>
      <w:r w:rsidRPr="00AC77DF">
        <w:t>162</w:t>
      </w:r>
      <w:r w:rsidRPr="00AC77DF">
        <w:t>個國家中第</w:t>
      </w:r>
      <w:r w:rsidRPr="00AC77DF">
        <w:t>122</w:t>
      </w:r>
      <w:r w:rsidRPr="00AC77DF">
        <w:t>名，且風險較前二年下滑，國人雖對恐怖攻擊感到憂心但普遍尚缺乏反恐警覺。鑑於風險仍在，為防患未然，行政院應加強宣導，深化國人居安思危之反恐意識，以因應突發之變局。</w:t>
      </w:r>
    </w:p>
    <w:p w:rsidR="003807A5" w:rsidRPr="00AC77DF" w:rsidRDefault="000B4370" w:rsidP="00564517">
      <w:pPr>
        <w:pStyle w:val="1--13"/>
        <w:spacing w:before="180" w:after="180"/>
      </w:pPr>
      <w:r w:rsidRPr="008E1832">
        <w:rPr>
          <w:rFonts w:hint="eastAsia"/>
        </w:rPr>
        <w:t>˙</w:t>
      </w:r>
      <w:r w:rsidR="003807A5" w:rsidRPr="00AC77DF">
        <w:t>建立法制及專責機關</w:t>
      </w:r>
    </w:p>
    <w:p w:rsidR="003807A5" w:rsidRPr="00AC77DF" w:rsidRDefault="003807A5" w:rsidP="000315BA">
      <w:pPr>
        <w:pStyle w:val="1---"/>
        <w:ind w:firstLine="480"/>
        <w:rPr>
          <w:b/>
          <w:i/>
        </w:rPr>
      </w:pPr>
      <w:r w:rsidRPr="00AC77DF">
        <w:t>我國目前尚無反恐專法，行政院宜審慎評估制定專法之必要性，在杜絕侵犯人權疑慮之前提下，有效統合事權與資源，以打擊恐怖主義的蔓延。</w:t>
      </w:r>
    </w:p>
    <w:p w:rsidR="003807A5" w:rsidRDefault="003807A5" w:rsidP="00423D21">
      <w:pPr>
        <w:pStyle w:val="1---"/>
        <w:ind w:firstLine="480"/>
        <w:rPr>
          <w:lang w:eastAsia="zh-TW"/>
        </w:rPr>
      </w:pPr>
      <w:r w:rsidRPr="00AC77DF">
        <w:t>我國目前尚無專責之反恐機關，而反恐工作所涉及之事權龐雜，且人力分散，目前以「雙軌一體制」之模式運作，尤應加強各權責機關橫向之協調整合及統一事權之縱向決策與執行機制，以利反恐行動快速整合資源，迅速反應，確保我國具備有效反制恐怖主義蔓延的能力。</w:t>
      </w:r>
    </w:p>
    <w:p w:rsidR="00326D1D" w:rsidRPr="00AC77DF" w:rsidRDefault="00326D1D" w:rsidP="00423D21">
      <w:pPr>
        <w:pStyle w:val="1---"/>
        <w:ind w:firstLine="480"/>
        <w:rPr>
          <w:b/>
          <w:i/>
          <w:lang w:eastAsia="zh-TW"/>
        </w:rPr>
      </w:pPr>
    </w:p>
    <w:p w:rsidR="003807A5" w:rsidRPr="00AC77DF" w:rsidRDefault="000B4370" w:rsidP="00564517">
      <w:pPr>
        <w:pStyle w:val="1--13"/>
        <w:spacing w:before="180" w:after="180"/>
      </w:pPr>
      <w:r w:rsidRPr="008E1832">
        <w:rPr>
          <w:rFonts w:hint="eastAsia"/>
        </w:rPr>
        <w:lastRenderedPageBreak/>
        <w:t>˙</w:t>
      </w:r>
      <w:r w:rsidR="003807A5" w:rsidRPr="00AC77DF">
        <w:t>強化邊境管制</w:t>
      </w:r>
    </w:p>
    <w:p w:rsidR="003807A5" w:rsidRPr="00AC77DF" w:rsidRDefault="003807A5" w:rsidP="00423D21">
      <w:pPr>
        <w:pStyle w:val="1---"/>
        <w:ind w:firstLine="480"/>
        <w:rPr>
          <w:b/>
          <w:i/>
        </w:rPr>
      </w:pPr>
      <w:r w:rsidRPr="00AC77DF">
        <w:t>國際恐怖主義方興未艾，為阻止國際恐怖活動蔓延至我國，宜強化邊境查核與管制之能力，藉由國際合作、情報共享之機制，做好篩濾與查察國際恐怖份子潛入我國境內之把關機制，澈底將國際恐怖活動阻絕於境外。</w:t>
      </w:r>
    </w:p>
    <w:p w:rsidR="003807A5" w:rsidRPr="00AC77DF" w:rsidRDefault="000B4370" w:rsidP="00564517">
      <w:pPr>
        <w:pStyle w:val="1--13"/>
        <w:spacing w:before="180" w:after="180"/>
      </w:pPr>
      <w:r w:rsidRPr="008E1832">
        <w:rPr>
          <w:rFonts w:hint="eastAsia"/>
        </w:rPr>
        <w:t>˙</w:t>
      </w:r>
      <w:r w:rsidR="003807A5" w:rsidRPr="00AC77DF">
        <w:t>有效阻絕恐怖攻擊</w:t>
      </w:r>
    </w:p>
    <w:p w:rsidR="003807A5" w:rsidRPr="00AC77DF" w:rsidRDefault="003807A5" w:rsidP="00423D21">
      <w:pPr>
        <w:pStyle w:val="1---"/>
        <w:ind w:firstLine="480"/>
        <w:rPr>
          <w:b/>
          <w:i/>
        </w:rPr>
      </w:pPr>
      <w:r w:rsidRPr="00AC77DF">
        <w:t>國際恐怖組織為達其宣傳及恐嚇人心的目的，其手段恐已不限於有組織的暴力破壞</w:t>
      </w:r>
      <w:r w:rsidR="00F669A1">
        <w:t>。</w:t>
      </w:r>
      <w:r w:rsidRPr="00AC77DF">
        <w:t>我國欲建立完善反恐機制，仍應面對變化萬千的攻擊手段，尤應加強預防孤狼式攻擊破壞、資訊破壞、金融秩序破壞等之各種新型態的攻擊手段，以因應新型態威脅。</w:t>
      </w:r>
    </w:p>
    <w:p w:rsidR="003807A5" w:rsidRPr="00AC77DF" w:rsidRDefault="003807A5" w:rsidP="00423D21">
      <w:pPr>
        <w:pStyle w:val="1---"/>
        <w:ind w:firstLine="480"/>
        <w:rPr>
          <w:b/>
          <w:i/>
        </w:rPr>
      </w:pPr>
      <w:r w:rsidRPr="00AC77DF">
        <w:t>我國目前對於恐怖攻擊的初期應對策略，與災害防救法所定之防救體系與應變措施具有高度重疊性，固係借重運作趨於成熟的體系作有效率的運用，然恐怖攻擊仍有其特殊性，有賴結合情報、外交、國際合作等反恐要素之綜合考量，強化不同型態的應變演練，累積經驗，以發揮反制恐怖主義的能量。</w:t>
      </w:r>
    </w:p>
    <w:p w:rsidR="003807A5" w:rsidRPr="00AC77DF" w:rsidRDefault="003807A5" w:rsidP="00326D1D">
      <w:pPr>
        <w:pStyle w:val="1---"/>
        <w:ind w:firstLine="480"/>
        <w:jc w:val="distribute"/>
        <w:rPr>
          <w:i/>
        </w:rPr>
      </w:pPr>
      <w:r w:rsidRPr="00AC77DF">
        <w:t>目前我國專業反恐訓練基地建置伊始，有賴持續充實與完善，並針對多樣任務需求持續強化人員訓練、</w:t>
      </w:r>
      <w:r w:rsidR="000772D3" w:rsidRPr="00AC77DF">
        <w:t>提升</w:t>
      </w:r>
      <w:r w:rsidRPr="00AC77DF">
        <w:t>設備，並加</w:t>
      </w:r>
      <w:r w:rsidRPr="00326D1D">
        <w:rPr>
          <w:spacing w:val="-2"/>
        </w:rPr>
        <w:t>強與友軍的協調整合，充分發揮訓練效能，精實我國反恐戰力。</w:t>
      </w:r>
    </w:p>
    <w:p w:rsidR="003807A5" w:rsidRDefault="003807A5" w:rsidP="00423D21">
      <w:pPr>
        <w:pStyle w:val="1---"/>
        <w:ind w:firstLine="480"/>
        <w:rPr>
          <w:lang w:eastAsia="zh-TW"/>
        </w:rPr>
      </w:pPr>
      <w:r w:rsidRPr="00AC77DF">
        <w:t>依據本案調查意見</w:t>
      </w:r>
      <w:r w:rsidRPr="00AC77DF">
        <w:rPr>
          <w:vertAlign w:val="superscript"/>
        </w:rPr>
        <w:footnoteReference w:id="155"/>
      </w:r>
      <w:r w:rsidRPr="00AC77DF">
        <w:t>，監察院</w:t>
      </w:r>
      <w:r w:rsidR="009105B8" w:rsidRPr="009105B8">
        <w:rPr>
          <w:rFonts w:hint="eastAsia"/>
        </w:rPr>
        <w:t>函請行政院參處</w:t>
      </w:r>
      <w:r w:rsidRPr="00AC77DF">
        <w:t>。</w:t>
      </w:r>
      <w:r w:rsidRPr="00AC77DF">
        <w:t xml:space="preserve"> </w:t>
      </w:r>
    </w:p>
    <w:p w:rsidR="00326D1D" w:rsidRPr="00AC77DF" w:rsidRDefault="00326D1D" w:rsidP="00423D21">
      <w:pPr>
        <w:pStyle w:val="1---"/>
        <w:ind w:firstLine="480"/>
        <w:rPr>
          <w:i/>
          <w:lang w:eastAsia="zh-TW"/>
        </w:rPr>
      </w:pPr>
    </w:p>
    <w:p w:rsidR="003807A5" w:rsidRPr="00AC77DF" w:rsidRDefault="008E0E51" w:rsidP="00DE66F8">
      <w:pPr>
        <w:pStyle w:val="afff1"/>
        <w:spacing w:before="360" w:after="360"/>
      </w:pPr>
      <w:r>
        <w:rPr>
          <w:rFonts w:hint="eastAsia"/>
        </w:rPr>
        <w:lastRenderedPageBreak/>
        <w:t>(三)</w:t>
      </w:r>
      <w:r w:rsidR="003807A5" w:rsidRPr="00AC77DF">
        <w:t>政府機關改善情形</w:t>
      </w:r>
    </w:p>
    <w:p w:rsidR="003807A5" w:rsidRPr="00AC77DF" w:rsidRDefault="003807A5" w:rsidP="00423D21">
      <w:pPr>
        <w:pStyle w:val="1---"/>
        <w:ind w:firstLine="480"/>
      </w:pPr>
      <w:bookmarkStart w:id="675" w:name="_Toc485314845"/>
      <w:bookmarkStart w:id="676" w:name="_Toc485315610"/>
      <w:bookmarkStart w:id="677" w:name="_Toc485389720"/>
      <w:bookmarkStart w:id="678" w:name="_Toc485395308"/>
      <w:bookmarkStart w:id="679" w:name="_Toc498676158"/>
      <w:r w:rsidRPr="00AC77DF">
        <w:t>本案釐清有關機關是否已善盡維護國人安全的責任，期促其予以重視，建立我國完善之反恐機制</w:t>
      </w:r>
      <w:bookmarkEnd w:id="675"/>
      <w:bookmarkEnd w:id="676"/>
      <w:bookmarkEnd w:id="677"/>
      <w:bookmarkEnd w:id="678"/>
      <w:bookmarkEnd w:id="679"/>
      <w:r w:rsidRPr="00AC77DF">
        <w:t>。</w:t>
      </w:r>
    </w:p>
    <w:p w:rsidR="003807A5" w:rsidRPr="00AC77DF" w:rsidRDefault="008E0E51" w:rsidP="00DE66F8">
      <w:pPr>
        <w:pStyle w:val="afff1"/>
        <w:spacing w:before="360" w:after="360"/>
      </w:pPr>
      <w:r>
        <w:rPr>
          <w:rFonts w:hint="eastAsia"/>
        </w:rPr>
        <w:t>(四)</w:t>
      </w:r>
      <w:r w:rsidR="003807A5" w:rsidRPr="00AC77DF">
        <w:t>案件進展</w:t>
      </w:r>
    </w:p>
    <w:p w:rsidR="003807A5" w:rsidRPr="00AC77DF" w:rsidRDefault="003807A5" w:rsidP="00423D21">
      <w:pPr>
        <w:pStyle w:val="1---"/>
        <w:ind w:firstLine="480"/>
      </w:pPr>
      <w:r w:rsidRPr="00AC77DF">
        <w:t>本案調查意見，函請行政院參處。</w:t>
      </w:r>
    </w:p>
    <w:p w:rsidR="003807A5" w:rsidRPr="00302AC9" w:rsidRDefault="003807A5" w:rsidP="00302AC9">
      <w:pPr>
        <w:pStyle w:val="11-"/>
        <w:spacing w:beforeLines="100" w:before="360" w:afterLines="100" w:after="360"/>
        <w:rPr>
          <w:sz w:val="32"/>
          <w:szCs w:val="32"/>
        </w:rPr>
      </w:pPr>
      <w:bookmarkStart w:id="680" w:name="_Toc535228433"/>
      <w:bookmarkStart w:id="681" w:name="_Toc4058845"/>
      <w:r w:rsidRPr="00302AC9">
        <w:rPr>
          <w:sz w:val="32"/>
          <w:szCs w:val="32"/>
        </w:rPr>
        <w:t>三、動物保護</w:t>
      </w:r>
      <w:bookmarkEnd w:id="680"/>
      <w:bookmarkEnd w:id="681"/>
    </w:p>
    <w:tbl>
      <w:tblPr>
        <w:tblStyle w:val="aff5"/>
        <w:tblW w:w="0" w:type="auto"/>
        <w:tblInd w:w="113" w:type="dxa"/>
        <w:shd w:val="clear" w:color="auto" w:fill="D9D9D9" w:themeFill="background1" w:themeFillShade="D9"/>
        <w:tblLook w:val="04A0" w:firstRow="1" w:lastRow="0" w:firstColumn="1" w:lastColumn="0" w:noHBand="0" w:noVBand="1"/>
      </w:tblPr>
      <w:tblGrid>
        <w:gridCol w:w="2405"/>
      </w:tblGrid>
      <w:tr w:rsidR="008E0E51" w:rsidTr="00302AC9">
        <w:tc>
          <w:tcPr>
            <w:tcW w:w="2405" w:type="dxa"/>
            <w:shd w:val="clear" w:color="auto" w:fill="D9D9D9" w:themeFill="background1" w:themeFillShade="D9"/>
          </w:tcPr>
          <w:p w:rsidR="008E0E51" w:rsidRDefault="008E0E51" w:rsidP="008E0E51">
            <w:pPr>
              <w:pStyle w:val="11-"/>
              <w:spacing w:before="72" w:after="108"/>
            </w:pPr>
            <w:bookmarkStart w:id="682" w:name="_Toc535228434"/>
            <w:bookmarkStart w:id="683" w:name="_Toc4058846"/>
            <w:r w:rsidRPr="00AC77DF">
              <w:t>遊蕩犬貓處置案</w:t>
            </w:r>
          </w:p>
        </w:tc>
      </w:tr>
    </w:tbl>
    <w:bookmarkEnd w:id="682"/>
    <w:bookmarkEnd w:id="683"/>
    <w:p w:rsidR="003807A5" w:rsidRPr="00AC77DF" w:rsidRDefault="008E0E51" w:rsidP="00DE66F8">
      <w:pPr>
        <w:pStyle w:val="afff1"/>
        <w:spacing w:before="360" w:after="360"/>
      </w:pPr>
      <w:r>
        <w:rPr>
          <w:rFonts w:hint="eastAsia"/>
        </w:rPr>
        <w:t>(一)</w:t>
      </w:r>
      <w:r w:rsidR="003807A5" w:rsidRPr="00AC77DF">
        <w:t>案情簡述</w:t>
      </w:r>
    </w:p>
    <w:p w:rsidR="003807A5" w:rsidRDefault="003807A5" w:rsidP="00423D21">
      <w:pPr>
        <w:pStyle w:val="1---"/>
        <w:ind w:firstLine="480"/>
        <w:rPr>
          <w:lang w:eastAsia="zh-TW"/>
        </w:rPr>
      </w:pPr>
      <w:r w:rsidRPr="00AC77DF">
        <w:t>動物保護為普世價值，而動物保護法自</w:t>
      </w:r>
      <w:r w:rsidRPr="00AC77DF">
        <w:t>87</w:t>
      </w:r>
      <w:r w:rsidRPr="00AC77DF">
        <w:t>年公布實施迄今，遊蕩犬貓問題仍存在於臺灣社會，尤以近來仍發生諸多動物保護事件，突顯政府長期</w:t>
      </w:r>
      <w:r w:rsidR="00866CAE">
        <w:t>動物保護</w:t>
      </w:r>
      <w:r w:rsidRPr="00AC77DF">
        <w:t>政策未能落實維護動物生命尊嚴及零撲殺之配套措施。究動物保護機制有否缺失？係肇因於政策規劃失當或執行不力所致？實有深入瞭解之必要，案經監察院財政及經濟委員會決議調查。</w:t>
      </w:r>
    </w:p>
    <w:p w:rsidR="00791052" w:rsidRDefault="00791052" w:rsidP="00423D21">
      <w:pPr>
        <w:pStyle w:val="1---"/>
        <w:ind w:firstLine="480"/>
        <w:rPr>
          <w:lang w:eastAsia="zh-TW"/>
        </w:rPr>
      </w:pPr>
    </w:p>
    <w:p w:rsidR="00791052" w:rsidRPr="00AC77DF" w:rsidRDefault="00791052" w:rsidP="00423D21">
      <w:pPr>
        <w:pStyle w:val="1---"/>
        <w:ind w:firstLine="480"/>
        <w:rPr>
          <w:lang w:eastAsia="zh-TW"/>
        </w:rPr>
      </w:pPr>
    </w:p>
    <w:p w:rsidR="003807A5" w:rsidRPr="00AC77DF" w:rsidRDefault="008E0E51" w:rsidP="00DE66F8">
      <w:pPr>
        <w:pStyle w:val="afff1"/>
        <w:spacing w:before="360" w:after="360"/>
      </w:pPr>
      <w:r>
        <w:rPr>
          <w:rFonts w:hint="eastAsia"/>
        </w:rPr>
        <w:lastRenderedPageBreak/>
        <w:t>(二)</w:t>
      </w:r>
      <w:r w:rsidR="003807A5" w:rsidRPr="00AC77DF">
        <w:t>監察院調查發現與建議</w:t>
      </w:r>
    </w:p>
    <w:p w:rsidR="003807A5" w:rsidRPr="00AC77DF" w:rsidRDefault="000B4370" w:rsidP="00564517">
      <w:pPr>
        <w:pStyle w:val="1--13"/>
        <w:spacing w:before="180" w:after="180"/>
      </w:pPr>
      <w:r w:rsidRPr="008E1832">
        <w:rPr>
          <w:rFonts w:hint="eastAsia"/>
        </w:rPr>
        <w:t>˙</w:t>
      </w:r>
      <w:r w:rsidR="003807A5" w:rsidRPr="00AC77DF">
        <w:t>未辦理寵物登記</w:t>
      </w:r>
    </w:p>
    <w:p w:rsidR="003807A5" w:rsidRPr="00AC77DF" w:rsidRDefault="003807A5" w:rsidP="00423D21">
      <w:pPr>
        <w:pStyle w:val="1---"/>
        <w:ind w:firstLine="480"/>
        <w:rPr>
          <w:lang w:eastAsia="zh-TW"/>
        </w:rPr>
      </w:pPr>
      <w:r w:rsidRPr="00AC77DF">
        <w:t>農委會未能落實</w:t>
      </w:r>
      <w:r w:rsidR="00866CAE">
        <w:t>動物保護</w:t>
      </w:r>
      <w:r w:rsidRPr="00AC77DF">
        <w:t>法中所明定寵物應辦理登記，自</w:t>
      </w:r>
      <w:r w:rsidRPr="00AC77DF">
        <w:t>88</w:t>
      </w:r>
      <w:r w:rsidRPr="00AC77DF">
        <w:t>年立法執行迄今寵物登記率推估</w:t>
      </w:r>
      <w:r w:rsidRPr="00AC77DF">
        <w:t>104</w:t>
      </w:r>
      <w:r w:rsidRPr="00AC77DF">
        <w:t>年之全國犬隻（存活）登記率仍未及六成，且該寵物登記數字與實際飼養情形未臻確實且有低估之情，又設定於</w:t>
      </w:r>
      <w:r w:rsidRPr="00AC77DF">
        <w:t>107</w:t>
      </w:r>
      <w:r w:rsidRPr="00AC77DF">
        <w:t>年寵物登記率目標值為</w:t>
      </w:r>
      <w:r w:rsidRPr="00AC77DF">
        <w:t>75</w:t>
      </w:r>
      <w:r w:rsidR="00F9266D">
        <w:t>%</w:t>
      </w:r>
      <w:r w:rsidRPr="00AC77DF">
        <w:t>，顯然迄未能詳實掌握全國寵物數量，致源頭管制有所疏漏。</w:t>
      </w:r>
    </w:p>
    <w:p w:rsidR="003807A5" w:rsidRPr="00AC77DF" w:rsidRDefault="003807A5" w:rsidP="00423D21">
      <w:pPr>
        <w:pStyle w:val="1---"/>
        <w:ind w:firstLine="480"/>
      </w:pPr>
      <w:r w:rsidRPr="00AC77DF">
        <w:t>農委會就寵物登記及特定寵物業管理之種類僅列「犬</w:t>
      </w:r>
      <w:r w:rsidRPr="00D54AFE">
        <w:rPr>
          <w:spacing w:val="-28"/>
        </w:rPr>
        <w:t>」</w:t>
      </w:r>
      <w:r w:rsidRPr="00AC77DF">
        <w:t>，但國內飼養「貓」的數量及比例逐年提高，至</w:t>
      </w:r>
      <w:r w:rsidRPr="00AC77DF">
        <w:t>105</w:t>
      </w:r>
      <w:r w:rsidRPr="00AC77DF">
        <w:t>年度已達</w:t>
      </w:r>
      <w:r w:rsidRPr="00AC77DF">
        <w:t>57</w:t>
      </w:r>
      <w:r w:rsidRPr="00AC77DF">
        <w:t>萬隻並占全國已登記犬貓總數</w:t>
      </w:r>
      <w:r w:rsidRPr="00AC77DF">
        <w:t>1/4</w:t>
      </w:r>
      <w:r w:rsidRPr="00AC77DF">
        <w:t>，所提出修正「特定寵物業管理辦法」雖已規劃增列「貓」為適用特定寵物，然仍屬草案階段，作為有欠積極。</w:t>
      </w:r>
    </w:p>
    <w:p w:rsidR="003807A5" w:rsidRPr="00AC77DF" w:rsidRDefault="000B4370" w:rsidP="00564517">
      <w:pPr>
        <w:pStyle w:val="1--13"/>
        <w:spacing w:before="180" w:after="180"/>
      </w:pPr>
      <w:r w:rsidRPr="008E1832">
        <w:rPr>
          <w:rFonts w:hint="eastAsia"/>
        </w:rPr>
        <w:t>˙</w:t>
      </w:r>
      <w:r w:rsidR="003807A5" w:rsidRPr="00AC77DF">
        <w:t>遊蕩街狗產生公共安全問題</w:t>
      </w:r>
    </w:p>
    <w:p w:rsidR="003807A5" w:rsidRPr="00AC77DF" w:rsidRDefault="003807A5" w:rsidP="00423D21">
      <w:pPr>
        <w:pStyle w:val="1---"/>
        <w:ind w:firstLine="480"/>
        <w:rPr>
          <w:lang w:eastAsia="zh-TW"/>
        </w:rPr>
      </w:pPr>
      <w:r w:rsidRPr="00AC77DF">
        <w:t>遊蕩街狗儼然成為公共安全隱憂，其數量調查結果雖有降低趨勢，惟政策作為影響有限，其絕育率雖逐年緩步提升，但相對於犬隻繁殖速率則難收實效。</w:t>
      </w:r>
    </w:p>
    <w:p w:rsidR="003807A5" w:rsidRPr="00AC77DF" w:rsidRDefault="000B4370" w:rsidP="00564517">
      <w:pPr>
        <w:pStyle w:val="1--13"/>
        <w:spacing w:before="180" w:after="180"/>
      </w:pPr>
      <w:r w:rsidRPr="008E1832">
        <w:rPr>
          <w:rFonts w:hint="eastAsia"/>
        </w:rPr>
        <w:t>˙</w:t>
      </w:r>
      <w:r w:rsidR="003807A5" w:rsidRPr="00AC77DF">
        <w:t>正視源頭管理</w:t>
      </w:r>
    </w:p>
    <w:p w:rsidR="003807A5" w:rsidRPr="00AC77DF" w:rsidRDefault="003807A5" w:rsidP="00302AC9">
      <w:pPr>
        <w:pStyle w:val="1---"/>
        <w:ind w:firstLine="480"/>
        <w:jc w:val="distribute"/>
        <w:rPr>
          <w:b/>
          <w:i/>
        </w:rPr>
      </w:pPr>
      <w:r w:rsidRPr="00AC77DF">
        <w:t>寵物業者所飼養犬貓繁殖數量難以詳實掌握，非法繁殖及</w:t>
      </w:r>
      <w:r w:rsidRPr="00302AC9">
        <w:rPr>
          <w:spacing w:val="-2"/>
        </w:rPr>
        <w:t>販賣業者更難以追查，亦無有效解決對策，肇生源頭管理漏洞。</w:t>
      </w:r>
    </w:p>
    <w:p w:rsidR="003807A5" w:rsidRPr="00AC77DF" w:rsidRDefault="003807A5" w:rsidP="00423D21">
      <w:pPr>
        <w:pStyle w:val="1---"/>
        <w:ind w:firstLine="480"/>
        <w:rPr>
          <w:b/>
          <w:i/>
          <w:lang w:eastAsia="zh-TW"/>
        </w:rPr>
      </w:pPr>
      <w:r w:rsidRPr="00AC77DF">
        <w:t>農委會投注大筆預算協助地方政府增改建公立動物收容所，以監察院履勘高雄、嘉義、桃園等地動物收容所，其硬體設</w:t>
      </w:r>
      <w:r w:rsidRPr="00AC77DF">
        <w:lastRenderedPageBreak/>
        <w:t>施確有改善必要，且有助於改善動物福利及收容所內人員之職場環境，殊值肯認；但流浪動物之核心問題在於長期源頭減量未獲顯著成效，將招致收容所擴建後即再滿載，仍無助於改善公立收容所長期滿載、地處偏遠及鄰避設施印象等困境。</w:t>
      </w:r>
      <w:r w:rsidR="00866CAE">
        <w:t>動物保護</w:t>
      </w:r>
      <w:r w:rsidRPr="00AC77DF">
        <w:t>政策環環相扣，公立動物收容所應與整體</w:t>
      </w:r>
      <w:r w:rsidR="00866CAE">
        <w:t>動物保護</w:t>
      </w:r>
      <w:r w:rsidRPr="00AC77DF">
        <w:t>政策及願景妥善配套，上承源頭管理、下啟認領養並落實絕育及寵物登記。</w:t>
      </w:r>
    </w:p>
    <w:p w:rsidR="003807A5" w:rsidRPr="00AC77DF" w:rsidRDefault="00E13744" w:rsidP="00423D21">
      <w:pPr>
        <w:pStyle w:val="1---"/>
        <w:ind w:firstLine="480"/>
        <w:rPr>
          <w:b/>
          <w:i/>
          <w:lang w:eastAsia="zh-TW"/>
        </w:rPr>
      </w:pPr>
      <w:r>
        <w:rPr>
          <w:rFonts w:hint="eastAsia"/>
        </w:rPr>
        <w:t>公</w:t>
      </w:r>
      <w:r w:rsidR="003807A5" w:rsidRPr="00AC77DF">
        <w:t>立動物收容處所之零撲殺政策已於</w:t>
      </w:r>
      <w:r w:rsidR="003807A5" w:rsidRPr="00AC77DF">
        <w:t>106</w:t>
      </w:r>
      <w:r w:rsidR="003807A5" w:rsidRPr="00AC77DF">
        <w:t>年</w:t>
      </w:r>
      <w:r w:rsidR="003807A5" w:rsidRPr="00AC77DF">
        <w:t>2</w:t>
      </w:r>
      <w:r w:rsidR="003807A5" w:rsidRPr="00AC77DF">
        <w:t>月</w:t>
      </w:r>
      <w:r w:rsidR="003807A5" w:rsidRPr="00AC77DF">
        <w:t>4</w:t>
      </w:r>
      <w:r w:rsidR="003807A5" w:rsidRPr="00AC77DF">
        <w:t>日實施，其目的並非僅為人道處理率偏高而設，亦有藉先進立法促使機關正視犬貓源頭管理沉疴之意，惟多數縣市於</w:t>
      </w:r>
      <w:r w:rsidR="003807A5" w:rsidRPr="00AC77DF">
        <w:t>2</w:t>
      </w:r>
      <w:r w:rsidR="003807A5" w:rsidRPr="00AC77DF">
        <w:t>年緩衝期屆滿前表明後續執行將遭遇困難，甚至預估無法達成</w:t>
      </w:r>
      <w:r w:rsidR="00521918">
        <w:t>。</w:t>
      </w:r>
      <w:r w:rsidR="003807A5" w:rsidRPr="00AC77DF">
        <w:t>該政策施行後，部分縣市減少游蕩犬貓的捕捉，藉以減緩公立收容所之負荷，進一步觀察數據變化，甚有所內自然死亡率突增之情</w:t>
      </w:r>
      <w:r w:rsidR="00521918">
        <w:t>。</w:t>
      </w:r>
      <w:r w:rsidR="003807A5" w:rsidRPr="00AC77DF">
        <w:t>基此，農委會事前既未能積極落實立法目的，事後又僅以維持收容品質為由，建議地方以「停止收容」為對策，未能衡酌基層收容壓力及後遺症。</w:t>
      </w:r>
    </w:p>
    <w:p w:rsidR="003807A5" w:rsidRPr="00AC77DF" w:rsidRDefault="000B4370" w:rsidP="00564517">
      <w:pPr>
        <w:pStyle w:val="1--13"/>
        <w:spacing w:before="180" w:after="180"/>
      </w:pPr>
      <w:r w:rsidRPr="008E1832">
        <w:rPr>
          <w:rFonts w:hint="eastAsia"/>
        </w:rPr>
        <w:t>˙</w:t>
      </w:r>
      <w:r w:rsidR="003807A5" w:rsidRPr="00AC77DF">
        <w:t>動物保護人力缺乏</w:t>
      </w:r>
    </w:p>
    <w:p w:rsidR="003807A5" w:rsidRPr="00AC77DF" w:rsidRDefault="003807A5" w:rsidP="00423D21">
      <w:pPr>
        <w:pStyle w:val="1---"/>
        <w:ind w:firstLine="480"/>
      </w:pPr>
      <w:r w:rsidRPr="00AC77DF">
        <w:t>農委會對動物保護業務在中央及地方於組織架構及人力資源配置均屬匱乏，未能正視並積極協調地方政府首長重視動物保護政策，並謀求改善。又公職獸醫師兼辦過多行政庶務，未能專責執行動物醫療照顧業務，其業務權重失衡，亟待調整改善。</w:t>
      </w:r>
    </w:p>
    <w:p w:rsidR="00791052" w:rsidRDefault="00791052">
      <w:pPr>
        <w:widowControl/>
        <w:snapToGrid/>
        <w:rPr>
          <w:rFonts w:ascii="新細明體" w:eastAsia="華康正顏楷體W5" w:hAnsi="新細明體"/>
          <w:kern w:val="0"/>
          <w:sz w:val="26"/>
          <w:szCs w:val="22"/>
        </w:rPr>
      </w:pPr>
      <w:r>
        <w:br w:type="page"/>
      </w:r>
    </w:p>
    <w:p w:rsidR="003807A5" w:rsidRPr="00AC77DF" w:rsidRDefault="000B4370" w:rsidP="00564517">
      <w:pPr>
        <w:pStyle w:val="1--13"/>
        <w:spacing w:before="180" w:after="180"/>
      </w:pPr>
      <w:r w:rsidRPr="008E1832">
        <w:rPr>
          <w:rFonts w:hint="eastAsia"/>
        </w:rPr>
        <w:lastRenderedPageBreak/>
        <w:t>˙</w:t>
      </w:r>
      <w:r w:rsidR="003807A5" w:rsidRPr="00AC77DF">
        <w:t>加強動物保護宣導及教育</w:t>
      </w:r>
    </w:p>
    <w:p w:rsidR="003807A5" w:rsidRPr="00AC77DF" w:rsidRDefault="003807A5" w:rsidP="00423D21">
      <w:pPr>
        <w:pStyle w:val="1---"/>
        <w:ind w:firstLine="480"/>
        <w:rPr>
          <w:b/>
          <w:i/>
        </w:rPr>
      </w:pPr>
      <w:r w:rsidRPr="00AC77DF">
        <w:t>農委會為動物保護中央主管機關，未能積極妥善運用政策工具引導動物保護議題，建立社會共識，以消弭</w:t>
      </w:r>
      <w:r w:rsidR="00866CAE">
        <w:t>動物保護</w:t>
      </w:r>
      <w:r w:rsidRPr="00AC77DF">
        <w:t>團體、流浪動物愛心人士與一般民眾之對立誤解。</w:t>
      </w:r>
    </w:p>
    <w:p w:rsidR="003807A5" w:rsidRPr="00AC77DF" w:rsidRDefault="003807A5" w:rsidP="00423D21">
      <w:pPr>
        <w:pStyle w:val="1---"/>
        <w:ind w:firstLine="480"/>
        <w:rPr>
          <w:b/>
          <w:i/>
        </w:rPr>
      </w:pPr>
      <w:r w:rsidRPr="00AC77DF">
        <w:t>近年來對動物棄養及施虐之違法事件頻傳，顯示國內</w:t>
      </w:r>
      <w:r w:rsidR="00866CAE">
        <w:t>動物保護</w:t>
      </w:r>
      <w:r w:rsidRPr="00AC77DF">
        <w:t>教育仍有待加強，農委會應偕同地方政府致力於飼主及一般民眾動物生命教育，減少類此事件發生並預作防範。</w:t>
      </w:r>
    </w:p>
    <w:p w:rsidR="003807A5" w:rsidRPr="00AC77DF" w:rsidRDefault="003807A5" w:rsidP="00423D21">
      <w:pPr>
        <w:pStyle w:val="1---"/>
        <w:ind w:firstLine="480"/>
      </w:pPr>
      <w:r w:rsidRPr="00AC77DF">
        <w:t>依據本案調查意見</w:t>
      </w:r>
      <w:r w:rsidRPr="00AC77DF">
        <w:rPr>
          <w:rStyle w:val="aff2"/>
        </w:rPr>
        <w:footnoteReference w:id="156"/>
      </w:r>
      <w:r w:rsidRPr="00AC77DF">
        <w:t>，監察院</w:t>
      </w:r>
      <w:bookmarkStart w:id="684" w:name="_Toc2400396"/>
      <w:bookmarkStart w:id="685" w:name="_Toc4316190"/>
      <w:bookmarkStart w:id="686" w:name="_Toc4473331"/>
      <w:bookmarkStart w:id="687" w:name="_Toc69556898"/>
      <w:bookmarkStart w:id="688" w:name="_Toc69556947"/>
      <w:bookmarkStart w:id="689" w:name="_Toc69609821"/>
      <w:bookmarkStart w:id="690" w:name="_Toc70241817"/>
      <w:bookmarkStart w:id="691" w:name="_Toc70242206"/>
      <w:r w:rsidRPr="00AC77DF">
        <w:t>糾正農委會，並</w:t>
      </w:r>
      <w:r w:rsidRPr="00AC77DF">
        <w:rPr>
          <w:bCs/>
        </w:rPr>
        <w:t>函請</w:t>
      </w:r>
      <w:bookmarkEnd w:id="684"/>
      <w:bookmarkEnd w:id="685"/>
      <w:bookmarkEnd w:id="686"/>
      <w:bookmarkEnd w:id="687"/>
      <w:bookmarkEnd w:id="688"/>
      <w:bookmarkEnd w:id="689"/>
      <w:bookmarkEnd w:id="690"/>
      <w:bookmarkEnd w:id="691"/>
      <w:r w:rsidRPr="00AC77DF">
        <w:rPr>
          <w:bCs/>
        </w:rPr>
        <w:t>該會確實檢討改進</w:t>
      </w:r>
      <w:r w:rsidRPr="00AC77DF">
        <w:t>。</w:t>
      </w:r>
    </w:p>
    <w:p w:rsidR="003807A5" w:rsidRPr="00AC77DF" w:rsidRDefault="008E0E51" w:rsidP="00DE66F8">
      <w:pPr>
        <w:pStyle w:val="afff1"/>
        <w:spacing w:before="360" w:after="360"/>
      </w:pPr>
      <w:r>
        <w:rPr>
          <w:rFonts w:hint="eastAsia"/>
        </w:rPr>
        <w:t>(三)</w:t>
      </w:r>
      <w:r w:rsidR="003807A5" w:rsidRPr="00AC77DF">
        <w:t>政府機關改善情形</w:t>
      </w:r>
    </w:p>
    <w:p w:rsidR="003807A5" w:rsidRPr="00AC77DF" w:rsidRDefault="003807A5" w:rsidP="00425EE5">
      <w:pPr>
        <w:pStyle w:val="1----"/>
        <w:ind w:left="600" w:hanging="360"/>
      </w:pPr>
      <w:r w:rsidRPr="00AC77DF">
        <w:t>1</w:t>
      </w:r>
      <w:r w:rsidRPr="00AC77DF">
        <w:t>、農委會已逐步清查寵物登記資料及除戶，並加強各項媒體宣導，提升飼主責任認知。另為凝聚國內</w:t>
      </w:r>
      <w:r w:rsidR="00866CAE">
        <w:t>動物保護</w:t>
      </w:r>
      <w:r w:rsidRPr="00AC77DF">
        <w:t>公民團體意見，於</w:t>
      </w:r>
      <w:r w:rsidRPr="00AC77DF">
        <w:t>106</w:t>
      </w:r>
      <w:r w:rsidRPr="00AC77DF">
        <w:t>年</w:t>
      </w:r>
      <w:r w:rsidRPr="00AC77DF">
        <w:t>9</w:t>
      </w:r>
      <w:r w:rsidRPr="00AC77DF">
        <w:t>月</w:t>
      </w:r>
      <w:r w:rsidRPr="00AC77DF">
        <w:t>8</w:t>
      </w:r>
      <w:r w:rsidRPr="00AC77DF">
        <w:t>日召開動物福利白皮書寵物政策小組內部討論會議，決議以強化正面鼓勵措施，提供補助機制。</w:t>
      </w:r>
    </w:p>
    <w:p w:rsidR="003807A5" w:rsidRPr="00AC77DF" w:rsidRDefault="003807A5" w:rsidP="00425EE5">
      <w:pPr>
        <w:pStyle w:val="1----"/>
        <w:ind w:left="600" w:hanging="360"/>
      </w:pPr>
      <w:r w:rsidRPr="00AC77DF">
        <w:t>2</w:t>
      </w:r>
      <w:r w:rsidRPr="00AC77DF">
        <w:t>、精進寵物登記、絕育及特定寵物業流向管理等源頭管理工作</w:t>
      </w:r>
      <w:r w:rsidRPr="00D54AFE">
        <w:rPr>
          <w:spacing w:val="-28"/>
        </w:rPr>
        <w:t>：</w:t>
      </w:r>
      <w:r w:rsidRPr="00AC77DF">
        <w:t>（</w:t>
      </w:r>
      <w:r w:rsidRPr="00AC77DF">
        <w:t>1</w:t>
      </w:r>
      <w:r w:rsidRPr="00AC77DF">
        <w:t>）爭取動物保護資源</w:t>
      </w:r>
      <w:r w:rsidRPr="00D54AFE">
        <w:rPr>
          <w:spacing w:val="-28"/>
        </w:rPr>
        <w:t>。</w:t>
      </w:r>
      <w:r w:rsidRPr="00AC77DF">
        <w:t>（</w:t>
      </w:r>
      <w:r w:rsidRPr="00AC77DF">
        <w:t>2</w:t>
      </w:r>
      <w:r w:rsidRPr="00AC77DF">
        <w:t>）修正寵物登記法規加強管理</w:t>
      </w:r>
      <w:r w:rsidRPr="00D54AFE">
        <w:rPr>
          <w:spacing w:val="-28"/>
        </w:rPr>
        <w:t>。</w:t>
      </w:r>
      <w:r w:rsidRPr="00AC77DF">
        <w:t>（</w:t>
      </w:r>
      <w:r w:rsidRPr="00AC77DF">
        <w:t>3</w:t>
      </w:r>
      <w:r w:rsidRPr="00AC77DF">
        <w:t>）簡化飼主辦理寵物登記作業</w:t>
      </w:r>
      <w:r w:rsidRPr="00D54AFE">
        <w:rPr>
          <w:spacing w:val="-28"/>
        </w:rPr>
        <w:t>。</w:t>
      </w:r>
      <w:r w:rsidRPr="00AC77DF">
        <w:t>（</w:t>
      </w:r>
      <w:r w:rsidRPr="00AC77DF">
        <w:t>4</w:t>
      </w:r>
      <w:r w:rsidRPr="00AC77DF">
        <w:t>）結合寵物業普及寵物登記機構</w:t>
      </w:r>
      <w:r w:rsidRPr="00D54AFE">
        <w:rPr>
          <w:spacing w:val="-28"/>
        </w:rPr>
        <w:t>。</w:t>
      </w:r>
      <w:r w:rsidRPr="00AC77DF">
        <w:t>（</w:t>
      </w:r>
      <w:r w:rsidRPr="00AC77DF">
        <w:t>5</w:t>
      </w:r>
      <w:r w:rsidRPr="00AC77DF">
        <w:t>）強化寵物登記資料正確性</w:t>
      </w:r>
      <w:r w:rsidRPr="00D54AFE">
        <w:rPr>
          <w:spacing w:val="-28"/>
        </w:rPr>
        <w:t>。</w:t>
      </w:r>
      <w:r w:rsidRPr="00AC77DF">
        <w:t>（</w:t>
      </w:r>
      <w:r w:rsidRPr="00AC77DF">
        <w:t>6</w:t>
      </w:r>
      <w:r w:rsidRPr="00AC77DF">
        <w:t>）擴增犬貓絕育量能</w:t>
      </w:r>
      <w:r w:rsidRPr="00D54AFE">
        <w:rPr>
          <w:spacing w:val="-28"/>
        </w:rPr>
        <w:t>。</w:t>
      </w:r>
      <w:r w:rsidRPr="00AC77DF">
        <w:t>（</w:t>
      </w:r>
      <w:r w:rsidRPr="00AC77DF">
        <w:t>7</w:t>
      </w:r>
      <w:r w:rsidRPr="00AC77DF">
        <w:t>）強化特定寵物業流向管理</w:t>
      </w:r>
      <w:r w:rsidRPr="00D54AFE">
        <w:rPr>
          <w:spacing w:val="-28"/>
        </w:rPr>
        <w:t>。</w:t>
      </w:r>
      <w:r w:rsidRPr="00AC77DF">
        <w:t>（</w:t>
      </w:r>
      <w:r w:rsidRPr="00AC77DF">
        <w:t>8</w:t>
      </w:r>
      <w:r w:rsidRPr="00AC77DF">
        <w:t>）加強各項管道稽查與宣導。</w:t>
      </w:r>
    </w:p>
    <w:p w:rsidR="003807A5" w:rsidRPr="00AC77DF" w:rsidRDefault="003807A5" w:rsidP="00425EE5">
      <w:pPr>
        <w:pStyle w:val="1----"/>
        <w:ind w:left="600" w:hanging="360"/>
      </w:pPr>
      <w:r w:rsidRPr="00AC77DF">
        <w:lastRenderedPageBreak/>
        <w:t>3</w:t>
      </w:r>
      <w:r w:rsidRPr="00AC77DF">
        <w:t>、向行政院爭取並獲核定</w:t>
      </w:r>
      <w:r w:rsidRPr="00AC77DF">
        <w:t>104</w:t>
      </w:r>
      <w:r w:rsidRPr="00AC77DF">
        <w:t>至</w:t>
      </w:r>
      <w:r w:rsidRPr="00AC77DF">
        <w:t>107</w:t>
      </w:r>
      <w:r w:rsidRPr="00AC77DF">
        <w:t>年度加強</w:t>
      </w:r>
      <w:r w:rsidR="00866CAE">
        <w:t>動物保護</w:t>
      </w:r>
      <w:r w:rsidRPr="00AC77DF">
        <w:t>行政效能計畫經費。另持續加強非法繁殖、買賣業者稽查及落實特定寵物業查核。改善政府動物管制收容設施計畫，自</w:t>
      </w:r>
      <w:r w:rsidRPr="00AC77DF">
        <w:t>103</w:t>
      </w:r>
      <w:r w:rsidRPr="00AC77DF">
        <w:t>年起執行至</w:t>
      </w:r>
      <w:r w:rsidRPr="00AC77DF">
        <w:t>106</w:t>
      </w:r>
      <w:r w:rsidRPr="00AC77DF">
        <w:t>年</w:t>
      </w:r>
      <w:r w:rsidRPr="00AC77DF">
        <w:t>8</w:t>
      </w:r>
      <w:r w:rsidRPr="00AC77DF">
        <w:t>月底止，各縣市工程已有具體進展。</w:t>
      </w:r>
    </w:p>
    <w:p w:rsidR="003807A5" w:rsidRPr="00AC77DF" w:rsidRDefault="003807A5" w:rsidP="00425EE5">
      <w:pPr>
        <w:pStyle w:val="1----"/>
        <w:ind w:left="600" w:hanging="360"/>
      </w:pPr>
      <w:r w:rsidRPr="00AC77DF">
        <w:t>4</w:t>
      </w:r>
      <w:r w:rsidRPr="00AC77DF">
        <w:t>、增列貓為特定寵物業管理辦法管理之寵物種類。</w:t>
      </w:r>
    </w:p>
    <w:p w:rsidR="003807A5" w:rsidRPr="00AC77DF" w:rsidRDefault="003807A5" w:rsidP="00425EE5">
      <w:pPr>
        <w:pStyle w:val="1----"/>
        <w:ind w:left="600" w:hanging="360"/>
      </w:pPr>
      <w:r w:rsidRPr="00AC77DF">
        <w:t>5</w:t>
      </w:r>
      <w:r w:rsidRPr="00AC77DF">
        <w:t>、</w:t>
      </w:r>
      <w:r w:rsidRPr="00AC77DF">
        <w:t>106</w:t>
      </w:r>
      <w:r w:rsidRPr="00AC77DF">
        <w:t>年依地方政府所提人力需求，以計畫補助專任</w:t>
      </w:r>
      <w:r w:rsidR="00866CAE">
        <w:t>動物保護</w:t>
      </w:r>
      <w:r w:rsidRPr="00AC77DF">
        <w:t>檢查員或獸醫師</w:t>
      </w:r>
      <w:r w:rsidRPr="00AC77DF">
        <w:t>33</w:t>
      </w:r>
      <w:r w:rsidRPr="00AC77DF">
        <w:t>名、動物收容所工作人員</w:t>
      </w:r>
      <w:r w:rsidRPr="00AC77DF">
        <w:t>53</w:t>
      </w:r>
      <w:r w:rsidRPr="00AC77DF">
        <w:t>名，補助人力較前年成長達</w:t>
      </w:r>
      <w:r w:rsidRPr="00AC77DF">
        <w:t>16%</w:t>
      </w:r>
      <w:r w:rsidRPr="00AC77DF">
        <w:t>。</w:t>
      </w:r>
    </w:p>
    <w:p w:rsidR="003807A5" w:rsidRPr="00AC77DF" w:rsidRDefault="003807A5" w:rsidP="00425EE5">
      <w:pPr>
        <w:pStyle w:val="1----"/>
        <w:ind w:left="600" w:hanging="360"/>
      </w:pPr>
      <w:r w:rsidRPr="00AC77DF">
        <w:t>6</w:t>
      </w:r>
      <w:r w:rsidRPr="00AC77DF">
        <w:t>、另與各直轄市、縣（市）動物保護主管機關共同配合教育部辦理</w:t>
      </w:r>
      <w:r w:rsidRPr="00AC77DF">
        <w:t>106</w:t>
      </w:r>
      <w:r w:rsidRPr="00AC77DF">
        <w:t>年「補助地方政府及國立暨私立高級中等學校校園關懷動物生命教育試辦計畫</w:t>
      </w:r>
      <w:r w:rsidRPr="00D54AFE">
        <w:rPr>
          <w:spacing w:val="-28"/>
        </w:rPr>
        <w:t>」</w:t>
      </w:r>
      <w:r w:rsidRPr="00AC77DF">
        <w:t>，將</w:t>
      </w:r>
      <w:r w:rsidR="00866CAE">
        <w:t>動物保護</w:t>
      </w:r>
      <w:r w:rsidRPr="00AC77DF">
        <w:t>融入學校生命教育課程。另持續透過行政院人事行政總處規劃製作相關數位課程，完成後將在「</w:t>
      </w:r>
      <w:r w:rsidRPr="00AC77DF">
        <w:t>e</w:t>
      </w:r>
      <w:r w:rsidRPr="00AC77DF">
        <w:t>等公務園</w:t>
      </w:r>
      <w:r w:rsidRPr="00AC77DF">
        <w:t>+</w:t>
      </w:r>
      <w:r w:rsidRPr="00AC77DF">
        <w:t>學習平臺」上架。</w:t>
      </w:r>
    </w:p>
    <w:p w:rsidR="003807A5" w:rsidRPr="00AC77DF" w:rsidRDefault="008E0E51" w:rsidP="00DE66F8">
      <w:pPr>
        <w:pStyle w:val="afff1"/>
        <w:spacing w:before="360" w:after="360"/>
      </w:pPr>
      <w:r>
        <w:rPr>
          <w:rFonts w:hint="eastAsia"/>
        </w:rPr>
        <w:t>(四)</w:t>
      </w:r>
      <w:r w:rsidR="003807A5" w:rsidRPr="00AC77DF">
        <w:t>案件進展</w:t>
      </w:r>
    </w:p>
    <w:p w:rsidR="003807A5" w:rsidRDefault="003807A5" w:rsidP="00423D21">
      <w:pPr>
        <w:pStyle w:val="1---"/>
        <w:ind w:firstLine="480"/>
        <w:rPr>
          <w:b/>
          <w:lang w:eastAsia="zh-TW"/>
        </w:rPr>
      </w:pPr>
      <w:r w:rsidRPr="00AC77DF">
        <w:t>本案監察院仍持續列管追蹤改善情形，以維護動物生命尊嚴及零撲殺配套措施之落實。</w:t>
      </w:r>
      <w:r w:rsidRPr="00AC77DF">
        <w:rPr>
          <w:b/>
        </w:rPr>
        <w:t xml:space="preserve">    </w:t>
      </w:r>
    </w:p>
    <w:p w:rsidR="0086083C" w:rsidRDefault="0086083C" w:rsidP="00423D21">
      <w:pPr>
        <w:pStyle w:val="1---"/>
        <w:ind w:firstLine="480"/>
        <w:rPr>
          <w:b/>
          <w:lang w:eastAsia="zh-TW"/>
        </w:rPr>
      </w:pPr>
    </w:p>
    <w:p w:rsidR="00791052" w:rsidRDefault="00791052" w:rsidP="00423D21">
      <w:pPr>
        <w:pStyle w:val="1---"/>
        <w:ind w:firstLine="480"/>
        <w:rPr>
          <w:b/>
          <w:lang w:eastAsia="zh-TW"/>
        </w:rPr>
      </w:pPr>
    </w:p>
    <w:p w:rsidR="00791052" w:rsidRDefault="00791052" w:rsidP="00423D21">
      <w:pPr>
        <w:pStyle w:val="1---"/>
        <w:ind w:firstLine="480"/>
        <w:rPr>
          <w:b/>
          <w:lang w:eastAsia="zh-TW"/>
        </w:rPr>
      </w:pPr>
    </w:p>
    <w:p w:rsidR="00791052" w:rsidRDefault="00791052" w:rsidP="00423D21">
      <w:pPr>
        <w:pStyle w:val="1---"/>
        <w:ind w:firstLine="480"/>
        <w:rPr>
          <w:b/>
          <w:lang w:eastAsia="zh-TW"/>
        </w:rPr>
      </w:pPr>
    </w:p>
    <w:tbl>
      <w:tblPr>
        <w:tblStyle w:val="aff5"/>
        <w:tblW w:w="0" w:type="auto"/>
        <w:tblInd w:w="113" w:type="dxa"/>
        <w:shd w:val="clear" w:color="auto" w:fill="D9D9D9" w:themeFill="background1" w:themeFillShade="D9"/>
        <w:tblLook w:val="04A0" w:firstRow="1" w:lastRow="0" w:firstColumn="1" w:lastColumn="0" w:noHBand="0" w:noVBand="1"/>
      </w:tblPr>
      <w:tblGrid>
        <w:gridCol w:w="3936"/>
      </w:tblGrid>
      <w:tr w:rsidR="0086083C" w:rsidTr="008323E0">
        <w:tc>
          <w:tcPr>
            <w:tcW w:w="3936" w:type="dxa"/>
            <w:shd w:val="clear" w:color="auto" w:fill="D9D9D9" w:themeFill="background1" w:themeFillShade="D9"/>
          </w:tcPr>
          <w:p w:rsidR="0086083C" w:rsidRDefault="0086083C" w:rsidP="008323E0">
            <w:pPr>
              <w:pStyle w:val="11-"/>
              <w:spacing w:before="72" w:after="108"/>
              <w:rPr>
                <w:b/>
                <w:lang w:eastAsia="zh-TW"/>
              </w:rPr>
            </w:pPr>
            <w:bookmarkStart w:id="692" w:name="_Toc535228435"/>
            <w:bookmarkStart w:id="693" w:name="_Toc4058847"/>
            <w:r>
              <w:lastRenderedPageBreak/>
              <w:t>動物保護</w:t>
            </w:r>
            <w:r w:rsidRPr="00AC77DF">
              <w:t>收容所管理違失案</w:t>
            </w:r>
            <w:bookmarkEnd w:id="692"/>
            <w:bookmarkEnd w:id="693"/>
          </w:p>
        </w:tc>
      </w:tr>
    </w:tbl>
    <w:p w:rsidR="003807A5" w:rsidRPr="00AC77DF" w:rsidRDefault="0086083C" w:rsidP="00DE66F8">
      <w:pPr>
        <w:pStyle w:val="afff1"/>
        <w:spacing w:before="360" w:after="360"/>
      </w:pPr>
      <w:r>
        <w:rPr>
          <w:rFonts w:hint="eastAsia"/>
        </w:rPr>
        <w:t>(一)</w:t>
      </w:r>
      <w:r w:rsidR="003807A5" w:rsidRPr="00AC77DF">
        <w:t>案情簡述</w:t>
      </w:r>
    </w:p>
    <w:p w:rsidR="003807A5" w:rsidRPr="00AC77DF" w:rsidRDefault="003807A5" w:rsidP="00423D21">
      <w:pPr>
        <w:pStyle w:val="1---"/>
        <w:ind w:firstLine="480"/>
        <w:rPr>
          <w:szCs w:val="24"/>
        </w:rPr>
      </w:pPr>
      <w:r w:rsidRPr="00AC77DF">
        <w:t>桃園市動物保護教育園區園長死諫有關</w:t>
      </w:r>
      <w:r w:rsidR="00866CAE">
        <w:t>動物保護</w:t>
      </w:r>
      <w:r w:rsidRPr="00AC77DF">
        <w:t>結構事件，突顯桃園市政府未正視公立收容所及流浪動物管理之問題源頭，以及該府對從事</w:t>
      </w:r>
      <w:r w:rsidR="00866CAE">
        <w:t>動物保護</w:t>
      </w:r>
      <w:r w:rsidRPr="00AC77DF">
        <w:t>業務基層人員之權益</w:t>
      </w:r>
      <w:r w:rsidR="00D306AB">
        <w:rPr>
          <w:rFonts w:hint="eastAsia"/>
        </w:rPr>
        <w:t>未予重視</w:t>
      </w:r>
      <w:r w:rsidRPr="00AC77DF">
        <w:t>。為深入瞭解，監察委員爰立案調查。</w:t>
      </w:r>
    </w:p>
    <w:p w:rsidR="003807A5" w:rsidRPr="00AC77DF" w:rsidRDefault="0086083C" w:rsidP="00DE66F8">
      <w:pPr>
        <w:pStyle w:val="afff1"/>
        <w:spacing w:before="360" w:after="360"/>
      </w:pPr>
      <w:r>
        <w:rPr>
          <w:rFonts w:hint="eastAsia"/>
        </w:rPr>
        <w:t>(二)</w:t>
      </w:r>
      <w:r w:rsidR="003807A5" w:rsidRPr="00AC77DF">
        <w:t>監察院調查發現與建議</w:t>
      </w:r>
    </w:p>
    <w:p w:rsidR="003807A5" w:rsidRPr="00AC77DF" w:rsidRDefault="000B4370" w:rsidP="00564517">
      <w:pPr>
        <w:pStyle w:val="1--13"/>
        <w:spacing w:before="180" w:after="180"/>
      </w:pPr>
      <w:r w:rsidRPr="008E1832">
        <w:rPr>
          <w:rFonts w:hint="eastAsia"/>
        </w:rPr>
        <w:t>˙</w:t>
      </w:r>
      <w:r w:rsidR="003807A5" w:rsidRPr="00AC77DF">
        <w:t>源頭管理未當</w:t>
      </w:r>
    </w:p>
    <w:p w:rsidR="003807A5" w:rsidRPr="00AC77DF" w:rsidRDefault="003807A5" w:rsidP="00423D21">
      <w:pPr>
        <w:pStyle w:val="1---"/>
        <w:ind w:firstLine="480"/>
        <w:rPr>
          <w:i/>
        </w:rPr>
      </w:pPr>
      <w:r w:rsidRPr="00AC77DF">
        <w:t>桃園市政府未重視流浪犬貓的源頭管制與減量，轄內流浪犬數量不減反增。流浪動物精準捕捉</w:t>
      </w:r>
      <w:r w:rsidRPr="00791052">
        <w:rPr>
          <w:spacing w:val="-12"/>
        </w:rPr>
        <w:t>於</w:t>
      </w:r>
      <w:r w:rsidRPr="00AC77DF">
        <w:t>10</w:t>
      </w:r>
      <w:r w:rsidRPr="00791052">
        <w:rPr>
          <w:spacing w:val="-12"/>
        </w:rPr>
        <w:t>4</w:t>
      </w:r>
      <w:r w:rsidRPr="00AC77DF">
        <w:t>年度實施，但收容所入園動物數量僅微幅減少，送認養數量趨近上限，該府收容所扮演流浪動物中途之家角色時，肇生收容所持續超量收容，致所內人員執行動物管理、醫療及人道處理等</w:t>
      </w:r>
      <w:r w:rsidR="00866CAE">
        <w:t>動物保護</w:t>
      </w:r>
      <w:r w:rsidRPr="00AC77DF">
        <w:t>業務時疲於奔命。</w:t>
      </w:r>
    </w:p>
    <w:p w:rsidR="003807A5" w:rsidRPr="00AC77DF" w:rsidRDefault="000B4370" w:rsidP="00564517">
      <w:pPr>
        <w:pStyle w:val="1--13"/>
        <w:spacing w:before="180" w:after="180"/>
      </w:pPr>
      <w:r w:rsidRPr="008E1832">
        <w:rPr>
          <w:rFonts w:hint="eastAsia"/>
        </w:rPr>
        <w:t>˙</w:t>
      </w:r>
      <w:r w:rsidR="003807A5" w:rsidRPr="00AC77DF">
        <w:t>人力負荷過大</w:t>
      </w:r>
    </w:p>
    <w:p w:rsidR="003807A5" w:rsidRPr="00AC77DF" w:rsidRDefault="003807A5" w:rsidP="00423D21">
      <w:pPr>
        <w:pStyle w:val="1---"/>
        <w:ind w:firstLine="480"/>
        <w:rPr>
          <w:b/>
          <w:i/>
        </w:rPr>
      </w:pPr>
      <w:r w:rsidRPr="00AC77DF">
        <w:t>桃園市政府輕忽所屬新屋收容所人力不足，相關人員均非主管，未領取主管加給，卻由基層及非主管人員長期面對外界所高度關注之</w:t>
      </w:r>
      <w:r w:rsidR="00866CAE">
        <w:t>動物保護</w:t>
      </w:r>
      <w:r w:rsidRPr="00AC77DF">
        <w:t>相關業務及期待，並因執行業務而遭受責難甚至背負罵名，所衍生之身心負荷，竟未能及時關切所屬</w:t>
      </w:r>
      <w:r w:rsidRPr="00AC77DF">
        <w:lastRenderedPageBreak/>
        <w:t>同仁異常情況、調整職務內容或提供必要的協助，因而肇生憾事。</w:t>
      </w:r>
    </w:p>
    <w:p w:rsidR="003807A5" w:rsidRPr="00AC77DF" w:rsidRDefault="003807A5" w:rsidP="00423D21">
      <w:pPr>
        <w:pStyle w:val="1---"/>
        <w:ind w:firstLine="480"/>
        <w:rPr>
          <w:lang w:eastAsia="zh-TW"/>
        </w:rPr>
      </w:pPr>
      <w:r w:rsidRPr="00AC77DF">
        <w:t>國內公立動物收容所人員因其執行業務涉及動物生命，而受外界高度檢視，所面臨身理與心理的雙重負荷，造成人員流動頻繁。農委會對於地方主管機關動物保護收容業務執行困境，應協同地方政府面對外部團體時，藉公私協力方式達成動物福利，並對相關人員提供必要的調適與輔導。</w:t>
      </w:r>
    </w:p>
    <w:p w:rsidR="003807A5" w:rsidRPr="00AC77DF" w:rsidRDefault="000B4370" w:rsidP="00564517">
      <w:pPr>
        <w:pStyle w:val="1--13"/>
        <w:spacing w:before="180" w:after="180"/>
      </w:pPr>
      <w:r w:rsidRPr="008E1832">
        <w:rPr>
          <w:rFonts w:hint="eastAsia"/>
        </w:rPr>
        <w:t>˙</w:t>
      </w:r>
      <w:r w:rsidR="003807A5" w:rsidRPr="00AC77DF">
        <w:t>民間狗場處置欠當</w:t>
      </w:r>
    </w:p>
    <w:p w:rsidR="003807A5" w:rsidRPr="00AC77DF" w:rsidRDefault="003807A5" w:rsidP="00423D21">
      <w:pPr>
        <w:pStyle w:val="1---"/>
        <w:ind w:firstLine="480"/>
        <w:rPr>
          <w:i/>
        </w:rPr>
      </w:pPr>
      <w:r w:rsidRPr="00AC77DF">
        <w:t>國內公立動物收容所將大量動物送往民間狗場，現行民間狗場多設置於農地，復因各式因素而未能申辦成為動物收容處所。農委會對此類民間狗場係認定為</w:t>
      </w:r>
      <w:r w:rsidR="00866CAE">
        <w:t>動物保護</w:t>
      </w:r>
      <w:r w:rsidRPr="00AC77DF">
        <w:t>法中之飼主，其相關法規政策規範與實務現況間容有落差，對動物福利或環境維護恐生不良影響，該會應予正視並研謀解決對策。</w:t>
      </w:r>
    </w:p>
    <w:p w:rsidR="008141CF" w:rsidRPr="00AC77DF" w:rsidRDefault="003807A5" w:rsidP="00423D21">
      <w:pPr>
        <w:pStyle w:val="1---"/>
        <w:ind w:firstLine="480"/>
      </w:pPr>
      <w:r w:rsidRPr="00AC77DF">
        <w:t>依據本案調查意見</w:t>
      </w:r>
      <w:r w:rsidRPr="00AC77DF">
        <w:rPr>
          <w:rStyle w:val="aff2"/>
        </w:rPr>
        <w:footnoteReference w:id="157"/>
      </w:r>
      <w:r w:rsidRPr="00AC77DF">
        <w:t>，</w:t>
      </w:r>
      <w:r w:rsidR="008141CF" w:rsidRPr="00AC77DF">
        <w:t>監察院糾正桃園市政府；另函請</w:t>
      </w:r>
      <w:r w:rsidR="00DB65AB" w:rsidRPr="00AC77DF">
        <w:t>農委會</w:t>
      </w:r>
      <w:r w:rsidR="008141CF" w:rsidRPr="00AC77DF">
        <w:t>確實檢討改進見復。</w:t>
      </w:r>
    </w:p>
    <w:p w:rsidR="008141CF" w:rsidRPr="00AC77DF" w:rsidRDefault="0086083C" w:rsidP="00DE66F8">
      <w:pPr>
        <w:pStyle w:val="afff1"/>
        <w:spacing w:before="360" w:after="360"/>
      </w:pPr>
      <w:r>
        <w:rPr>
          <w:rFonts w:hint="eastAsia"/>
        </w:rPr>
        <w:t>(三)</w:t>
      </w:r>
      <w:r w:rsidR="008141CF" w:rsidRPr="00AC77DF">
        <w:t>政府機關改善情形</w:t>
      </w:r>
    </w:p>
    <w:p w:rsidR="008141CF" w:rsidRPr="00AC77DF" w:rsidRDefault="008141CF" w:rsidP="00425EE5">
      <w:pPr>
        <w:pStyle w:val="1----"/>
        <w:ind w:left="600" w:hanging="360"/>
        <w:rPr>
          <w:b/>
          <w:i/>
        </w:rPr>
      </w:pPr>
      <w:r w:rsidRPr="00AC77DF">
        <w:t>1</w:t>
      </w:r>
      <w:r w:rsidRPr="00AC77DF">
        <w:t>、桃園市政府</w:t>
      </w:r>
      <w:r w:rsidRPr="00AC77DF">
        <w:t xml:space="preserve"> </w:t>
      </w:r>
    </w:p>
    <w:p w:rsidR="008141CF" w:rsidRPr="00AC77DF" w:rsidRDefault="008141CF" w:rsidP="00FC2B0F">
      <w:pPr>
        <w:pStyle w:val="1--1"/>
        <w:ind w:left="1080" w:hanging="600"/>
        <w:rPr>
          <w:b/>
          <w:i/>
        </w:rPr>
      </w:pPr>
      <w:r w:rsidRPr="00AC77DF">
        <w:t>（</w:t>
      </w:r>
      <w:r w:rsidRPr="00AC77DF">
        <w:t>1</w:t>
      </w:r>
      <w:r w:rsidRPr="00AC77DF">
        <w:t>）</w:t>
      </w:r>
      <w:r w:rsidRPr="00FC2B0F">
        <w:rPr>
          <w:spacing w:val="-4"/>
        </w:rPr>
        <w:t>犬貓絕育補助推廣</w:t>
      </w:r>
      <w:r w:rsidRPr="00FC2B0F">
        <w:rPr>
          <w:spacing w:val="-12"/>
        </w:rPr>
        <w:t>：</w:t>
      </w:r>
      <w:r w:rsidRPr="00FC2B0F">
        <w:rPr>
          <w:spacing w:val="-4"/>
        </w:rPr>
        <w:t>10</w:t>
      </w:r>
      <w:r w:rsidRPr="00FC2B0F">
        <w:rPr>
          <w:spacing w:val="-12"/>
        </w:rPr>
        <w:t>6</w:t>
      </w:r>
      <w:r w:rsidRPr="00FC2B0F">
        <w:rPr>
          <w:spacing w:val="-4"/>
        </w:rPr>
        <w:t>年度家犬貓絕育，目</w:t>
      </w:r>
      <w:r w:rsidRPr="00FC2B0F">
        <w:rPr>
          <w:spacing w:val="-12"/>
        </w:rPr>
        <w:t>標</w:t>
      </w:r>
      <w:r w:rsidRPr="00FC2B0F">
        <w:rPr>
          <w:spacing w:val="-4"/>
        </w:rPr>
        <w:t>5,500</w:t>
      </w:r>
      <w:r w:rsidRPr="00AC77DF">
        <w:t>隻</w:t>
      </w:r>
      <w:r w:rsidR="00AC77DF" w:rsidRPr="00AC77DF">
        <w:t>（</w:t>
      </w:r>
      <w:r w:rsidRPr="00AC77DF">
        <w:t>含園區認養成犬貓絕育</w:t>
      </w:r>
      <w:r w:rsidR="00AC77DF" w:rsidRPr="00AC77DF">
        <w:t>）</w:t>
      </w:r>
      <w:r w:rsidRPr="00AC77DF">
        <w:t>完成</w:t>
      </w:r>
      <w:r w:rsidRPr="00AC77DF">
        <w:t>5,058</w:t>
      </w:r>
      <w:r w:rsidRPr="00AC77DF">
        <w:t>隻；另該年度無飼主「貓」絕育，目標</w:t>
      </w:r>
      <w:r w:rsidRPr="00AC77DF">
        <w:t>1,500</w:t>
      </w:r>
      <w:r w:rsidRPr="00AC77DF">
        <w:t>隻，完成</w:t>
      </w:r>
      <w:r w:rsidRPr="00AC77DF">
        <w:t>2,231</w:t>
      </w:r>
      <w:r w:rsidRPr="00AC77DF">
        <w:t>隻</w:t>
      </w:r>
      <w:r w:rsidRPr="00AC77DF">
        <w:lastRenderedPageBreak/>
        <w:t>；又該年首次試辦無飼主「犬」絕育，目標</w:t>
      </w:r>
      <w:r w:rsidRPr="00AC77DF">
        <w:t>1,000</w:t>
      </w:r>
      <w:r w:rsidRPr="00AC77DF">
        <w:t>隻，自</w:t>
      </w:r>
      <w:r w:rsidRPr="00AC77DF">
        <w:t>106</w:t>
      </w:r>
      <w:r w:rsidRPr="00AC77DF">
        <w:t>年</w:t>
      </w:r>
      <w:r w:rsidRPr="00AC77DF">
        <w:t>6</w:t>
      </w:r>
      <w:r w:rsidRPr="00AC77DF">
        <w:t>月</w:t>
      </w:r>
      <w:r w:rsidRPr="00AC77DF">
        <w:t>1</w:t>
      </w:r>
      <w:r w:rsidRPr="00AC77DF">
        <w:t>日至</w:t>
      </w:r>
      <w:r w:rsidRPr="00AC77DF">
        <w:t>12</w:t>
      </w:r>
      <w:r w:rsidRPr="00AC77DF">
        <w:t>月</w:t>
      </w:r>
      <w:r w:rsidRPr="00AC77DF">
        <w:t>30</w:t>
      </w:r>
      <w:r w:rsidRPr="00AC77DF">
        <w:t>日止計完成</w:t>
      </w:r>
      <w:r w:rsidRPr="00AC77DF">
        <w:t>244</w:t>
      </w:r>
      <w:r w:rsidRPr="00AC77DF">
        <w:t>隻；再偏鄉犬貓三合一絕育目標</w:t>
      </w:r>
      <w:r w:rsidRPr="00AC77DF">
        <w:t>500</w:t>
      </w:r>
      <w:r w:rsidRPr="00AC77DF">
        <w:t>隻，同年</w:t>
      </w:r>
      <w:r w:rsidRPr="00AC77DF">
        <w:t>8</w:t>
      </w:r>
      <w:r w:rsidRPr="00AC77DF">
        <w:t>月</w:t>
      </w:r>
      <w:r w:rsidRPr="00AC77DF">
        <w:t>5</w:t>
      </w:r>
      <w:r w:rsidRPr="00AC77DF">
        <w:t>日至</w:t>
      </w:r>
      <w:r w:rsidRPr="00AC77DF">
        <w:t>12</w:t>
      </w:r>
      <w:r w:rsidRPr="00AC77DF">
        <w:t>月</w:t>
      </w:r>
      <w:r w:rsidRPr="00AC77DF">
        <w:t>30</w:t>
      </w:r>
      <w:r w:rsidRPr="00AC77DF">
        <w:t>日止完成</w:t>
      </w:r>
      <w:r w:rsidRPr="00AC77DF">
        <w:t>265</w:t>
      </w:r>
      <w:r w:rsidR="006B4B2A">
        <w:rPr>
          <w:rFonts w:hint="eastAsia"/>
        </w:rPr>
        <w:t>隻</w:t>
      </w:r>
      <w:r w:rsidRPr="00AC77DF">
        <w:t>。</w:t>
      </w:r>
    </w:p>
    <w:p w:rsidR="008141CF" w:rsidRPr="00AC77DF" w:rsidRDefault="008141CF" w:rsidP="008323E0">
      <w:pPr>
        <w:pStyle w:val="1--1"/>
        <w:ind w:left="1080" w:hanging="600"/>
        <w:rPr>
          <w:b/>
          <w:i/>
        </w:rPr>
      </w:pPr>
      <w:r w:rsidRPr="00AC77DF">
        <w:t>（</w:t>
      </w:r>
      <w:r w:rsidRPr="00AC77DF">
        <w:t>2</w:t>
      </w:r>
      <w:r w:rsidRPr="00AC77DF">
        <w:t>）</w:t>
      </w:r>
      <w:r w:rsidR="00826C7B" w:rsidRPr="00AC77DF">
        <w:t>辦理</w:t>
      </w:r>
      <w:r w:rsidRPr="00AC77DF">
        <w:t>飼主責任法令宣導教育訓練：</w:t>
      </w:r>
      <w:r w:rsidR="00826C7B" w:rsidRPr="00AC77DF">
        <w:t>包括</w:t>
      </w:r>
      <w:r w:rsidRPr="00AC77DF">
        <w:t>特定寵物業</w:t>
      </w:r>
      <w:r w:rsidR="00826C7B" w:rsidRPr="00AC77DF">
        <w:t>、</w:t>
      </w:r>
      <w:r w:rsidRPr="00AC77DF">
        <w:t>國小、國高中及大學宣導、警政動物保護法協助執法教育宣導、郊區市民小型宣導會</w:t>
      </w:r>
      <w:r w:rsidR="00826C7B" w:rsidRPr="00AC77DF">
        <w:t>及</w:t>
      </w:r>
      <w:r w:rsidRPr="00AC77DF">
        <w:t>全市各里長宣導與訓練、結合社會企業與動物保護團體及義務動物保護人員訓練</w:t>
      </w:r>
      <w:r w:rsidR="00826C7B" w:rsidRPr="00AC77DF">
        <w:t>；</w:t>
      </w:r>
      <w:r w:rsidRPr="00AC77DF">
        <w:t>另桃樂動物友善城市專案計畫已召募志工</w:t>
      </w:r>
      <w:r w:rsidRPr="00AC77DF">
        <w:t>1,201</w:t>
      </w:r>
      <w:r w:rsidRPr="00AC77DF">
        <w:t>人。</w:t>
      </w:r>
    </w:p>
    <w:p w:rsidR="008141CF" w:rsidRPr="00AC77DF" w:rsidRDefault="008141CF" w:rsidP="008323E0">
      <w:pPr>
        <w:pStyle w:val="1--1"/>
        <w:ind w:left="1080" w:hanging="600"/>
        <w:rPr>
          <w:b/>
          <w:i/>
        </w:rPr>
      </w:pPr>
      <w:r w:rsidRPr="00AC77DF">
        <w:t>（</w:t>
      </w:r>
      <w:r w:rsidRPr="00AC77DF">
        <w:t>3</w:t>
      </w:r>
      <w:r w:rsidRPr="00AC77DF">
        <w:t>）繁殖買賣業者的管理：加強未經許可私自經營寵物繁殖、買賣及寄養業者稽查，</w:t>
      </w:r>
      <w:r w:rsidRPr="00AC77DF">
        <w:t>106</w:t>
      </w:r>
      <w:r w:rsidRPr="00AC77DF">
        <w:t>年</w:t>
      </w:r>
      <w:r w:rsidRPr="00AC77DF">
        <w:t>1</w:t>
      </w:r>
      <w:r w:rsidRPr="00AC77DF">
        <w:t>月</w:t>
      </w:r>
      <w:r w:rsidRPr="00AC77DF">
        <w:t>1</w:t>
      </w:r>
      <w:r w:rsidRPr="00AC77DF">
        <w:t>日至</w:t>
      </w:r>
      <w:r w:rsidRPr="00AC77DF">
        <w:t>12</w:t>
      </w:r>
      <w:r w:rsidRPr="00AC77DF">
        <w:t>月</w:t>
      </w:r>
      <w:r w:rsidRPr="00AC77DF">
        <w:t>30</w:t>
      </w:r>
      <w:r w:rsidRPr="00AC77DF">
        <w:t>日止辦理</w:t>
      </w:r>
      <w:r w:rsidRPr="00AC77DF">
        <w:t>83</w:t>
      </w:r>
      <w:r w:rsidRPr="00AC77DF">
        <w:t>件，裁處</w:t>
      </w:r>
      <w:r w:rsidRPr="00AC77DF">
        <w:t>19</w:t>
      </w:r>
      <w:r w:rsidRPr="00AC77DF">
        <w:t>件。</w:t>
      </w:r>
      <w:r w:rsidR="00826C7B" w:rsidRPr="00AC77DF">
        <w:t>另執行</w:t>
      </w:r>
      <w:r w:rsidRPr="00AC77DF">
        <w:t>寵物業者稽查</w:t>
      </w:r>
      <w:r w:rsidR="00826C7B" w:rsidRPr="00AC77DF">
        <w:t>，</w:t>
      </w:r>
      <w:r w:rsidRPr="00AC77DF">
        <w:t>完成主動稽查</w:t>
      </w:r>
      <w:r w:rsidRPr="00AC77DF">
        <w:t>337</w:t>
      </w:r>
      <w:r w:rsidRPr="00AC77DF">
        <w:t>件及申訴檢舉案</w:t>
      </w:r>
      <w:r w:rsidRPr="00AC77DF">
        <w:t>2</w:t>
      </w:r>
      <w:r w:rsidRPr="00AC77DF">
        <w:t>件，經查業者飼養管理狀況均符規定。寵物飼主稽查：辦理申訴檢舉件數</w:t>
      </w:r>
      <w:r w:rsidRPr="00AC77DF">
        <w:t>84</w:t>
      </w:r>
      <w:r w:rsidRPr="00AC77DF">
        <w:t>件、主動稽查件數</w:t>
      </w:r>
      <w:r w:rsidRPr="00AC77DF">
        <w:t>80</w:t>
      </w:r>
      <w:r w:rsidRPr="00AC77DF">
        <w:t>件，免絕育申報件數</w:t>
      </w:r>
      <w:r w:rsidRPr="00AC77DF">
        <w:t>124</w:t>
      </w:r>
      <w:r w:rsidRPr="00AC77DF">
        <w:t>件、繁殖申報件數</w:t>
      </w:r>
      <w:r w:rsidRPr="00AC77DF">
        <w:t>202</w:t>
      </w:r>
      <w:r w:rsidRPr="00AC77DF">
        <w:t>件、限期改善</w:t>
      </w:r>
      <w:r w:rsidRPr="00AC77DF">
        <w:t>17</w:t>
      </w:r>
      <w:r w:rsidRPr="00AC77DF">
        <w:t>件，針對未申報免絕育及繁殖者裁處共</w:t>
      </w:r>
      <w:r w:rsidRPr="00AC77DF">
        <w:t>7</w:t>
      </w:r>
      <w:r w:rsidRPr="00AC77DF">
        <w:t>件。</w:t>
      </w:r>
    </w:p>
    <w:p w:rsidR="008141CF" w:rsidRPr="00AC77DF" w:rsidRDefault="00826C7B" w:rsidP="008323E0">
      <w:pPr>
        <w:pStyle w:val="1--1"/>
        <w:ind w:left="1080" w:hanging="600"/>
        <w:rPr>
          <w:b/>
          <w:bCs/>
          <w:i/>
        </w:rPr>
      </w:pPr>
      <w:r w:rsidRPr="00AC77DF">
        <w:t>（</w:t>
      </w:r>
      <w:r w:rsidRPr="00AC77DF">
        <w:t>4</w:t>
      </w:r>
      <w:r w:rsidRPr="00AC77DF">
        <w:t>）</w:t>
      </w:r>
      <w:r w:rsidR="008141CF" w:rsidRPr="00AC77DF">
        <w:t>桃園市政府已於</w:t>
      </w:r>
      <w:r w:rsidR="008141CF" w:rsidRPr="00AC77DF">
        <w:t>106</w:t>
      </w:r>
      <w:r w:rsidR="008141CF" w:rsidRPr="00AC77DF">
        <w:t>年</w:t>
      </w:r>
      <w:r w:rsidR="008141CF" w:rsidRPr="00AC77DF">
        <w:t>5</w:t>
      </w:r>
      <w:r w:rsidR="008141CF" w:rsidRPr="00AC77DF">
        <w:t>月</w:t>
      </w:r>
      <w:r w:rsidR="008141CF" w:rsidRPr="00AC77DF">
        <w:t>25</w:t>
      </w:r>
      <w:r w:rsidR="008141CF" w:rsidRPr="00AC77DF">
        <w:t>修正「桃園市政府動物保護處組織規程</w:t>
      </w:r>
      <w:r w:rsidR="008141CF" w:rsidRPr="00D54AFE">
        <w:rPr>
          <w:spacing w:val="-28"/>
        </w:rPr>
        <w:t>」</w:t>
      </w:r>
      <w:r w:rsidR="008141CF" w:rsidRPr="00AC77DF">
        <w:t>，增置兼任主管「主任」一職，綜理市府動物保護教育園區動物收容業務。</w:t>
      </w:r>
    </w:p>
    <w:p w:rsidR="00826C7B" w:rsidRPr="00AC77DF" w:rsidRDefault="00826C7B" w:rsidP="00425EE5">
      <w:pPr>
        <w:pStyle w:val="1----"/>
        <w:ind w:left="600" w:hanging="360"/>
      </w:pPr>
      <w:r w:rsidRPr="00AC77DF">
        <w:t>2</w:t>
      </w:r>
      <w:r w:rsidRPr="00AC77DF">
        <w:t>、</w:t>
      </w:r>
      <w:r w:rsidR="008141CF" w:rsidRPr="00AC77DF">
        <w:t>農委會</w:t>
      </w:r>
    </w:p>
    <w:p w:rsidR="008141CF" w:rsidRPr="00AC77DF" w:rsidRDefault="00826C7B" w:rsidP="00FC2B0F">
      <w:pPr>
        <w:pStyle w:val="1--1"/>
        <w:ind w:left="1080" w:hanging="600"/>
        <w:rPr>
          <w:b/>
          <w:i/>
        </w:rPr>
      </w:pPr>
      <w:r w:rsidRPr="00AC77DF">
        <w:t>（</w:t>
      </w:r>
      <w:r w:rsidRPr="00AC77DF">
        <w:t>1</w:t>
      </w:r>
      <w:r w:rsidRPr="00AC77DF">
        <w:t>）</w:t>
      </w:r>
      <w:r w:rsidR="008141CF" w:rsidRPr="00AC77DF">
        <w:t>辦理「</w:t>
      </w:r>
      <w:r w:rsidR="00866CAE">
        <w:t>動物保護</w:t>
      </w:r>
      <w:r w:rsidR="008141CF" w:rsidRPr="00AC77DF">
        <w:t>專業人資盤點與提</w:t>
      </w:r>
      <w:r w:rsidR="00683FC7">
        <w:rPr>
          <w:rFonts w:hint="eastAsia"/>
        </w:rPr>
        <w:t>升</w:t>
      </w:r>
      <w:r w:rsidR="008141CF" w:rsidRPr="00AC77DF">
        <w:t>福利之可行方案</w:t>
      </w:r>
      <w:r w:rsidR="008141CF" w:rsidRPr="00FC2B0F">
        <w:rPr>
          <w:spacing w:val="-2"/>
        </w:rPr>
        <w:t>研究</w:t>
      </w:r>
      <w:r w:rsidR="008141CF" w:rsidRPr="00FC2B0F">
        <w:rPr>
          <w:spacing w:val="-30"/>
        </w:rPr>
        <w:t>」</w:t>
      </w:r>
      <w:r w:rsidR="008141CF" w:rsidRPr="00FC2B0F">
        <w:rPr>
          <w:spacing w:val="-2"/>
        </w:rPr>
        <w:t>，其結論包括：</w:t>
      </w:r>
      <w:r w:rsidR="008141CF" w:rsidRPr="00FC2B0F">
        <w:rPr>
          <w:spacing w:val="-2"/>
        </w:rPr>
        <w:t>&lt;1&gt;</w:t>
      </w:r>
      <w:r w:rsidR="008141CF" w:rsidRPr="00FC2B0F">
        <w:rPr>
          <w:spacing w:val="-2"/>
        </w:rPr>
        <w:t>現行第一線</w:t>
      </w:r>
      <w:r w:rsidR="00866CAE" w:rsidRPr="00FC2B0F">
        <w:rPr>
          <w:spacing w:val="-2"/>
        </w:rPr>
        <w:t>動物保護</w:t>
      </w:r>
      <w:r w:rsidR="008141CF" w:rsidRPr="00FC2B0F">
        <w:rPr>
          <w:spacing w:val="-2"/>
        </w:rPr>
        <w:t>公務人</w:t>
      </w:r>
      <w:r w:rsidR="008141CF" w:rsidRPr="00AC77DF">
        <w:t>員多為獸醫師，需另針對其執法專業上提供更完善充</w:t>
      </w:r>
      <w:r w:rsidR="008141CF" w:rsidRPr="00AC77DF">
        <w:lastRenderedPageBreak/>
        <w:t>分培訓，強化人員專業，降低工作挫折感。</w:t>
      </w:r>
      <w:r w:rsidR="008141CF" w:rsidRPr="00AC77DF">
        <w:t>&lt;2&gt;</w:t>
      </w:r>
      <w:r w:rsidR="008141CF" w:rsidRPr="00AC77DF">
        <w:t>以「</w:t>
      </w:r>
      <w:r w:rsidR="008141CF" w:rsidRPr="00AC77DF">
        <w:t>l04-107</w:t>
      </w:r>
      <w:r w:rsidR="008141CF" w:rsidRPr="00AC77DF">
        <w:t>年加強動物保護行政效能計畫」項下補助地方</w:t>
      </w:r>
      <w:r w:rsidR="00866CAE">
        <w:t>動物保護</w:t>
      </w:r>
      <w:r w:rsidR="008141CF" w:rsidRPr="00AC77DF">
        <w:t>不足人力。</w:t>
      </w:r>
      <w:r w:rsidR="008141CF" w:rsidRPr="00AC77DF">
        <w:t>&lt;3&gt;</w:t>
      </w:r>
      <w:r w:rsidR="008141CF" w:rsidRPr="00AC77DF">
        <w:t>建立適當心理諮商機制。</w:t>
      </w:r>
    </w:p>
    <w:p w:rsidR="008141CF" w:rsidRPr="00AC77DF" w:rsidRDefault="008141CF" w:rsidP="008323E0">
      <w:pPr>
        <w:pStyle w:val="1--1"/>
        <w:ind w:left="1080" w:hanging="600"/>
        <w:rPr>
          <w:b/>
          <w:i/>
        </w:rPr>
      </w:pPr>
      <w:r w:rsidRPr="00AC77DF">
        <w:t>（</w:t>
      </w:r>
      <w:r w:rsidRPr="00AC77DF">
        <w:t>2</w:t>
      </w:r>
      <w:r w:rsidRPr="00AC77DF">
        <w:t>）農委會辦理「建立動物保護公務人力新理諮商及協助支持機制計畫</w:t>
      </w:r>
      <w:r w:rsidRPr="00D54AFE">
        <w:rPr>
          <w:spacing w:val="-28"/>
        </w:rPr>
        <w:t>」</w:t>
      </w:r>
      <w:r w:rsidRPr="00AC77DF">
        <w:t>，辦理「身心照顧支持工作坊」</w:t>
      </w:r>
      <w:r w:rsidRPr="00AC77DF">
        <w:t>4</w:t>
      </w:r>
      <w:r w:rsidRPr="00AC77DF">
        <w:t>場次，獲致結論如下：</w:t>
      </w:r>
      <w:r w:rsidRPr="00AC77DF">
        <w:t>&lt;1&gt;</w:t>
      </w:r>
      <w:r w:rsidRPr="00AC77DF">
        <w:t>數據顯示，同情疲勞的解決方案，毋須對</w:t>
      </w:r>
      <w:r w:rsidR="00866CAE">
        <w:t>動物保護</w:t>
      </w:r>
      <w:r w:rsidRPr="00AC77DF">
        <w:t>人員全面且大量投入資源，反而必須要能夠找到標的者。</w:t>
      </w:r>
      <w:r w:rsidRPr="00AC77DF">
        <w:t>&lt;2&gt;</w:t>
      </w:r>
      <w:r w:rsidRPr="00AC77DF">
        <w:t>組織管理層面，發現人員面臨同情疲勞困境時，</w:t>
      </w:r>
      <w:r w:rsidR="00683FC7">
        <w:rPr>
          <w:rFonts w:hint="eastAsia"/>
        </w:rPr>
        <w:t>建議</w:t>
      </w:r>
      <w:r w:rsidRPr="00AC77DF">
        <w:t>主管單位</w:t>
      </w:r>
      <w:r w:rsidR="00683FC7">
        <w:rPr>
          <w:rFonts w:hint="eastAsia"/>
        </w:rPr>
        <w:t>得</w:t>
      </w:r>
      <w:r w:rsidRPr="00AC77DF">
        <w:t>採行</w:t>
      </w:r>
      <w:r w:rsidR="00683FC7">
        <w:t>：</w:t>
      </w:r>
      <w:r w:rsidRPr="00AC77DF">
        <w:t>工作輪調、減輕工作量負擔、平日與人員有更頻繁之互動、提供人員更多行政資源等</w:t>
      </w:r>
      <w:r w:rsidR="00683FC7">
        <w:rPr>
          <w:rFonts w:hint="eastAsia"/>
        </w:rPr>
        <w:t>作為</w:t>
      </w:r>
      <w:r w:rsidRPr="00AC77DF">
        <w:t>。</w:t>
      </w:r>
    </w:p>
    <w:p w:rsidR="008141CF" w:rsidRPr="00AC77DF" w:rsidRDefault="008141CF" w:rsidP="008323E0">
      <w:pPr>
        <w:pStyle w:val="1--1"/>
        <w:ind w:left="1080" w:hanging="600"/>
        <w:rPr>
          <w:b/>
          <w:i/>
        </w:rPr>
      </w:pPr>
      <w:r w:rsidRPr="00AC77DF">
        <w:t>（</w:t>
      </w:r>
      <w:r w:rsidR="00826C7B" w:rsidRPr="00AC77DF">
        <w:t>3</w:t>
      </w:r>
      <w:r w:rsidRPr="00AC77DF">
        <w:t>）農委會已就私人或民間組織飼養大量動物行為，蒐集國際相關法規制度，委託工研院完成民間狗場管理制度研究。</w:t>
      </w:r>
    </w:p>
    <w:p w:rsidR="008141CF" w:rsidRPr="00AC77DF" w:rsidRDefault="008141CF" w:rsidP="008323E0">
      <w:pPr>
        <w:pStyle w:val="1--1"/>
        <w:ind w:left="1080" w:hanging="600"/>
        <w:rPr>
          <w:b/>
          <w:i/>
        </w:rPr>
      </w:pPr>
      <w:r w:rsidRPr="00AC77DF">
        <w:t>（</w:t>
      </w:r>
      <w:r w:rsidR="00826C7B" w:rsidRPr="00AC77DF">
        <w:t>4</w:t>
      </w:r>
      <w:r w:rsidRPr="00AC77DF">
        <w:t>）農委會督導各直轄市、縣</w:t>
      </w:r>
      <w:r w:rsidR="00AC77DF" w:rsidRPr="00AC77DF">
        <w:t>（</w:t>
      </w:r>
      <w:r w:rsidRPr="00AC77DF">
        <w:t>市</w:t>
      </w:r>
      <w:r w:rsidR="00AC77DF" w:rsidRPr="00AC77DF">
        <w:t>）</w:t>
      </w:r>
      <w:r w:rsidRPr="00AC77DF">
        <w:t>政府建立所轄民間狗場清冊，要求每半年應訪查所轄民間狗場</w:t>
      </w:r>
      <w:r w:rsidR="00683FC7">
        <w:t>1</w:t>
      </w:r>
      <w:r w:rsidRPr="00AC77DF">
        <w:t>次以上，以掌控動物飼養狀況，維護其生活品質。另於</w:t>
      </w:r>
      <w:r w:rsidRPr="00AC77DF">
        <w:t xml:space="preserve">105 </w:t>
      </w:r>
      <w:r w:rsidRPr="00AC77DF">
        <w:t>年</w:t>
      </w:r>
      <w:r w:rsidRPr="00AC77DF">
        <w:t>10</w:t>
      </w:r>
      <w:r w:rsidRPr="00AC77DF">
        <w:t>月督導地方政府，調查所轄民間狗場之土地與建物使用狀態、對所在區域民眾影響程度及接受政府輔導意願等，作為考量民間狗場條件及該會預算資源等逐步推動分級輔導機制。</w:t>
      </w:r>
      <w:r w:rsidR="00826C7B" w:rsidRPr="00AC77DF">
        <w:t>另</w:t>
      </w:r>
      <w:r w:rsidRPr="00AC77DF">
        <w:t>督導各直轄市、縣</w:t>
      </w:r>
      <w:r w:rsidR="00AC77DF" w:rsidRPr="00AC77DF">
        <w:t>（</w:t>
      </w:r>
      <w:r w:rsidRPr="00AC77DF">
        <w:t>市</w:t>
      </w:r>
      <w:r w:rsidR="00AC77DF" w:rsidRPr="00AC77DF">
        <w:t>）</w:t>
      </w:r>
      <w:r w:rsidRPr="00AC77DF">
        <w:t>政府建立所轄民間狗場清冊並不定期抽訪，了解其動物飼養狀況，以維護動物生活品質，並有</w:t>
      </w:r>
      <w:r w:rsidRPr="00AC77DF">
        <w:t>106</w:t>
      </w:r>
      <w:r w:rsidRPr="00AC77DF">
        <w:t>年各縣市辦理所轄民間狗場訪查清冊可稽</w:t>
      </w:r>
      <w:r w:rsidR="00C773F0">
        <w:t>。</w:t>
      </w:r>
      <w:r w:rsidRPr="00AC77DF">
        <w:t>國內民間狗場計有</w:t>
      </w:r>
      <w:r w:rsidRPr="00AC77DF">
        <w:t>114</w:t>
      </w:r>
      <w:r w:rsidRPr="00AC77DF">
        <w:t>場，在養犬隻合計達</w:t>
      </w:r>
      <w:r w:rsidRPr="00AC77DF">
        <w:t>26,228</w:t>
      </w:r>
      <w:r w:rsidRPr="00AC77DF">
        <w:t>隻。</w:t>
      </w:r>
    </w:p>
    <w:p w:rsidR="008141CF" w:rsidRPr="00AC77DF" w:rsidRDefault="0086083C" w:rsidP="00DE66F8">
      <w:pPr>
        <w:pStyle w:val="afff1"/>
        <w:spacing w:before="360" w:after="360"/>
      </w:pPr>
      <w:r>
        <w:rPr>
          <w:rFonts w:hint="eastAsia"/>
        </w:rPr>
        <w:lastRenderedPageBreak/>
        <w:t>(四)</w:t>
      </w:r>
      <w:r w:rsidR="008141CF" w:rsidRPr="00AC77DF">
        <w:t>案件進展</w:t>
      </w:r>
    </w:p>
    <w:p w:rsidR="008141CF" w:rsidRPr="00AC77DF" w:rsidRDefault="008141CF" w:rsidP="00423D21">
      <w:pPr>
        <w:pStyle w:val="1---"/>
        <w:ind w:firstLine="480"/>
        <w:rPr>
          <w:szCs w:val="24"/>
        </w:rPr>
      </w:pPr>
      <w:r w:rsidRPr="00AC77DF">
        <w:t>本案</w:t>
      </w:r>
      <w:r w:rsidR="005B626A">
        <w:rPr>
          <w:rFonts w:hint="eastAsia"/>
        </w:rPr>
        <w:t>已結案</w:t>
      </w:r>
      <w:r w:rsidRPr="00AC77DF">
        <w:rPr>
          <w:szCs w:val="24"/>
        </w:rPr>
        <w:t>。</w:t>
      </w:r>
    </w:p>
    <w:p w:rsidR="00C654DF" w:rsidRPr="00AC77DF" w:rsidRDefault="0086083C" w:rsidP="0086083C">
      <w:pPr>
        <w:pStyle w:val="1--16"/>
        <w:spacing w:before="180" w:after="180"/>
      </w:pPr>
      <w:bookmarkStart w:id="694" w:name="_Toc535228436"/>
      <w:bookmarkStart w:id="695" w:name="_Toc4058848"/>
      <w:r>
        <w:rPr>
          <w:rFonts w:hint="eastAsia"/>
        </w:rPr>
        <w:t>◆</w:t>
      </w:r>
      <w:r w:rsidR="00C654DF" w:rsidRPr="00AC77DF">
        <w:t>評析</w:t>
      </w:r>
      <w:bookmarkEnd w:id="694"/>
      <w:bookmarkEnd w:id="695"/>
    </w:p>
    <w:p w:rsidR="00D16C0D" w:rsidRPr="00AC77DF" w:rsidRDefault="007546A7" w:rsidP="00423D21">
      <w:pPr>
        <w:pStyle w:val="1---"/>
        <w:ind w:firstLine="480"/>
        <w:rPr>
          <w:lang w:eastAsia="zh-TW"/>
        </w:rPr>
      </w:pPr>
      <w:r w:rsidRPr="00AC77DF">
        <w:t>隨著環境的改變及人類生活日趨複雜，人權之發展也更多元。本章摘錄其他與當代人權相關之議題，包括學術倫理</w:t>
      </w:r>
      <w:r w:rsidR="00E86AA1" w:rsidRPr="00AC77DF">
        <w:t>與著作正義案</w:t>
      </w:r>
      <w:r w:rsidRPr="00AC77DF">
        <w:t>、國家安全與反恐</w:t>
      </w:r>
      <w:r w:rsidR="00E86AA1" w:rsidRPr="00AC77DF">
        <w:t>及</w:t>
      </w:r>
      <w:r w:rsidRPr="00AC77DF">
        <w:t>動物保護等案件。</w:t>
      </w:r>
    </w:p>
    <w:p w:rsidR="00E86AA1" w:rsidRPr="00FC2B0F" w:rsidRDefault="00466AF2" w:rsidP="00FC2B0F">
      <w:pPr>
        <w:pStyle w:val="1---"/>
        <w:ind w:firstLine="480"/>
      </w:pPr>
      <w:r w:rsidRPr="00AC77DF">
        <w:t>本章摘錄國立大學教授論文涉造假與研究計畫涉抄襲</w:t>
      </w:r>
      <w:r w:rsidRPr="00AC77DF">
        <w:t>2</w:t>
      </w:r>
      <w:r w:rsidRPr="00AC77DF">
        <w:t>案，均屬已在大學任教之學者，不惜以掛名或抄襲等方式，</w:t>
      </w:r>
      <w:r w:rsidR="003B11C2">
        <w:rPr>
          <w:rFonts w:hint="eastAsia"/>
        </w:rPr>
        <w:t>來發表</w:t>
      </w:r>
      <w:r w:rsidRPr="00AC77DF">
        <w:t>學術或研究文章</w:t>
      </w:r>
      <w:r w:rsidR="00EA7A54" w:rsidRPr="00AC77DF">
        <w:t>。此情況由來已久，不僅涉有侵犯他人著作情事，且屬不公平之發表行為，應予正視並立即遏止，提振優質學術風氣。</w:t>
      </w:r>
    </w:p>
    <w:p w:rsidR="00EA7A54" w:rsidRPr="00AC77DF" w:rsidRDefault="00EA7A54" w:rsidP="00FC2B0F">
      <w:pPr>
        <w:pStyle w:val="1---"/>
        <w:ind w:firstLine="480"/>
        <w:rPr>
          <w:lang w:eastAsia="zh-TW"/>
        </w:rPr>
      </w:pPr>
      <w:r w:rsidRPr="00AC77DF">
        <w:t>監察院另針對我國反恐及國境安全進行研究，調查發現我國在反恐法規與制度建立上，尚有提升空間，相關調查報告亦送請行政院參處。</w:t>
      </w:r>
      <w:r w:rsidR="003B11C2">
        <w:rPr>
          <w:rFonts w:hint="eastAsia"/>
        </w:rPr>
        <w:t>在</w:t>
      </w:r>
      <w:r w:rsidRPr="00AC77DF">
        <w:t>動物保護方面，本章摘錄遊蕩犬貓處置及</w:t>
      </w:r>
      <w:r w:rsidR="00866CAE">
        <w:t>動物保護</w:t>
      </w:r>
      <w:r w:rsidRPr="00AC77DF">
        <w:t>收容所管理</w:t>
      </w:r>
      <w:r w:rsidRPr="00AC77DF">
        <w:t>2</w:t>
      </w:r>
      <w:r w:rsidRPr="00AC77DF">
        <w:t>案。該等案件經監察院調查後，主管機關已採行相關改善措施，強化動物保護作為。</w:t>
      </w:r>
    </w:p>
    <w:p w:rsidR="007546A7" w:rsidRPr="00AC77DF" w:rsidRDefault="007546A7" w:rsidP="00274413">
      <w:pPr>
        <w:pStyle w:val="1---"/>
        <w:spacing w:after="180"/>
        <w:ind w:firstLine="480"/>
        <w:rPr>
          <w:lang w:eastAsia="zh-TW"/>
        </w:rPr>
      </w:pPr>
    </w:p>
    <w:p w:rsidR="0000751B" w:rsidRDefault="0000751B">
      <w:pPr>
        <w:widowControl/>
        <w:snapToGrid/>
        <w:sectPr w:rsidR="0000751B" w:rsidSect="000315BA">
          <w:headerReference w:type="default" r:id="rId31"/>
          <w:pgSz w:w="8392" w:h="11907" w:code="11"/>
          <w:pgMar w:top="1701" w:right="794" w:bottom="1134" w:left="964" w:header="624" w:footer="397" w:gutter="0"/>
          <w:cols w:space="425"/>
          <w:docGrid w:type="lines" w:linePitch="360" w:charSpace="4127"/>
        </w:sectPr>
      </w:pPr>
    </w:p>
    <w:p w:rsidR="00D055FC" w:rsidRPr="00AC77DF" w:rsidRDefault="00D055FC" w:rsidP="00E24CA6">
      <w:pPr>
        <w:pStyle w:val="1--"/>
        <w:spacing w:after="180"/>
      </w:pPr>
      <w:bookmarkStart w:id="696" w:name="_Toc535228437"/>
      <w:bookmarkStart w:id="697" w:name="_Toc4058849"/>
      <w:r w:rsidRPr="00AC77DF">
        <w:lastRenderedPageBreak/>
        <w:t>結語</w:t>
      </w:r>
      <w:bookmarkEnd w:id="696"/>
      <w:bookmarkEnd w:id="697"/>
    </w:p>
    <w:p w:rsidR="00801E38" w:rsidRPr="0011394E" w:rsidRDefault="00801E38" w:rsidP="00CA0C5C">
      <w:pPr>
        <w:pStyle w:val="1---"/>
        <w:spacing w:line="400" w:lineRule="exact"/>
        <w:ind w:firstLine="480"/>
      </w:pPr>
      <w:r w:rsidRPr="00396360">
        <w:t>我國監察制度起源於秦漢之御史，職司風憲，為民平反。國父創制五權憲法，除承襲監察制度外，更融入現代民主與人權理念，讓監察院以超然立場，獨立行使職權。</w:t>
      </w:r>
      <w:r>
        <w:rPr>
          <w:rFonts w:hint="eastAsia"/>
          <w:lang w:val="en-US"/>
        </w:rPr>
        <w:t>監察院</w:t>
      </w:r>
      <w:r w:rsidRPr="0011394E">
        <w:rPr>
          <w:rFonts w:hint="eastAsia"/>
        </w:rPr>
        <w:t>依我國憲法五權分立原則，</w:t>
      </w:r>
      <w:r>
        <w:rPr>
          <w:rFonts w:hint="eastAsia"/>
        </w:rPr>
        <w:t>負責</w:t>
      </w:r>
      <w:r w:rsidRPr="0011394E">
        <w:rPr>
          <w:rFonts w:hint="eastAsia"/>
        </w:rPr>
        <w:t>監督</w:t>
      </w:r>
      <w:r>
        <w:rPr>
          <w:rFonts w:hint="eastAsia"/>
        </w:rPr>
        <w:t>政府部門</w:t>
      </w:r>
      <w:r w:rsidRPr="0011394E">
        <w:rPr>
          <w:rFonts w:hint="eastAsia"/>
        </w:rPr>
        <w:t>，與行政、立法、司法及考試四權彼此分工制衡，以貫徹民主政治。時至今日，監察院在行使職權的同時，除收受人民書狀，查察不法外，更進一步確保人民權益不受政府任意侵犯，促進人民權益之提升。</w:t>
      </w:r>
    </w:p>
    <w:p w:rsidR="0011394E" w:rsidRPr="0011394E" w:rsidRDefault="0011394E" w:rsidP="00CA0C5C">
      <w:pPr>
        <w:pStyle w:val="1---"/>
        <w:spacing w:beforeLines="30" w:before="108" w:line="400" w:lineRule="exact"/>
        <w:ind w:firstLine="480"/>
      </w:pPr>
      <w:r w:rsidRPr="0011394E">
        <w:rPr>
          <w:rFonts w:hint="eastAsia"/>
        </w:rPr>
        <w:t>201</w:t>
      </w:r>
      <w:r w:rsidR="00801E38">
        <w:rPr>
          <w:rFonts w:hint="eastAsia"/>
        </w:rPr>
        <w:t>7</w:t>
      </w:r>
      <w:r w:rsidRPr="0011394E">
        <w:rPr>
          <w:rFonts w:hint="eastAsia"/>
        </w:rPr>
        <w:t>年監察院處理人民陳情書狀計</w:t>
      </w:r>
      <w:r w:rsidRPr="0011394E">
        <w:rPr>
          <w:rFonts w:hint="eastAsia"/>
        </w:rPr>
        <w:t>1</w:t>
      </w:r>
      <w:r w:rsidR="00617E48">
        <w:rPr>
          <w:rFonts w:hint="eastAsia"/>
        </w:rPr>
        <w:t>5</w:t>
      </w:r>
      <w:r w:rsidRPr="0011394E">
        <w:rPr>
          <w:rFonts w:hint="eastAsia"/>
        </w:rPr>
        <w:t>,</w:t>
      </w:r>
      <w:r w:rsidR="00AE303D">
        <w:rPr>
          <w:rFonts w:hint="eastAsia"/>
        </w:rPr>
        <w:t>1</w:t>
      </w:r>
      <w:r w:rsidR="00617E48">
        <w:rPr>
          <w:rFonts w:hint="eastAsia"/>
        </w:rPr>
        <w:t>77</w:t>
      </w:r>
      <w:r w:rsidRPr="0011394E">
        <w:rPr>
          <w:rFonts w:hint="eastAsia"/>
        </w:rPr>
        <w:t>件，而涉及人權保障者</w:t>
      </w:r>
      <w:r w:rsidRPr="0011394E">
        <w:rPr>
          <w:rFonts w:hint="eastAsia"/>
        </w:rPr>
        <w:t>1</w:t>
      </w:r>
      <w:r w:rsidR="00617E48">
        <w:rPr>
          <w:rFonts w:hint="eastAsia"/>
        </w:rPr>
        <w:t>2</w:t>
      </w:r>
      <w:r w:rsidR="00AE303D">
        <w:rPr>
          <w:rFonts w:hint="eastAsia"/>
        </w:rPr>
        <w:t>,</w:t>
      </w:r>
      <w:r w:rsidR="00617E48">
        <w:rPr>
          <w:rFonts w:hint="eastAsia"/>
        </w:rPr>
        <w:t>596</w:t>
      </w:r>
      <w:r w:rsidRPr="0011394E">
        <w:rPr>
          <w:rFonts w:hint="eastAsia"/>
        </w:rPr>
        <w:t>件，占</w:t>
      </w:r>
      <w:r w:rsidRPr="0011394E">
        <w:rPr>
          <w:rFonts w:hint="eastAsia"/>
        </w:rPr>
        <w:t>8</w:t>
      </w:r>
      <w:r w:rsidR="00617E48">
        <w:rPr>
          <w:rFonts w:hint="eastAsia"/>
        </w:rPr>
        <w:t>2</w:t>
      </w:r>
      <w:r w:rsidRPr="0011394E">
        <w:rPr>
          <w:rFonts w:hint="eastAsia"/>
        </w:rPr>
        <w:t>.</w:t>
      </w:r>
      <w:r w:rsidR="00617E48">
        <w:rPr>
          <w:rFonts w:hint="eastAsia"/>
        </w:rPr>
        <w:t>9</w:t>
      </w:r>
      <w:r w:rsidR="00F9266D">
        <w:rPr>
          <w:rFonts w:hint="eastAsia"/>
        </w:rPr>
        <w:t>%</w:t>
      </w:r>
      <w:r w:rsidRPr="0011394E">
        <w:rPr>
          <w:rFonts w:hint="eastAsia"/>
        </w:rPr>
        <w:t>；審議通過之調查報告計</w:t>
      </w:r>
      <w:r w:rsidR="00617E48">
        <w:rPr>
          <w:rFonts w:hint="eastAsia"/>
        </w:rPr>
        <w:t>276</w:t>
      </w:r>
      <w:r w:rsidRPr="0011394E">
        <w:rPr>
          <w:rFonts w:hint="eastAsia"/>
        </w:rPr>
        <w:t>案，其中涉及人權保障者</w:t>
      </w:r>
      <w:r w:rsidR="00617E48">
        <w:rPr>
          <w:rFonts w:hint="eastAsia"/>
        </w:rPr>
        <w:t>159</w:t>
      </w:r>
      <w:r w:rsidRPr="0011394E">
        <w:rPr>
          <w:rFonts w:hint="eastAsia"/>
        </w:rPr>
        <w:t>案，占</w:t>
      </w:r>
      <w:r w:rsidR="00617E48">
        <w:rPr>
          <w:rFonts w:hint="eastAsia"/>
        </w:rPr>
        <w:t>57</w:t>
      </w:r>
      <w:r w:rsidR="00AE303D">
        <w:rPr>
          <w:rFonts w:hint="eastAsia"/>
        </w:rPr>
        <w:t>.</w:t>
      </w:r>
      <w:r w:rsidR="00617E48">
        <w:rPr>
          <w:rFonts w:hint="eastAsia"/>
        </w:rPr>
        <w:t>6</w:t>
      </w:r>
      <w:r w:rsidR="00F9266D">
        <w:rPr>
          <w:rFonts w:hint="eastAsia"/>
        </w:rPr>
        <w:t>%</w:t>
      </w:r>
      <w:r w:rsidRPr="0011394E">
        <w:rPr>
          <w:rFonts w:hint="eastAsia"/>
        </w:rPr>
        <w:t>；據以成立</w:t>
      </w:r>
      <w:r w:rsidRPr="0011394E">
        <w:rPr>
          <w:rFonts w:hint="eastAsia"/>
        </w:rPr>
        <w:t>1</w:t>
      </w:r>
      <w:r w:rsidR="005918D5">
        <w:rPr>
          <w:rFonts w:hint="eastAsia"/>
        </w:rPr>
        <w:t>0</w:t>
      </w:r>
      <w:r w:rsidRPr="0011394E">
        <w:rPr>
          <w:rFonts w:hint="eastAsia"/>
        </w:rPr>
        <w:t>件彈劾案、</w:t>
      </w:r>
      <w:r w:rsidR="00AE303D">
        <w:rPr>
          <w:rFonts w:hint="eastAsia"/>
        </w:rPr>
        <w:t>6</w:t>
      </w:r>
      <w:r w:rsidR="005918D5">
        <w:rPr>
          <w:rFonts w:hint="eastAsia"/>
        </w:rPr>
        <w:t>5</w:t>
      </w:r>
      <w:r w:rsidRPr="0011394E">
        <w:rPr>
          <w:rFonts w:hint="eastAsia"/>
        </w:rPr>
        <w:t>件糾正案。</w:t>
      </w:r>
    </w:p>
    <w:p w:rsidR="0011394E" w:rsidRPr="0011394E" w:rsidRDefault="0011394E" w:rsidP="00CA0C5C">
      <w:pPr>
        <w:pStyle w:val="1---"/>
        <w:spacing w:beforeLines="30" w:before="108" w:line="400" w:lineRule="exact"/>
        <w:ind w:firstLine="480"/>
      </w:pPr>
      <w:r w:rsidRPr="0011394E">
        <w:rPr>
          <w:rFonts w:hint="eastAsia"/>
        </w:rPr>
        <w:t>監察院一秉公正客觀原則，調查涉有機關或人員違失案件。本書以國際人權準則為標竿，從人權保障的觀點，對摘錄調查案件詳予說明評析，期望藉此喚起各界對人權的重視；並</w:t>
      </w:r>
      <w:r w:rsidR="008666E0">
        <w:rPr>
          <w:rFonts w:hint="eastAsia"/>
        </w:rPr>
        <w:t>供</w:t>
      </w:r>
      <w:r w:rsidRPr="0011394E">
        <w:rPr>
          <w:rFonts w:hint="eastAsia"/>
        </w:rPr>
        <w:t>各相關主管機關引以為鑑，避免發生損及人民權益情事，積極強化各項人權保障工作。</w:t>
      </w:r>
    </w:p>
    <w:p w:rsidR="0011394E" w:rsidRDefault="0011394E" w:rsidP="00CA0C5C">
      <w:pPr>
        <w:pStyle w:val="1---"/>
        <w:spacing w:beforeLines="30" w:before="108" w:line="400" w:lineRule="exact"/>
        <w:ind w:firstLine="480"/>
      </w:pPr>
      <w:r w:rsidRPr="0011394E">
        <w:rPr>
          <w:rFonts w:hint="eastAsia"/>
        </w:rPr>
        <w:t>本冊分別就自由權、平等權、生存權、司法正義、健康權、工作權、財產權、受教權、環境權</w:t>
      </w:r>
      <w:r w:rsidR="000E1EBF">
        <w:rPr>
          <w:rFonts w:hint="eastAsia"/>
        </w:rPr>
        <w:t>、</w:t>
      </w:r>
      <w:r w:rsidRPr="0011394E">
        <w:rPr>
          <w:rFonts w:hint="eastAsia"/>
        </w:rPr>
        <w:t>社會保障</w:t>
      </w:r>
      <w:r w:rsidR="000E1EBF">
        <w:rPr>
          <w:rFonts w:hint="eastAsia"/>
        </w:rPr>
        <w:t>及其他權利</w:t>
      </w:r>
      <w:r w:rsidRPr="0011394E">
        <w:rPr>
          <w:rFonts w:hint="eastAsia"/>
        </w:rPr>
        <w:t>等面向，介紹國際相關人權公約、我國法制與規定，並就上述涉</w:t>
      </w:r>
      <w:r w:rsidRPr="0011394E">
        <w:rPr>
          <w:rFonts w:hint="eastAsia"/>
        </w:rPr>
        <w:lastRenderedPageBreak/>
        <w:t>及人權保障之各類調查案件，篩選監察院與各人權類別相關代表調查案件計</w:t>
      </w:r>
      <w:r w:rsidR="006259F5">
        <w:rPr>
          <w:rFonts w:hint="eastAsia"/>
        </w:rPr>
        <w:t>10</w:t>
      </w:r>
      <w:r w:rsidR="00D45D11">
        <w:rPr>
          <w:rFonts w:hint="eastAsia"/>
        </w:rPr>
        <w:t>2</w:t>
      </w:r>
      <w:r w:rsidRPr="0011394E">
        <w:rPr>
          <w:rFonts w:hint="eastAsia"/>
        </w:rPr>
        <w:t>案，進行編撰；另附錄相關統計表、世界人權宣言、公民與政治權利國際公約、經濟社會文化權利國際公約及兩公約施行法，俾供各界索引參閱。希望藉由摘錄監察院調查案件，促進各機關運用行政或司法權力時，更為審慎周延，讓臺灣的人權保障，更為提升。</w:t>
      </w:r>
    </w:p>
    <w:p w:rsidR="00C654DF" w:rsidRPr="00AC77DF" w:rsidRDefault="00C654DF" w:rsidP="00274413">
      <w:pPr>
        <w:pStyle w:val="1---"/>
        <w:spacing w:after="180"/>
        <w:ind w:firstLine="480"/>
      </w:pPr>
    </w:p>
    <w:p w:rsidR="00947488" w:rsidRDefault="00947488">
      <w:pPr>
        <w:widowControl/>
        <w:snapToGrid/>
        <w:sectPr w:rsidR="00947488" w:rsidSect="000315BA">
          <w:headerReference w:type="default" r:id="rId32"/>
          <w:pgSz w:w="8392" w:h="11907" w:code="11"/>
          <w:pgMar w:top="1701" w:right="794" w:bottom="1134" w:left="964" w:header="624" w:footer="397" w:gutter="0"/>
          <w:cols w:space="425"/>
          <w:docGrid w:type="lines" w:linePitch="360" w:charSpace="4127"/>
        </w:sectPr>
      </w:pPr>
    </w:p>
    <w:p w:rsidR="00C654DF" w:rsidRPr="00AC77DF" w:rsidRDefault="00CF6634" w:rsidP="00E24CA6">
      <w:pPr>
        <w:pStyle w:val="1--"/>
        <w:spacing w:after="180"/>
      </w:pPr>
      <w:bookmarkStart w:id="698" w:name="_Toc535228438"/>
      <w:bookmarkStart w:id="699" w:name="_Toc4058850"/>
      <w:r>
        <w:rPr>
          <w:rFonts w:hint="eastAsia"/>
        </w:rPr>
        <w:lastRenderedPageBreak/>
        <w:t>附錄一</w:t>
      </w:r>
      <w:r>
        <w:rPr>
          <w:rFonts w:ascii="細明體" w:eastAsia="細明體" w:hAnsi="細明體" w:cs="細明體" w:hint="eastAsia"/>
        </w:rPr>
        <w:t xml:space="preserve">　</w:t>
      </w:r>
      <w:r w:rsidR="00C654DF" w:rsidRPr="00AC77DF">
        <w:t>權利定義</w:t>
      </w:r>
      <w:bookmarkEnd w:id="698"/>
      <w:bookmarkEnd w:id="699"/>
    </w:p>
    <w:p w:rsidR="00C654DF" w:rsidRPr="00AC77DF" w:rsidRDefault="00CA0EBD" w:rsidP="003B68F8">
      <w:pPr>
        <w:pStyle w:val="1---"/>
        <w:ind w:left="504" w:hangingChars="210" w:hanging="504"/>
      </w:pPr>
      <w:r>
        <w:rPr>
          <w:rFonts w:hint="eastAsia"/>
        </w:rPr>
        <w:t>一、</w:t>
      </w:r>
      <w:r w:rsidR="003B68F8">
        <w:rPr>
          <w:rFonts w:hint="eastAsia"/>
          <w:lang w:eastAsia="zh-TW"/>
        </w:rPr>
        <w:tab/>
      </w:r>
      <w:r w:rsidR="00C654DF" w:rsidRPr="00AC77DF">
        <w:t>自由權：凡案件性質與人身自由、居住遷徙自由、表現（言論、講學、著作及出版）自由、傳播自由、秘密通訊自由、信仰宗教自由、集會結社自由、思想自由、契約自由、請願權及其他不妨害社會秩序或公共利益之自由及權利有關者均屬之。</w:t>
      </w:r>
    </w:p>
    <w:p w:rsidR="00C654DF" w:rsidRPr="00AC77DF" w:rsidRDefault="00CA0EBD" w:rsidP="003B68F8">
      <w:pPr>
        <w:pStyle w:val="1---"/>
        <w:ind w:left="504" w:hangingChars="210" w:hanging="504"/>
      </w:pPr>
      <w:r>
        <w:rPr>
          <w:rFonts w:hint="eastAsia"/>
        </w:rPr>
        <w:t>二、</w:t>
      </w:r>
      <w:r w:rsidR="003B68F8">
        <w:rPr>
          <w:rFonts w:hint="eastAsia"/>
          <w:lang w:eastAsia="zh-TW"/>
        </w:rPr>
        <w:tab/>
      </w:r>
      <w:r w:rsidR="00C654DF" w:rsidRPr="00AC77DF">
        <w:t>平等權：凡案件性質與性別、宗教、種族、膚色、階級、黨派、語言、政治或其他見解、國籍或社會出身、財產（貧富）或其他身分之平等有關者均屬之。</w:t>
      </w:r>
    </w:p>
    <w:p w:rsidR="00F85A65" w:rsidRDefault="00CA0EBD" w:rsidP="003B68F8">
      <w:pPr>
        <w:pStyle w:val="1---"/>
        <w:ind w:left="504" w:hangingChars="210" w:hanging="504"/>
      </w:pPr>
      <w:r>
        <w:rPr>
          <w:rFonts w:hint="eastAsia"/>
        </w:rPr>
        <w:t>三、</w:t>
      </w:r>
      <w:r w:rsidR="003B68F8">
        <w:rPr>
          <w:rFonts w:hint="eastAsia"/>
          <w:lang w:eastAsia="zh-TW"/>
        </w:rPr>
        <w:tab/>
      </w:r>
      <w:r w:rsidR="00F85A65" w:rsidRPr="00AC77DF">
        <w:t>生存權：凡案件性質與人民的生命權（如涉及死刑、墮胎或安樂死、人身安全</w:t>
      </w:r>
      <w:r w:rsidR="00F85A65" w:rsidRPr="00847A28">
        <w:rPr>
          <w:spacing w:val="-30"/>
        </w:rPr>
        <w:t>）</w:t>
      </w:r>
      <w:r w:rsidR="00F85A65" w:rsidRPr="00AC77DF">
        <w:t>、最低基本生活之維持（如社會救助）等有關者，均屬之。</w:t>
      </w:r>
    </w:p>
    <w:p w:rsidR="00C654DF" w:rsidRPr="00AC77DF" w:rsidRDefault="00CA0EBD" w:rsidP="003B68F8">
      <w:pPr>
        <w:pStyle w:val="1---"/>
        <w:ind w:left="504" w:hangingChars="210" w:hanging="504"/>
      </w:pPr>
      <w:r>
        <w:rPr>
          <w:rFonts w:hint="eastAsia"/>
        </w:rPr>
        <w:t>四、</w:t>
      </w:r>
      <w:r w:rsidR="003B68F8">
        <w:rPr>
          <w:rFonts w:hint="eastAsia"/>
          <w:lang w:eastAsia="zh-TW"/>
        </w:rPr>
        <w:tab/>
      </w:r>
      <w:r w:rsidR="00C654DF" w:rsidRPr="00AC77DF">
        <w:t>司法正義：凡案件性質與司法檢調機關在警察調查、檢察官偵查、法官審判及監獄執行等階段之作為或訴願權或訴訟權有關者均屬之。</w:t>
      </w:r>
    </w:p>
    <w:p w:rsidR="00F85A65" w:rsidRPr="00AC77DF" w:rsidRDefault="00CA0EBD" w:rsidP="003B68F8">
      <w:pPr>
        <w:pStyle w:val="1---"/>
        <w:ind w:left="504" w:hangingChars="210" w:hanging="504"/>
      </w:pPr>
      <w:r>
        <w:rPr>
          <w:rFonts w:hint="eastAsia"/>
        </w:rPr>
        <w:t>五、</w:t>
      </w:r>
      <w:r w:rsidR="003B68F8">
        <w:rPr>
          <w:rFonts w:hint="eastAsia"/>
          <w:lang w:eastAsia="zh-TW"/>
        </w:rPr>
        <w:tab/>
      </w:r>
      <w:r w:rsidR="00F85A65" w:rsidRPr="00AC77DF">
        <w:t>健康權：凡案件性質影響人民健康與生命存續有關之制度及措施（如醫療、衛生、保健、法定傳染病之處置、公衛癌症篩檢、植物人及身心障礙與失能者之醫療照護、食品安全）等有關者，均屬之。</w:t>
      </w:r>
    </w:p>
    <w:p w:rsidR="00C654DF" w:rsidRPr="00AC77DF" w:rsidRDefault="00CA0EBD" w:rsidP="003B68F8">
      <w:pPr>
        <w:pStyle w:val="1---"/>
        <w:ind w:left="504" w:hangingChars="210" w:hanging="504"/>
      </w:pPr>
      <w:r>
        <w:rPr>
          <w:rFonts w:hint="eastAsia"/>
        </w:rPr>
        <w:t>六、</w:t>
      </w:r>
      <w:r w:rsidR="003B68F8">
        <w:rPr>
          <w:rFonts w:hint="eastAsia"/>
          <w:lang w:eastAsia="zh-TW"/>
        </w:rPr>
        <w:tab/>
      </w:r>
      <w:r w:rsidR="00C654DF" w:rsidRPr="00AC77DF">
        <w:t>工作權：凡案件性質與職業選擇、企業經營及工資、工時、休息、休假、勞動三權（罷工、團結、集體交涉）等勞動條件之最低標準的維持，以及與促進國民就業有關者，如就業輔導、職業訓練均屬之。</w:t>
      </w:r>
      <w:r w:rsidR="00C654DF" w:rsidRPr="00AC77DF">
        <w:t xml:space="preserve"> </w:t>
      </w:r>
    </w:p>
    <w:p w:rsidR="00C654DF" w:rsidRPr="00AC77DF" w:rsidRDefault="00CA0EBD" w:rsidP="003B68F8">
      <w:pPr>
        <w:pStyle w:val="1---"/>
        <w:ind w:left="504" w:hangingChars="210" w:hanging="504"/>
      </w:pPr>
      <w:r>
        <w:rPr>
          <w:rFonts w:hint="eastAsia"/>
        </w:rPr>
        <w:lastRenderedPageBreak/>
        <w:t>七、</w:t>
      </w:r>
      <w:r w:rsidR="003B68F8">
        <w:rPr>
          <w:rFonts w:hint="eastAsia"/>
          <w:lang w:eastAsia="zh-TW"/>
        </w:rPr>
        <w:tab/>
      </w:r>
      <w:r w:rsidR="00C654DF" w:rsidRPr="00AC77DF">
        <w:t>財產權：凡案件性質與私有財產權制度以及債權、物權、準物權及無體財產權有關者均屬之。</w:t>
      </w:r>
    </w:p>
    <w:p w:rsidR="00C654DF" w:rsidRPr="00AC77DF" w:rsidRDefault="00CA0EBD" w:rsidP="003B68F8">
      <w:pPr>
        <w:pStyle w:val="1---"/>
        <w:ind w:left="504" w:hangingChars="210" w:hanging="504"/>
      </w:pPr>
      <w:r>
        <w:rPr>
          <w:rFonts w:hint="eastAsia"/>
        </w:rPr>
        <w:t>八、</w:t>
      </w:r>
      <w:r w:rsidR="003B68F8">
        <w:rPr>
          <w:rFonts w:hint="eastAsia"/>
          <w:lang w:eastAsia="zh-TW"/>
        </w:rPr>
        <w:tab/>
      </w:r>
      <w:r w:rsidR="00C654DF" w:rsidRPr="00AC77DF">
        <w:t>教育權：凡案件性質與基本教育權、學生權、人民教育參與權及教育工作有關者均屬之。</w:t>
      </w:r>
    </w:p>
    <w:p w:rsidR="00C654DF" w:rsidRPr="00AC77DF" w:rsidRDefault="00CA0EBD" w:rsidP="003B68F8">
      <w:pPr>
        <w:pStyle w:val="1---"/>
        <w:ind w:left="504" w:hangingChars="210" w:hanging="504"/>
      </w:pPr>
      <w:r>
        <w:rPr>
          <w:rFonts w:hint="eastAsia"/>
        </w:rPr>
        <w:t>九、</w:t>
      </w:r>
      <w:r w:rsidR="003B68F8">
        <w:rPr>
          <w:rFonts w:hint="eastAsia"/>
          <w:lang w:eastAsia="zh-TW"/>
        </w:rPr>
        <w:tab/>
      </w:r>
      <w:r w:rsidR="00C654DF" w:rsidRPr="00AC77DF">
        <w:t>環境權：凡案件性質與環境資源保護、環境資源施政及環境資源教育等生活環境品質有關者均屬之。</w:t>
      </w:r>
    </w:p>
    <w:p w:rsidR="00C654DF" w:rsidRPr="00AC77DF" w:rsidRDefault="00CA0EBD" w:rsidP="003B68F8">
      <w:pPr>
        <w:pStyle w:val="1---"/>
        <w:ind w:left="504" w:hangingChars="210" w:hanging="504"/>
      </w:pPr>
      <w:r>
        <w:rPr>
          <w:rFonts w:hint="eastAsia"/>
        </w:rPr>
        <w:t>十、</w:t>
      </w:r>
      <w:r w:rsidR="003B68F8">
        <w:rPr>
          <w:rFonts w:hint="eastAsia"/>
          <w:lang w:eastAsia="zh-TW"/>
        </w:rPr>
        <w:tab/>
      </w:r>
      <w:r w:rsidR="00C654DF" w:rsidRPr="00AC77DF">
        <w:t>社會保障：凡案件性質與社會保險（包括就業保險、國民年金保險、全民健保、勞工保險、農民保險、公教保險、軍人保險等</w:t>
      </w:r>
      <w:r w:rsidR="00C654DF" w:rsidRPr="00847A28">
        <w:rPr>
          <w:spacing w:val="-30"/>
        </w:rPr>
        <w:t>）</w:t>
      </w:r>
      <w:r w:rsidR="00C654DF" w:rsidRPr="00AC77DF">
        <w:t>、弱勢族群之保護（包括身心障礙者、原住民、新移民如外籍配偶與大陸配偶、兒童、婦女及老人等之保護</w:t>
      </w:r>
      <w:r w:rsidR="00C654DF" w:rsidRPr="00847A28">
        <w:rPr>
          <w:spacing w:val="-30"/>
        </w:rPr>
        <w:t>）</w:t>
      </w:r>
      <w:r w:rsidR="00C654DF" w:rsidRPr="00AC77DF">
        <w:t>、社會安全、社會福利、退休年金、失業津貼、職業災害補償等有關者均屬之。</w:t>
      </w:r>
    </w:p>
    <w:p w:rsidR="00C654DF" w:rsidRPr="00AC77DF" w:rsidRDefault="00CA0EBD" w:rsidP="00847A28">
      <w:pPr>
        <w:pStyle w:val="1---"/>
        <w:ind w:left="480" w:hangingChars="200" w:hanging="480"/>
      </w:pPr>
      <w:r>
        <w:rPr>
          <w:rFonts w:hint="eastAsia"/>
        </w:rPr>
        <w:t>十一、</w:t>
      </w:r>
      <w:r w:rsidR="00C654DF" w:rsidRPr="00AC77DF">
        <w:t>其他權</w:t>
      </w:r>
      <w:r w:rsidR="00F85A65">
        <w:rPr>
          <w:rFonts w:hint="eastAsia"/>
        </w:rPr>
        <w:t>利</w:t>
      </w:r>
      <w:r w:rsidR="00C654DF" w:rsidRPr="00AC77DF">
        <w:t>：凡案件性質不屬以上各項者。</w:t>
      </w:r>
    </w:p>
    <w:p w:rsidR="00847A28" w:rsidRDefault="00847A28">
      <w:pPr>
        <w:widowControl/>
        <w:snapToGrid/>
      </w:pPr>
    </w:p>
    <w:p w:rsidR="00847A28" w:rsidRDefault="00847A28">
      <w:pPr>
        <w:widowControl/>
        <w:snapToGrid/>
        <w:sectPr w:rsidR="00847A28" w:rsidSect="000315BA">
          <w:headerReference w:type="default" r:id="rId33"/>
          <w:pgSz w:w="8392" w:h="11907" w:code="11"/>
          <w:pgMar w:top="1701" w:right="794" w:bottom="1134" w:left="964" w:header="624" w:footer="397" w:gutter="0"/>
          <w:cols w:space="425"/>
          <w:docGrid w:type="lines" w:linePitch="360" w:charSpace="4127"/>
        </w:sectPr>
      </w:pPr>
    </w:p>
    <w:p w:rsidR="00847A28" w:rsidRDefault="00CF6634" w:rsidP="00443CFF">
      <w:pPr>
        <w:pStyle w:val="1--"/>
        <w:snapToGrid w:val="0"/>
        <w:spacing w:afterLines="0" w:after="0"/>
        <w:rPr>
          <w:rFonts w:ascii="細明體" w:eastAsia="細明體" w:hAnsi="細明體" w:cs="細明體"/>
        </w:rPr>
      </w:pPr>
      <w:bookmarkStart w:id="700" w:name="_Toc443463634"/>
      <w:bookmarkStart w:id="701" w:name="_Toc445899416"/>
      <w:bookmarkStart w:id="702" w:name="_Toc450738908"/>
      <w:bookmarkStart w:id="703" w:name="_Toc450743332"/>
      <w:bookmarkStart w:id="704" w:name="_Toc452130890"/>
      <w:bookmarkStart w:id="705" w:name="_Toc453165838"/>
      <w:bookmarkStart w:id="706" w:name="_Toc508113024"/>
      <w:bookmarkStart w:id="707" w:name="_Toc535228439"/>
      <w:bookmarkStart w:id="708" w:name="_Toc4058851"/>
      <w:r w:rsidRPr="00FC1484">
        <w:lastRenderedPageBreak/>
        <w:t>附錄</w:t>
      </w:r>
      <w:bookmarkEnd w:id="700"/>
      <w:bookmarkEnd w:id="701"/>
      <w:bookmarkEnd w:id="702"/>
      <w:bookmarkEnd w:id="703"/>
      <w:bookmarkEnd w:id="704"/>
      <w:bookmarkEnd w:id="705"/>
      <w:r>
        <w:rPr>
          <w:rFonts w:hint="eastAsia"/>
        </w:rPr>
        <w:t>二</w:t>
      </w:r>
      <w:r w:rsidRPr="00FC1484">
        <w:rPr>
          <w:rFonts w:ascii="細明體" w:eastAsia="細明體" w:hAnsi="細明體" w:cs="細明體" w:hint="eastAsia"/>
        </w:rPr>
        <w:t xml:space="preserve">　</w:t>
      </w:r>
    </w:p>
    <w:p w:rsidR="00847A28" w:rsidRPr="00C72D11" w:rsidRDefault="00847A28" w:rsidP="00847A28">
      <w:pPr>
        <w:pStyle w:val="11--0"/>
        <w:snapToGrid w:val="0"/>
        <w:spacing w:beforeLines="0" w:before="0" w:afterLines="0" w:after="0" w:line="240" w:lineRule="auto"/>
        <w:jc w:val="center"/>
        <w:rPr>
          <w:rFonts w:ascii="Times New Roman" w:eastAsia="華康粗明體" w:hAnsi="Times New Roman"/>
          <w:sz w:val="28"/>
          <w:szCs w:val="28"/>
        </w:rPr>
      </w:pPr>
      <w:r w:rsidRPr="00C72D11">
        <w:rPr>
          <w:rFonts w:ascii="Times New Roman" w:eastAsia="華康粗明體" w:hAnsi="Times New Roman"/>
          <w:sz w:val="28"/>
          <w:szCs w:val="28"/>
        </w:rPr>
        <w:t>201</w:t>
      </w:r>
      <w:r>
        <w:rPr>
          <w:rFonts w:ascii="Times New Roman" w:eastAsia="華康粗明體" w:hAnsi="Times New Roman" w:hint="eastAsia"/>
          <w:sz w:val="28"/>
          <w:szCs w:val="28"/>
        </w:rPr>
        <w:t>7</w:t>
      </w:r>
      <w:r w:rsidRPr="00C72D11">
        <w:rPr>
          <w:rFonts w:ascii="Times New Roman" w:eastAsia="華康粗明體" w:hAnsi="Times New Roman"/>
          <w:sz w:val="28"/>
          <w:szCs w:val="28"/>
        </w:rPr>
        <w:t>年監察院人權保障案件統計表</w:t>
      </w:r>
    </w:p>
    <w:p w:rsidR="00847A28" w:rsidRPr="00D240A1" w:rsidRDefault="00847A28" w:rsidP="00847A28">
      <w:pPr>
        <w:pStyle w:val="11--"/>
        <w:spacing w:afterLines="20" w:after="72"/>
        <w:ind w:firstLine="480"/>
        <w:jc w:val="right"/>
      </w:pPr>
      <w:r w:rsidRPr="00D240A1">
        <w:t>單位：件；案</w:t>
      </w:r>
    </w:p>
    <w:tbl>
      <w:tblPr>
        <w:tblW w:w="5000" w:type="pct"/>
        <w:tblCellMar>
          <w:left w:w="57" w:type="dxa"/>
          <w:right w:w="57" w:type="dxa"/>
        </w:tblCellMar>
        <w:tblLook w:val="04A0" w:firstRow="1" w:lastRow="0" w:firstColumn="1" w:lastColumn="0" w:noHBand="0" w:noVBand="1"/>
      </w:tblPr>
      <w:tblGrid>
        <w:gridCol w:w="458"/>
        <w:gridCol w:w="2093"/>
        <w:gridCol w:w="1400"/>
        <w:gridCol w:w="1400"/>
        <w:gridCol w:w="1397"/>
      </w:tblGrid>
      <w:tr w:rsidR="007A69AC" w:rsidRPr="00443CFF" w:rsidTr="00443CFF">
        <w:trPr>
          <w:cantSplit/>
          <w:trHeight w:val="20"/>
          <w:tblHeader/>
        </w:trPr>
        <w:tc>
          <w:tcPr>
            <w:tcW w:w="1890" w:type="pct"/>
            <w:gridSpan w:val="2"/>
            <w:vMerge w:val="restart"/>
            <w:tcBorders>
              <w:top w:val="single" w:sz="12" w:space="0" w:color="auto"/>
              <w:left w:val="single" w:sz="12" w:space="0" w:color="auto"/>
              <w:right w:val="single" w:sz="4" w:space="0" w:color="auto"/>
            </w:tcBorders>
            <w:noWrap/>
            <w:vAlign w:val="center"/>
            <w:hideMark/>
          </w:tcPr>
          <w:bookmarkEnd w:id="706"/>
          <w:bookmarkEnd w:id="707"/>
          <w:bookmarkEnd w:id="708"/>
          <w:p w:rsidR="007A69AC" w:rsidRPr="00443CFF" w:rsidRDefault="007A69AC" w:rsidP="00443CFF">
            <w:pPr>
              <w:jc w:val="distribute"/>
              <w:rPr>
                <w:rFonts w:eastAsiaTheme="majorEastAsia"/>
                <w:kern w:val="0"/>
                <w:szCs w:val="24"/>
              </w:rPr>
            </w:pPr>
            <w:r w:rsidRPr="00443CFF">
              <w:rPr>
                <w:rFonts w:eastAsiaTheme="majorEastAsia"/>
                <w:kern w:val="0"/>
                <w:szCs w:val="24"/>
              </w:rPr>
              <w:t>項目</w:t>
            </w:r>
          </w:p>
        </w:tc>
        <w:tc>
          <w:tcPr>
            <w:tcW w:w="1037" w:type="pct"/>
            <w:tcBorders>
              <w:top w:val="single" w:sz="12" w:space="0" w:color="auto"/>
              <w:left w:val="nil"/>
              <w:bottom w:val="single" w:sz="4" w:space="0" w:color="auto"/>
              <w:right w:val="single" w:sz="4" w:space="0" w:color="auto"/>
            </w:tcBorders>
            <w:noWrap/>
            <w:vAlign w:val="center"/>
            <w:hideMark/>
          </w:tcPr>
          <w:p w:rsidR="007A69AC" w:rsidRPr="00443CFF" w:rsidRDefault="007A69AC" w:rsidP="00443CFF">
            <w:pPr>
              <w:jc w:val="distribute"/>
              <w:rPr>
                <w:rFonts w:eastAsiaTheme="majorEastAsia"/>
                <w:kern w:val="0"/>
                <w:szCs w:val="24"/>
              </w:rPr>
            </w:pPr>
            <w:r w:rsidRPr="00443CFF">
              <w:rPr>
                <w:rFonts w:eastAsiaTheme="majorEastAsia"/>
                <w:kern w:val="0"/>
                <w:szCs w:val="24"/>
              </w:rPr>
              <w:t>人民書狀</w:t>
            </w:r>
          </w:p>
        </w:tc>
        <w:tc>
          <w:tcPr>
            <w:tcW w:w="1037" w:type="pct"/>
            <w:tcBorders>
              <w:top w:val="single" w:sz="12" w:space="0" w:color="auto"/>
              <w:left w:val="nil"/>
              <w:bottom w:val="single" w:sz="4" w:space="0" w:color="auto"/>
              <w:right w:val="single" w:sz="4" w:space="0" w:color="auto"/>
            </w:tcBorders>
            <w:vAlign w:val="center"/>
            <w:hideMark/>
          </w:tcPr>
          <w:p w:rsidR="007A69AC" w:rsidRPr="00443CFF" w:rsidRDefault="007A69AC" w:rsidP="00443CFF">
            <w:pPr>
              <w:jc w:val="distribute"/>
              <w:rPr>
                <w:rFonts w:eastAsiaTheme="majorEastAsia"/>
                <w:kern w:val="0"/>
                <w:szCs w:val="24"/>
              </w:rPr>
            </w:pPr>
            <w:r w:rsidRPr="00443CFF">
              <w:rPr>
                <w:rFonts w:eastAsiaTheme="majorEastAsia"/>
                <w:kern w:val="0"/>
                <w:szCs w:val="24"/>
              </w:rPr>
              <w:t>調查報告</w:t>
            </w:r>
          </w:p>
        </w:tc>
        <w:tc>
          <w:tcPr>
            <w:tcW w:w="1036" w:type="pct"/>
            <w:tcBorders>
              <w:top w:val="single" w:sz="12" w:space="0" w:color="auto"/>
              <w:left w:val="nil"/>
              <w:bottom w:val="single" w:sz="4" w:space="0" w:color="auto"/>
              <w:right w:val="single" w:sz="12" w:space="0" w:color="auto"/>
            </w:tcBorders>
            <w:vAlign w:val="center"/>
          </w:tcPr>
          <w:p w:rsidR="007A69AC" w:rsidRPr="00443CFF" w:rsidRDefault="007A69AC" w:rsidP="00443CFF">
            <w:pPr>
              <w:jc w:val="distribute"/>
              <w:rPr>
                <w:rFonts w:eastAsiaTheme="majorEastAsia"/>
                <w:kern w:val="0"/>
                <w:szCs w:val="24"/>
              </w:rPr>
            </w:pPr>
            <w:r w:rsidRPr="00443CFF">
              <w:rPr>
                <w:rFonts w:eastAsiaTheme="majorEastAsia"/>
                <w:kern w:val="0"/>
                <w:szCs w:val="24"/>
              </w:rPr>
              <w:t>糾正案</w:t>
            </w:r>
          </w:p>
        </w:tc>
      </w:tr>
      <w:tr w:rsidR="007A69AC" w:rsidRPr="00443CFF" w:rsidTr="00443CFF">
        <w:trPr>
          <w:cantSplit/>
          <w:trHeight w:val="20"/>
          <w:tblHeader/>
        </w:trPr>
        <w:tc>
          <w:tcPr>
            <w:tcW w:w="1890" w:type="pct"/>
            <w:gridSpan w:val="2"/>
            <w:vMerge/>
            <w:tcBorders>
              <w:left w:val="single" w:sz="12" w:space="0" w:color="auto"/>
              <w:bottom w:val="single" w:sz="4" w:space="0" w:color="auto"/>
              <w:right w:val="single" w:sz="4" w:space="0" w:color="auto"/>
            </w:tcBorders>
            <w:vAlign w:val="center"/>
            <w:hideMark/>
          </w:tcPr>
          <w:p w:rsidR="007A69AC" w:rsidRPr="00443CFF" w:rsidRDefault="007A69AC" w:rsidP="00443CFF">
            <w:pPr>
              <w:rPr>
                <w:rFonts w:eastAsiaTheme="majorEastAsia"/>
                <w:kern w:val="0"/>
                <w:szCs w:val="24"/>
              </w:rPr>
            </w:pPr>
          </w:p>
        </w:tc>
        <w:tc>
          <w:tcPr>
            <w:tcW w:w="1037" w:type="pct"/>
            <w:tcBorders>
              <w:top w:val="nil"/>
              <w:left w:val="nil"/>
              <w:bottom w:val="single" w:sz="4" w:space="0" w:color="auto"/>
              <w:right w:val="single" w:sz="4" w:space="0" w:color="auto"/>
            </w:tcBorders>
            <w:noWrap/>
            <w:vAlign w:val="center"/>
            <w:hideMark/>
          </w:tcPr>
          <w:p w:rsidR="007A69AC" w:rsidRPr="00443CFF" w:rsidRDefault="007A69AC" w:rsidP="00443CFF">
            <w:pPr>
              <w:jc w:val="distribute"/>
              <w:rPr>
                <w:rFonts w:eastAsiaTheme="majorEastAsia"/>
                <w:kern w:val="0"/>
                <w:szCs w:val="24"/>
              </w:rPr>
            </w:pPr>
            <w:r w:rsidRPr="00443CFF">
              <w:rPr>
                <w:rFonts w:eastAsiaTheme="majorEastAsia"/>
                <w:kern w:val="0"/>
                <w:szCs w:val="24"/>
              </w:rPr>
              <w:t>件數</w:t>
            </w:r>
          </w:p>
        </w:tc>
        <w:tc>
          <w:tcPr>
            <w:tcW w:w="1037" w:type="pct"/>
            <w:tcBorders>
              <w:top w:val="nil"/>
              <w:left w:val="nil"/>
              <w:bottom w:val="single" w:sz="4" w:space="0" w:color="auto"/>
              <w:right w:val="single" w:sz="4" w:space="0" w:color="auto"/>
            </w:tcBorders>
            <w:vAlign w:val="center"/>
            <w:hideMark/>
          </w:tcPr>
          <w:p w:rsidR="007A69AC" w:rsidRPr="00443CFF" w:rsidRDefault="007A69AC" w:rsidP="00443CFF">
            <w:pPr>
              <w:jc w:val="distribute"/>
              <w:rPr>
                <w:rFonts w:eastAsiaTheme="majorEastAsia"/>
                <w:kern w:val="0"/>
                <w:szCs w:val="24"/>
              </w:rPr>
            </w:pPr>
            <w:r w:rsidRPr="00443CFF">
              <w:rPr>
                <w:rFonts w:eastAsiaTheme="majorEastAsia"/>
                <w:kern w:val="0"/>
                <w:szCs w:val="24"/>
              </w:rPr>
              <w:t>案數</w:t>
            </w:r>
          </w:p>
        </w:tc>
        <w:tc>
          <w:tcPr>
            <w:tcW w:w="1036" w:type="pct"/>
            <w:tcBorders>
              <w:top w:val="nil"/>
              <w:left w:val="nil"/>
              <w:bottom w:val="single" w:sz="4" w:space="0" w:color="auto"/>
              <w:right w:val="single" w:sz="12" w:space="0" w:color="auto"/>
            </w:tcBorders>
            <w:vAlign w:val="center"/>
          </w:tcPr>
          <w:p w:rsidR="007A69AC" w:rsidRPr="00443CFF" w:rsidRDefault="007A69AC" w:rsidP="00443CFF">
            <w:pPr>
              <w:jc w:val="distribute"/>
              <w:rPr>
                <w:rFonts w:eastAsiaTheme="majorEastAsia"/>
                <w:kern w:val="0"/>
                <w:szCs w:val="24"/>
              </w:rPr>
            </w:pPr>
            <w:r w:rsidRPr="00443CFF">
              <w:rPr>
                <w:rFonts w:eastAsiaTheme="majorEastAsia"/>
                <w:kern w:val="0"/>
                <w:szCs w:val="24"/>
              </w:rPr>
              <w:t>案數</w:t>
            </w:r>
          </w:p>
        </w:tc>
      </w:tr>
      <w:tr w:rsidR="007A69AC" w:rsidRPr="00443CFF" w:rsidTr="00443CFF">
        <w:trPr>
          <w:cantSplit/>
          <w:trHeight w:val="20"/>
        </w:trPr>
        <w:tc>
          <w:tcPr>
            <w:tcW w:w="1890" w:type="pct"/>
            <w:gridSpan w:val="2"/>
            <w:tcBorders>
              <w:top w:val="single" w:sz="4" w:space="0" w:color="auto"/>
              <w:left w:val="single" w:sz="12" w:space="0" w:color="auto"/>
              <w:bottom w:val="single" w:sz="4" w:space="0" w:color="auto"/>
              <w:right w:val="single" w:sz="4" w:space="0" w:color="auto"/>
            </w:tcBorders>
            <w:vAlign w:val="center"/>
            <w:hideMark/>
          </w:tcPr>
          <w:p w:rsidR="007A69AC" w:rsidRPr="00443CFF" w:rsidRDefault="007A69AC" w:rsidP="00443CFF">
            <w:pPr>
              <w:jc w:val="distribute"/>
              <w:rPr>
                <w:rFonts w:eastAsiaTheme="majorEastAsia"/>
                <w:kern w:val="0"/>
                <w:szCs w:val="24"/>
              </w:rPr>
            </w:pPr>
            <w:r w:rsidRPr="00443CFF">
              <w:rPr>
                <w:rFonts w:eastAsiaTheme="majorEastAsia"/>
                <w:kern w:val="0"/>
                <w:szCs w:val="24"/>
              </w:rPr>
              <w:t>總計</w:t>
            </w:r>
          </w:p>
        </w:tc>
        <w:tc>
          <w:tcPr>
            <w:tcW w:w="1037" w:type="pct"/>
            <w:tcBorders>
              <w:top w:val="nil"/>
              <w:left w:val="nil"/>
              <w:bottom w:val="single" w:sz="4" w:space="0" w:color="auto"/>
              <w:right w:val="single" w:sz="4" w:space="0" w:color="auto"/>
            </w:tcBorders>
            <w:shd w:val="clear" w:color="auto" w:fill="auto"/>
            <w:vAlign w:val="center"/>
            <w:hideMark/>
          </w:tcPr>
          <w:p w:rsidR="007A69AC" w:rsidRPr="00443CFF" w:rsidRDefault="007A69AC" w:rsidP="00443CFF">
            <w:pPr>
              <w:jc w:val="center"/>
              <w:rPr>
                <w:rFonts w:eastAsiaTheme="majorEastAsia"/>
                <w:szCs w:val="24"/>
              </w:rPr>
            </w:pPr>
            <w:r w:rsidRPr="00443CFF">
              <w:rPr>
                <w:rFonts w:eastAsiaTheme="majorEastAsia"/>
                <w:szCs w:val="24"/>
              </w:rPr>
              <w:t>15,177</w:t>
            </w:r>
          </w:p>
        </w:tc>
        <w:tc>
          <w:tcPr>
            <w:tcW w:w="1037" w:type="pct"/>
            <w:tcBorders>
              <w:top w:val="nil"/>
              <w:left w:val="nil"/>
              <w:bottom w:val="single" w:sz="4" w:space="0" w:color="auto"/>
              <w:right w:val="single" w:sz="4" w:space="0" w:color="auto"/>
            </w:tcBorders>
            <w:shd w:val="clear" w:color="auto" w:fill="auto"/>
            <w:vAlign w:val="center"/>
            <w:hideMark/>
          </w:tcPr>
          <w:p w:rsidR="007A69AC" w:rsidRPr="00443CFF" w:rsidRDefault="007A69AC" w:rsidP="00443CFF">
            <w:pPr>
              <w:jc w:val="center"/>
              <w:rPr>
                <w:rFonts w:eastAsiaTheme="majorEastAsia"/>
                <w:szCs w:val="24"/>
              </w:rPr>
            </w:pPr>
            <w:r w:rsidRPr="00443CFF">
              <w:rPr>
                <w:rFonts w:eastAsiaTheme="majorEastAsia"/>
                <w:szCs w:val="24"/>
              </w:rPr>
              <w:t>276</w:t>
            </w:r>
          </w:p>
        </w:tc>
        <w:tc>
          <w:tcPr>
            <w:tcW w:w="1036" w:type="pct"/>
            <w:tcBorders>
              <w:top w:val="nil"/>
              <w:left w:val="nil"/>
              <w:bottom w:val="single" w:sz="4" w:space="0" w:color="auto"/>
              <w:right w:val="single" w:sz="12" w:space="0" w:color="auto"/>
            </w:tcBorders>
            <w:vAlign w:val="center"/>
          </w:tcPr>
          <w:p w:rsidR="007A69AC" w:rsidRPr="00443CFF" w:rsidRDefault="007A69AC" w:rsidP="00443CFF">
            <w:pPr>
              <w:jc w:val="center"/>
              <w:rPr>
                <w:rFonts w:eastAsiaTheme="majorEastAsia"/>
                <w:szCs w:val="24"/>
              </w:rPr>
            </w:pPr>
            <w:r w:rsidRPr="00443CFF">
              <w:rPr>
                <w:rFonts w:eastAsiaTheme="majorEastAsia"/>
                <w:szCs w:val="24"/>
              </w:rPr>
              <w:t>101</w:t>
            </w:r>
          </w:p>
        </w:tc>
      </w:tr>
      <w:tr w:rsidR="007A69AC" w:rsidRPr="00443CFF" w:rsidTr="00443CFF">
        <w:trPr>
          <w:cantSplit/>
          <w:trHeight w:val="20"/>
        </w:trPr>
        <w:tc>
          <w:tcPr>
            <w:tcW w:w="340" w:type="pct"/>
            <w:vMerge w:val="restart"/>
            <w:tcBorders>
              <w:top w:val="single" w:sz="4" w:space="0" w:color="auto"/>
              <w:left w:val="single" w:sz="12" w:space="0" w:color="auto"/>
              <w:bottom w:val="single" w:sz="4" w:space="0" w:color="auto"/>
              <w:right w:val="single" w:sz="4" w:space="0" w:color="auto"/>
            </w:tcBorders>
            <w:textDirection w:val="tbRlV"/>
            <w:vAlign w:val="center"/>
            <w:hideMark/>
          </w:tcPr>
          <w:p w:rsidR="007A69AC" w:rsidRPr="00443CFF" w:rsidRDefault="007A69AC" w:rsidP="00443CFF">
            <w:pPr>
              <w:jc w:val="center"/>
              <w:rPr>
                <w:rFonts w:eastAsiaTheme="majorEastAsia"/>
                <w:spacing w:val="20"/>
                <w:kern w:val="0"/>
                <w:szCs w:val="24"/>
              </w:rPr>
            </w:pPr>
            <w:r w:rsidRPr="00443CFF">
              <w:rPr>
                <w:rFonts w:eastAsiaTheme="majorEastAsia"/>
                <w:spacing w:val="20"/>
                <w:kern w:val="0"/>
                <w:szCs w:val="24"/>
              </w:rPr>
              <w:t>人權保障案件性質</w:t>
            </w:r>
          </w:p>
        </w:tc>
        <w:tc>
          <w:tcPr>
            <w:tcW w:w="1551" w:type="pct"/>
            <w:tcBorders>
              <w:top w:val="nil"/>
              <w:left w:val="nil"/>
              <w:bottom w:val="single" w:sz="4" w:space="0" w:color="auto"/>
              <w:right w:val="single" w:sz="4" w:space="0" w:color="auto"/>
            </w:tcBorders>
            <w:vAlign w:val="center"/>
            <w:hideMark/>
          </w:tcPr>
          <w:p w:rsidR="007A69AC" w:rsidRPr="00443CFF" w:rsidRDefault="007A69AC" w:rsidP="00443CFF">
            <w:pPr>
              <w:jc w:val="distribute"/>
              <w:rPr>
                <w:rFonts w:eastAsiaTheme="majorEastAsia"/>
                <w:kern w:val="0"/>
                <w:szCs w:val="24"/>
              </w:rPr>
            </w:pPr>
            <w:r w:rsidRPr="00443CFF">
              <w:rPr>
                <w:rFonts w:eastAsiaTheme="majorEastAsia"/>
                <w:kern w:val="0"/>
                <w:szCs w:val="24"/>
              </w:rPr>
              <w:t>合計</w:t>
            </w:r>
          </w:p>
        </w:tc>
        <w:tc>
          <w:tcPr>
            <w:tcW w:w="1037" w:type="pct"/>
            <w:tcBorders>
              <w:top w:val="nil"/>
              <w:left w:val="nil"/>
              <w:bottom w:val="single" w:sz="4" w:space="0" w:color="auto"/>
              <w:right w:val="single" w:sz="4" w:space="0" w:color="auto"/>
            </w:tcBorders>
            <w:shd w:val="clear" w:color="auto" w:fill="auto"/>
            <w:vAlign w:val="center"/>
            <w:hideMark/>
          </w:tcPr>
          <w:p w:rsidR="007A69AC" w:rsidRPr="00443CFF" w:rsidRDefault="007A69AC" w:rsidP="00443CFF">
            <w:pPr>
              <w:jc w:val="center"/>
              <w:rPr>
                <w:rFonts w:eastAsiaTheme="majorEastAsia"/>
                <w:szCs w:val="24"/>
              </w:rPr>
            </w:pPr>
            <w:r w:rsidRPr="00443CFF">
              <w:rPr>
                <w:rFonts w:eastAsiaTheme="majorEastAsia"/>
                <w:szCs w:val="24"/>
              </w:rPr>
              <w:t>12,596</w:t>
            </w:r>
          </w:p>
        </w:tc>
        <w:tc>
          <w:tcPr>
            <w:tcW w:w="1037" w:type="pct"/>
            <w:tcBorders>
              <w:top w:val="nil"/>
              <w:left w:val="nil"/>
              <w:bottom w:val="single" w:sz="4" w:space="0" w:color="auto"/>
              <w:right w:val="single" w:sz="4" w:space="0" w:color="auto"/>
            </w:tcBorders>
            <w:shd w:val="clear" w:color="auto" w:fill="auto"/>
            <w:vAlign w:val="center"/>
          </w:tcPr>
          <w:p w:rsidR="007A69AC" w:rsidRPr="00443CFF" w:rsidRDefault="007A69AC" w:rsidP="00443CFF">
            <w:pPr>
              <w:jc w:val="center"/>
              <w:rPr>
                <w:rFonts w:eastAsiaTheme="majorEastAsia"/>
                <w:szCs w:val="24"/>
              </w:rPr>
            </w:pPr>
            <w:r w:rsidRPr="00443CFF">
              <w:rPr>
                <w:rFonts w:eastAsiaTheme="majorEastAsia"/>
                <w:szCs w:val="24"/>
              </w:rPr>
              <w:t>159</w:t>
            </w:r>
          </w:p>
        </w:tc>
        <w:tc>
          <w:tcPr>
            <w:tcW w:w="1036" w:type="pct"/>
            <w:tcBorders>
              <w:top w:val="nil"/>
              <w:left w:val="nil"/>
              <w:bottom w:val="single" w:sz="4" w:space="0" w:color="auto"/>
              <w:right w:val="single" w:sz="12" w:space="0" w:color="auto"/>
            </w:tcBorders>
            <w:vAlign w:val="center"/>
          </w:tcPr>
          <w:p w:rsidR="007A69AC" w:rsidRPr="00443CFF" w:rsidRDefault="007A69AC" w:rsidP="00443CFF">
            <w:pPr>
              <w:jc w:val="center"/>
              <w:rPr>
                <w:rFonts w:eastAsiaTheme="majorEastAsia"/>
                <w:szCs w:val="24"/>
              </w:rPr>
            </w:pPr>
            <w:r w:rsidRPr="00443CFF">
              <w:rPr>
                <w:rFonts w:eastAsiaTheme="majorEastAsia"/>
                <w:szCs w:val="24"/>
              </w:rPr>
              <w:t>65</w:t>
            </w:r>
          </w:p>
        </w:tc>
      </w:tr>
      <w:tr w:rsidR="007A69AC" w:rsidRPr="00443CFF" w:rsidTr="00443CFF">
        <w:trPr>
          <w:cantSplit/>
          <w:trHeight w:val="20"/>
        </w:trPr>
        <w:tc>
          <w:tcPr>
            <w:tcW w:w="340" w:type="pct"/>
            <w:vMerge/>
            <w:tcBorders>
              <w:top w:val="single" w:sz="4" w:space="0" w:color="auto"/>
              <w:left w:val="single" w:sz="12" w:space="0" w:color="auto"/>
              <w:bottom w:val="single" w:sz="4" w:space="0" w:color="auto"/>
              <w:right w:val="single" w:sz="4" w:space="0" w:color="auto"/>
            </w:tcBorders>
            <w:vAlign w:val="center"/>
            <w:hideMark/>
          </w:tcPr>
          <w:p w:rsidR="007A69AC" w:rsidRPr="00443CFF" w:rsidRDefault="007A69AC" w:rsidP="00443CFF">
            <w:pPr>
              <w:rPr>
                <w:rFonts w:eastAsiaTheme="majorEastAsia"/>
                <w:kern w:val="0"/>
                <w:szCs w:val="24"/>
              </w:rPr>
            </w:pPr>
          </w:p>
        </w:tc>
        <w:tc>
          <w:tcPr>
            <w:tcW w:w="1551" w:type="pct"/>
            <w:tcBorders>
              <w:top w:val="nil"/>
              <w:left w:val="nil"/>
              <w:bottom w:val="single" w:sz="4" w:space="0" w:color="auto"/>
              <w:right w:val="single" w:sz="4" w:space="0" w:color="auto"/>
            </w:tcBorders>
            <w:vAlign w:val="center"/>
            <w:hideMark/>
          </w:tcPr>
          <w:p w:rsidR="007A69AC" w:rsidRPr="00443CFF" w:rsidRDefault="007A69AC" w:rsidP="00443CFF">
            <w:pPr>
              <w:jc w:val="distribute"/>
              <w:rPr>
                <w:rFonts w:eastAsiaTheme="majorEastAsia"/>
                <w:kern w:val="0"/>
                <w:szCs w:val="24"/>
              </w:rPr>
            </w:pPr>
            <w:r w:rsidRPr="00443CFF">
              <w:rPr>
                <w:rFonts w:eastAsiaTheme="majorEastAsia"/>
                <w:kern w:val="0"/>
                <w:szCs w:val="24"/>
              </w:rPr>
              <w:t>自由權</w:t>
            </w:r>
          </w:p>
        </w:tc>
        <w:tc>
          <w:tcPr>
            <w:tcW w:w="1037" w:type="pct"/>
            <w:tcBorders>
              <w:top w:val="nil"/>
              <w:left w:val="nil"/>
              <w:bottom w:val="single" w:sz="4" w:space="0" w:color="auto"/>
              <w:right w:val="single" w:sz="4" w:space="0" w:color="auto"/>
            </w:tcBorders>
            <w:shd w:val="clear" w:color="auto" w:fill="auto"/>
            <w:vAlign w:val="center"/>
          </w:tcPr>
          <w:p w:rsidR="007A69AC" w:rsidRPr="00443CFF" w:rsidRDefault="007A69AC" w:rsidP="00443CFF">
            <w:pPr>
              <w:jc w:val="center"/>
              <w:rPr>
                <w:rFonts w:eastAsiaTheme="majorEastAsia"/>
                <w:szCs w:val="24"/>
              </w:rPr>
            </w:pPr>
            <w:r w:rsidRPr="00443CFF">
              <w:rPr>
                <w:rFonts w:eastAsiaTheme="majorEastAsia"/>
                <w:szCs w:val="24"/>
              </w:rPr>
              <w:t>87</w:t>
            </w:r>
          </w:p>
        </w:tc>
        <w:tc>
          <w:tcPr>
            <w:tcW w:w="1037" w:type="pct"/>
            <w:tcBorders>
              <w:top w:val="nil"/>
              <w:left w:val="nil"/>
              <w:bottom w:val="single" w:sz="4" w:space="0" w:color="auto"/>
              <w:right w:val="single" w:sz="4" w:space="0" w:color="auto"/>
            </w:tcBorders>
            <w:shd w:val="clear" w:color="auto" w:fill="auto"/>
            <w:vAlign w:val="center"/>
          </w:tcPr>
          <w:p w:rsidR="007A69AC" w:rsidRPr="00443CFF" w:rsidRDefault="007A69AC" w:rsidP="00443CFF">
            <w:pPr>
              <w:jc w:val="center"/>
              <w:rPr>
                <w:rFonts w:eastAsiaTheme="majorEastAsia"/>
                <w:szCs w:val="24"/>
              </w:rPr>
            </w:pPr>
            <w:r w:rsidRPr="00443CFF">
              <w:rPr>
                <w:rFonts w:eastAsiaTheme="majorEastAsia"/>
                <w:szCs w:val="24"/>
              </w:rPr>
              <w:t>12</w:t>
            </w:r>
          </w:p>
        </w:tc>
        <w:tc>
          <w:tcPr>
            <w:tcW w:w="1036" w:type="pct"/>
            <w:tcBorders>
              <w:top w:val="nil"/>
              <w:left w:val="nil"/>
              <w:bottom w:val="single" w:sz="4" w:space="0" w:color="auto"/>
              <w:right w:val="single" w:sz="12" w:space="0" w:color="auto"/>
            </w:tcBorders>
            <w:vAlign w:val="center"/>
          </w:tcPr>
          <w:p w:rsidR="007A69AC" w:rsidRPr="00443CFF" w:rsidRDefault="007A69AC" w:rsidP="00443CFF">
            <w:pPr>
              <w:jc w:val="center"/>
              <w:rPr>
                <w:rFonts w:eastAsiaTheme="majorEastAsia"/>
                <w:szCs w:val="24"/>
              </w:rPr>
            </w:pPr>
            <w:r w:rsidRPr="00443CFF">
              <w:rPr>
                <w:rFonts w:eastAsiaTheme="majorEastAsia"/>
                <w:szCs w:val="24"/>
              </w:rPr>
              <w:t>4</w:t>
            </w:r>
          </w:p>
        </w:tc>
      </w:tr>
      <w:tr w:rsidR="007A69AC" w:rsidRPr="00443CFF" w:rsidTr="00443CFF">
        <w:trPr>
          <w:cantSplit/>
          <w:trHeight w:val="20"/>
        </w:trPr>
        <w:tc>
          <w:tcPr>
            <w:tcW w:w="340" w:type="pct"/>
            <w:vMerge/>
            <w:tcBorders>
              <w:top w:val="single" w:sz="4" w:space="0" w:color="auto"/>
              <w:left w:val="single" w:sz="12" w:space="0" w:color="auto"/>
              <w:bottom w:val="single" w:sz="4" w:space="0" w:color="auto"/>
              <w:right w:val="single" w:sz="4" w:space="0" w:color="auto"/>
            </w:tcBorders>
            <w:vAlign w:val="center"/>
            <w:hideMark/>
          </w:tcPr>
          <w:p w:rsidR="007A69AC" w:rsidRPr="00443CFF" w:rsidRDefault="007A69AC" w:rsidP="00443CFF">
            <w:pPr>
              <w:rPr>
                <w:rFonts w:eastAsiaTheme="majorEastAsia"/>
                <w:kern w:val="0"/>
                <w:szCs w:val="24"/>
              </w:rPr>
            </w:pPr>
          </w:p>
        </w:tc>
        <w:tc>
          <w:tcPr>
            <w:tcW w:w="1551" w:type="pct"/>
            <w:tcBorders>
              <w:top w:val="nil"/>
              <w:left w:val="nil"/>
              <w:bottom w:val="single" w:sz="4" w:space="0" w:color="auto"/>
              <w:right w:val="single" w:sz="4" w:space="0" w:color="auto"/>
            </w:tcBorders>
            <w:vAlign w:val="center"/>
            <w:hideMark/>
          </w:tcPr>
          <w:p w:rsidR="007A69AC" w:rsidRPr="00443CFF" w:rsidRDefault="007A69AC" w:rsidP="00443CFF">
            <w:pPr>
              <w:jc w:val="distribute"/>
              <w:rPr>
                <w:rFonts w:eastAsiaTheme="majorEastAsia"/>
                <w:kern w:val="0"/>
                <w:szCs w:val="24"/>
              </w:rPr>
            </w:pPr>
            <w:r w:rsidRPr="00443CFF">
              <w:rPr>
                <w:rFonts w:eastAsiaTheme="majorEastAsia"/>
                <w:kern w:val="0"/>
                <w:szCs w:val="24"/>
              </w:rPr>
              <w:t>平等權</w:t>
            </w:r>
          </w:p>
        </w:tc>
        <w:tc>
          <w:tcPr>
            <w:tcW w:w="1037" w:type="pct"/>
            <w:tcBorders>
              <w:top w:val="nil"/>
              <w:left w:val="nil"/>
              <w:bottom w:val="single" w:sz="4" w:space="0" w:color="auto"/>
              <w:right w:val="single" w:sz="4" w:space="0" w:color="auto"/>
            </w:tcBorders>
            <w:shd w:val="clear" w:color="auto" w:fill="auto"/>
            <w:vAlign w:val="center"/>
          </w:tcPr>
          <w:p w:rsidR="007A69AC" w:rsidRPr="00443CFF" w:rsidRDefault="007A69AC" w:rsidP="00443CFF">
            <w:pPr>
              <w:jc w:val="center"/>
              <w:rPr>
                <w:rFonts w:eastAsiaTheme="majorEastAsia"/>
                <w:szCs w:val="24"/>
              </w:rPr>
            </w:pPr>
            <w:r w:rsidRPr="00443CFF">
              <w:rPr>
                <w:rFonts w:eastAsiaTheme="majorEastAsia"/>
                <w:szCs w:val="24"/>
              </w:rPr>
              <w:t>23</w:t>
            </w:r>
          </w:p>
        </w:tc>
        <w:tc>
          <w:tcPr>
            <w:tcW w:w="1037" w:type="pct"/>
            <w:tcBorders>
              <w:top w:val="nil"/>
              <w:left w:val="nil"/>
              <w:bottom w:val="single" w:sz="4" w:space="0" w:color="auto"/>
              <w:right w:val="single" w:sz="4" w:space="0" w:color="auto"/>
            </w:tcBorders>
            <w:shd w:val="clear" w:color="auto" w:fill="auto"/>
            <w:vAlign w:val="center"/>
          </w:tcPr>
          <w:p w:rsidR="007A69AC" w:rsidRPr="00443CFF" w:rsidRDefault="007A69AC" w:rsidP="00443CFF">
            <w:pPr>
              <w:jc w:val="center"/>
              <w:rPr>
                <w:rFonts w:eastAsiaTheme="majorEastAsia"/>
                <w:szCs w:val="24"/>
              </w:rPr>
            </w:pPr>
            <w:r w:rsidRPr="00443CFF">
              <w:rPr>
                <w:rFonts w:eastAsiaTheme="majorEastAsia"/>
                <w:szCs w:val="24"/>
              </w:rPr>
              <w:t>2</w:t>
            </w:r>
          </w:p>
        </w:tc>
        <w:tc>
          <w:tcPr>
            <w:tcW w:w="1036" w:type="pct"/>
            <w:tcBorders>
              <w:top w:val="nil"/>
              <w:left w:val="nil"/>
              <w:bottom w:val="single" w:sz="4" w:space="0" w:color="auto"/>
              <w:right w:val="single" w:sz="12" w:space="0" w:color="auto"/>
            </w:tcBorders>
            <w:vAlign w:val="center"/>
          </w:tcPr>
          <w:p w:rsidR="007A69AC" w:rsidRPr="00443CFF" w:rsidRDefault="007A69AC" w:rsidP="00443CFF">
            <w:pPr>
              <w:jc w:val="center"/>
              <w:rPr>
                <w:rFonts w:eastAsiaTheme="majorEastAsia"/>
                <w:szCs w:val="24"/>
              </w:rPr>
            </w:pPr>
            <w:r w:rsidRPr="00443CFF">
              <w:rPr>
                <w:rFonts w:eastAsiaTheme="majorEastAsia"/>
                <w:szCs w:val="24"/>
              </w:rPr>
              <w:t>0</w:t>
            </w:r>
          </w:p>
        </w:tc>
      </w:tr>
      <w:tr w:rsidR="007A69AC" w:rsidRPr="00443CFF" w:rsidTr="00443CFF">
        <w:trPr>
          <w:cantSplit/>
          <w:trHeight w:val="20"/>
        </w:trPr>
        <w:tc>
          <w:tcPr>
            <w:tcW w:w="340" w:type="pct"/>
            <w:vMerge/>
            <w:tcBorders>
              <w:top w:val="single" w:sz="4" w:space="0" w:color="auto"/>
              <w:left w:val="single" w:sz="12" w:space="0" w:color="auto"/>
              <w:bottom w:val="single" w:sz="4" w:space="0" w:color="auto"/>
              <w:right w:val="single" w:sz="4" w:space="0" w:color="auto"/>
            </w:tcBorders>
            <w:vAlign w:val="center"/>
            <w:hideMark/>
          </w:tcPr>
          <w:p w:rsidR="007A69AC" w:rsidRPr="00443CFF" w:rsidRDefault="007A69AC" w:rsidP="00443CFF">
            <w:pPr>
              <w:rPr>
                <w:rFonts w:eastAsiaTheme="majorEastAsia"/>
                <w:kern w:val="0"/>
                <w:szCs w:val="24"/>
              </w:rPr>
            </w:pPr>
          </w:p>
        </w:tc>
        <w:tc>
          <w:tcPr>
            <w:tcW w:w="1551" w:type="pct"/>
            <w:tcBorders>
              <w:top w:val="nil"/>
              <w:left w:val="nil"/>
              <w:bottom w:val="single" w:sz="4" w:space="0" w:color="auto"/>
              <w:right w:val="single" w:sz="4" w:space="0" w:color="auto"/>
            </w:tcBorders>
            <w:vAlign w:val="center"/>
            <w:hideMark/>
          </w:tcPr>
          <w:p w:rsidR="007A69AC" w:rsidRPr="00443CFF" w:rsidRDefault="007A69AC" w:rsidP="00443CFF">
            <w:pPr>
              <w:jc w:val="distribute"/>
              <w:rPr>
                <w:rFonts w:eastAsiaTheme="majorEastAsia"/>
                <w:kern w:val="0"/>
                <w:szCs w:val="24"/>
              </w:rPr>
            </w:pPr>
            <w:r w:rsidRPr="00443CFF">
              <w:rPr>
                <w:rFonts w:eastAsiaTheme="majorEastAsia"/>
                <w:kern w:val="0"/>
                <w:szCs w:val="24"/>
              </w:rPr>
              <w:t>參政權</w:t>
            </w:r>
          </w:p>
        </w:tc>
        <w:tc>
          <w:tcPr>
            <w:tcW w:w="1037" w:type="pct"/>
            <w:tcBorders>
              <w:top w:val="nil"/>
              <w:left w:val="nil"/>
              <w:bottom w:val="single" w:sz="4" w:space="0" w:color="auto"/>
              <w:right w:val="single" w:sz="4" w:space="0" w:color="auto"/>
            </w:tcBorders>
            <w:shd w:val="clear" w:color="auto" w:fill="auto"/>
            <w:vAlign w:val="center"/>
          </w:tcPr>
          <w:p w:rsidR="007A69AC" w:rsidRPr="00443CFF" w:rsidRDefault="007A69AC" w:rsidP="00443CFF">
            <w:pPr>
              <w:jc w:val="center"/>
              <w:rPr>
                <w:rFonts w:eastAsiaTheme="majorEastAsia"/>
                <w:szCs w:val="24"/>
              </w:rPr>
            </w:pPr>
            <w:r w:rsidRPr="00443CFF">
              <w:rPr>
                <w:rFonts w:eastAsiaTheme="majorEastAsia"/>
                <w:szCs w:val="24"/>
              </w:rPr>
              <w:t>432</w:t>
            </w:r>
          </w:p>
        </w:tc>
        <w:tc>
          <w:tcPr>
            <w:tcW w:w="1037" w:type="pct"/>
            <w:tcBorders>
              <w:top w:val="nil"/>
              <w:left w:val="nil"/>
              <w:bottom w:val="single" w:sz="4" w:space="0" w:color="auto"/>
              <w:right w:val="single" w:sz="4" w:space="0" w:color="auto"/>
            </w:tcBorders>
            <w:shd w:val="clear" w:color="auto" w:fill="auto"/>
            <w:vAlign w:val="center"/>
          </w:tcPr>
          <w:p w:rsidR="007A69AC" w:rsidRPr="00443CFF" w:rsidRDefault="007A69AC" w:rsidP="00443CFF">
            <w:pPr>
              <w:jc w:val="center"/>
              <w:rPr>
                <w:rFonts w:eastAsiaTheme="majorEastAsia"/>
                <w:szCs w:val="24"/>
              </w:rPr>
            </w:pPr>
            <w:r w:rsidRPr="00443CFF">
              <w:rPr>
                <w:rFonts w:eastAsiaTheme="majorEastAsia"/>
                <w:szCs w:val="24"/>
              </w:rPr>
              <w:t>0</w:t>
            </w:r>
          </w:p>
        </w:tc>
        <w:tc>
          <w:tcPr>
            <w:tcW w:w="1036" w:type="pct"/>
            <w:tcBorders>
              <w:top w:val="nil"/>
              <w:left w:val="nil"/>
              <w:bottom w:val="single" w:sz="4" w:space="0" w:color="auto"/>
              <w:right w:val="single" w:sz="12" w:space="0" w:color="auto"/>
            </w:tcBorders>
            <w:vAlign w:val="center"/>
          </w:tcPr>
          <w:p w:rsidR="007A69AC" w:rsidRPr="00443CFF" w:rsidRDefault="007A69AC" w:rsidP="00443CFF">
            <w:pPr>
              <w:jc w:val="center"/>
              <w:rPr>
                <w:rFonts w:eastAsiaTheme="majorEastAsia"/>
                <w:szCs w:val="24"/>
              </w:rPr>
            </w:pPr>
            <w:r w:rsidRPr="00443CFF">
              <w:rPr>
                <w:rFonts w:eastAsiaTheme="majorEastAsia"/>
                <w:szCs w:val="24"/>
              </w:rPr>
              <w:t>0</w:t>
            </w:r>
          </w:p>
        </w:tc>
      </w:tr>
      <w:tr w:rsidR="007A69AC" w:rsidRPr="00443CFF" w:rsidTr="00443CFF">
        <w:trPr>
          <w:cantSplit/>
          <w:trHeight w:val="20"/>
        </w:trPr>
        <w:tc>
          <w:tcPr>
            <w:tcW w:w="340" w:type="pct"/>
            <w:vMerge/>
            <w:tcBorders>
              <w:top w:val="single" w:sz="4" w:space="0" w:color="auto"/>
              <w:left w:val="single" w:sz="12" w:space="0" w:color="auto"/>
              <w:bottom w:val="single" w:sz="4" w:space="0" w:color="auto"/>
              <w:right w:val="single" w:sz="4" w:space="0" w:color="auto"/>
            </w:tcBorders>
            <w:vAlign w:val="center"/>
            <w:hideMark/>
          </w:tcPr>
          <w:p w:rsidR="007A69AC" w:rsidRPr="00443CFF" w:rsidRDefault="007A69AC" w:rsidP="00443CFF">
            <w:pPr>
              <w:rPr>
                <w:rFonts w:eastAsiaTheme="majorEastAsia"/>
                <w:kern w:val="0"/>
                <w:szCs w:val="24"/>
              </w:rPr>
            </w:pPr>
          </w:p>
        </w:tc>
        <w:tc>
          <w:tcPr>
            <w:tcW w:w="1551" w:type="pct"/>
            <w:tcBorders>
              <w:top w:val="nil"/>
              <w:left w:val="nil"/>
              <w:bottom w:val="single" w:sz="4" w:space="0" w:color="auto"/>
              <w:right w:val="single" w:sz="4" w:space="0" w:color="auto"/>
            </w:tcBorders>
            <w:vAlign w:val="center"/>
            <w:hideMark/>
          </w:tcPr>
          <w:p w:rsidR="007A69AC" w:rsidRPr="00443CFF" w:rsidRDefault="007A69AC" w:rsidP="00443CFF">
            <w:pPr>
              <w:jc w:val="distribute"/>
              <w:rPr>
                <w:rFonts w:eastAsiaTheme="majorEastAsia"/>
                <w:kern w:val="0"/>
                <w:szCs w:val="24"/>
              </w:rPr>
            </w:pPr>
            <w:r w:rsidRPr="00443CFF">
              <w:rPr>
                <w:rFonts w:eastAsiaTheme="majorEastAsia"/>
                <w:kern w:val="0"/>
                <w:szCs w:val="24"/>
              </w:rPr>
              <w:t>司法正義</w:t>
            </w:r>
          </w:p>
        </w:tc>
        <w:tc>
          <w:tcPr>
            <w:tcW w:w="1037" w:type="pct"/>
            <w:tcBorders>
              <w:top w:val="nil"/>
              <w:left w:val="nil"/>
              <w:bottom w:val="single" w:sz="4" w:space="0" w:color="auto"/>
              <w:right w:val="single" w:sz="4" w:space="0" w:color="auto"/>
            </w:tcBorders>
            <w:shd w:val="clear" w:color="auto" w:fill="auto"/>
            <w:vAlign w:val="center"/>
          </w:tcPr>
          <w:p w:rsidR="007A69AC" w:rsidRPr="00443CFF" w:rsidRDefault="007A69AC" w:rsidP="00443CFF">
            <w:pPr>
              <w:jc w:val="center"/>
              <w:rPr>
                <w:rFonts w:eastAsiaTheme="majorEastAsia"/>
                <w:szCs w:val="24"/>
              </w:rPr>
            </w:pPr>
            <w:r w:rsidRPr="00443CFF">
              <w:rPr>
                <w:rFonts w:eastAsiaTheme="majorEastAsia"/>
                <w:szCs w:val="24"/>
              </w:rPr>
              <w:t>5,637</w:t>
            </w:r>
          </w:p>
        </w:tc>
        <w:tc>
          <w:tcPr>
            <w:tcW w:w="1037" w:type="pct"/>
            <w:tcBorders>
              <w:top w:val="nil"/>
              <w:left w:val="nil"/>
              <w:bottom w:val="single" w:sz="4" w:space="0" w:color="auto"/>
              <w:right w:val="single" w:sz="4" w:space="0" w:color="auto"/>
            </w:tcBorders>
            <w:shd w:val="clear" w:color="auto" w:fill="auto"/>
            <w:vAlign w:val="center"/>
          </w:tcPr>
          <w:p w:rsidR="007A69AC" w:rsidRPr="00443CFF" w:rsidRDefault="007A69AC" w:rsidP="00443CFF">
            <w:pPr>
              <w:jc w:val="center"/>
              <w:rPr>
                <w:rFonts w:eastAsiaTheme="majorEastAsia"/>
                <w:szCs w:val="24"/>
              </w:rPr>
            </w:pPr>
            <w:r w:rsidRPr="00443CFF">
              <w:rPr>
                <w:rFonts w:eastAsiaTheme="majorEastAsia"/>
                <w:szCs w:val="24"/>
              </w:rPr>
              <w:t>30</w:t>
            </w:r>
          </w:p>
        </w:tc>
        <w:tc>
          <w:tcPr>
            <w:tcW w:w="1036" w:type="pct"/>
            <w:tcBorders>
              <w:top w:val="nil"/>
              <w:left w:val="nil"/>
              <w:bottom w:val="single" w:sz="4" w:space="0" w:color="auto"/>
              <w:right w:val="single" w:sz="12" w:space="0" w:color="auto"/>
            </w:tcBorders>
            <w:vAlign w:val="center"/>
          </w:tcPr>
          <w:p w:rsidR="007A69AC" w:rsidRPr="00443CFF" w:rsidRDefault="007A69AC" w:rsidP="00443CFF">
            <w:pPr>
              <w:jc w:val="center"/>
              <w:rPr>
                <w:rFonts w:eastAsiaTheme="majorEastAsia"/>
                <w:szCs w:val="24"/>
              </w:rPr>
            </w:pPr>
            <w:r w:rsidRPr="00443CFF">
              <w:rPr>
                <w:rFonts w:eastAsiaTheme="majorEastAsia"/>
                <w:szCs w:val="24"/>
              </w:rPr>
              <w:t>12</w:t>
            </w:r>
          </w:p>
        </w:tc>
      </w:tr>
      <w:tr w:rsidR="007A69AC" w:rsidRPr="00443CFF" w:rsidTr="00443CFF">
        <w:trPr>
          <w:cantSplit/>
          <w:trHeight w:val="20"/>
        </w:trPr>
        <w:tc>
          <w:tcPr>
            <w:tcW w:w="340" w:type="pct"/>
            <w:vMerge/>
            <w:tcBorders>
              <w:top w:val="single" w:sz="4" w:space="0" w:color="auto"/>
              <w:left w:val="single" w:sz="12" w:space="0" w:color="auto"/>
              <w:bottom w:val="single" w:sz="4" w:space="0" w:color="auto"/>
              <w:right w:val="single" w:sz="4" w:space="0" w:color="auto"/>
            </w:tcBorders>
            <w:vAlign w:val="center"/>
          </w:tcPr>
          <w:p w:rsidR="007A69AC" w:rsidRPr="00443CFF" w:rsidRDefault="007A69AC" w:rsidP="00443CFF">
            <w:pPr>
              <w:rPr>
                <w:rFonts w:eastAsiaTheme="majorEastAsia"/>
                <w:kern w:val="0"/>
                <w:szCs w:val="24"/>
              </w:rPr>
            </w:pPr>
          </w:p>
        </w:tc>
        <w:tc>
          <w:tcPr>
            <w:tcW w:w="1551" w:type="pct"/>
            <w:tcBorders>
              <w:top w:val="nil"/>
              <w:left w:val="nil"/>
              <w:bottom w:val="single" w:sz="4" w:space="0" w:color="auto"/>
              <w:right w:val="single" w:sz="4" w:space="0" w:color="auto"/>
            </w:tcBorders>
            <w:vAlign w:val="center"/>
          </w:tcPr>
          <w:p w:rsidR="007A69AC" w:rsidRPr="00443CFF" w:rsidRDefault="007A69AC" w:rsidP="00443CFF">
            <w:pPr>
              <w:jc w:val="distribute"/>
              <w:rPr>
                <w:rFonts w:eastAsiaTheme="majorEastAsia"/>
                <w:kern w:val="0"/>
                <w:szCs w:val="24"/>
              </w:rPr>
            </w:pPr>
            <w:r w:rsidRPr="00443CFF">
              <w:rPr>
                <w:rFonts w:eastAsiaTheme="majorEastAsia"/>
                <w:kern w:val="0"/>
                <w:szCs w:val="24"/>
              </w:rPr>
              <w:t>生存</w:t>
            </w:r>
            <w:r w:rsidRPr="00443CFF">
              <w:rPr>
                <w:rFonts w:eastAsiaTheme="majorEastAsia"/>
                <w:kern w:val="0"/>
                <w:szCs w:val="24"/>
                <w:lang w:eastAsia="zh-HK"/>
              </w:rPr>
              <w:t>及</w:t>
            </w:r>
            <w:r w:rsidRPr="00443CFF">
              <w:rPr>
                <w:rFonts w:eastAsiaTheme="majorEastAsia"/>
                <w:kern w:val="0"/>
                <w:szCs w:val="24"/>
              </w:rPr>
              <w:t>健康權</w:t>
            </w:r>
          </w:p>
        </w:tc>
        <w:tc>
          <w:tcPr>
            <w:tcW w:w="1037" w:type="pct"/>
            <w:tcBorders>
              <w:top w:val="nil"/>
              <w:left w:val="nil"/>
              <w:bottom w:val="single" w:sz="4" w:space="0" w:color="auto"/>
              <w:right w:val="single" w:sz="4" w:space="0" w:color="auto"/>
            </w:tcBorders>
            <w:shd w:val="clear" w:color="auto" w:fill="auto"/>
            <w:vAlign w:val="center"/>
          </w:tcPr>
          <w:p w:rsidR="007A69AC" w:rsidRPr="00443CFF" w:rsidRDefault="007A69AC" w:rsidP="00443CFF">
            <w:pPr>
              <w:jc w:val="center"/>
              <w:rPr>
                <w:rFonts w:eastAsiaTheme="majorEastAsia"/>
                <w:szCs w:val="24"/>
              </w:rPr>
            </w:pPr>
            <w:r w:rsidRPr="00443CFF">
              <w:rPr>
                <w:rFonts w:eastAsiaTheme="majorEastAsia"/>
                <w:szCs w:val="24"/>
              </w:rPr>
              <w:t>466</w:t>
            </w:r>
          </w:p>
        </w:tc>
        <w:tc>
          <w:tcPr>
            <w:tcW w:w="1037" w:type="pct"/>
            <w:tcBorders>
              <w:top w:val="nil"/>
              <w:left w:val="nil"/>
              <w:bottom w:val="single" w:sz="4" w:space="0" w:color="auto"/>
              <w:right w:val="single" w:sz="4" w:space="0" w:color="auto"/>
            </w:tcBorders>
            <w:shd w:val="clear" w:color="auto" w:fill="auto"/>
            <w:vAlign w:val="center"/>
          </w:tcPr>
          <w:p w:rsidR="007A69AC" w:rsidRPr="00443CFF" w:rsidRDefault="007A69AC" w:rsidP="00443CFF">
            <w:pPr>
              <w:jc w:val="center"/>
              <w:rPr>
                <w:rFonts w:eastAsiaTheme="majorEastAsia"/>
                <w:szCs w:val="24"/>
              </w:rPr>
            </w:pPr>
            <w:r w:rsidRPr="00443CFF">
              <w:rPr>
                <w:rFonts w:eastAsiaTheme="majorEastAsia"/>
                <w:szCs w:val="24"/>
              </w:rPr>
              <w:t>31</w:t>
            </w:r>
          </w:p>
        </w:tc>
        <w:tc>
          <w:tcPr>
            <w:tcW w:w="1036" w:type="pct"/>
            <w:tcBorders>
              <w:top w:val="nil"/>
              <w:left w:val="nil"/>
              <w:bottom w:val="single" w:sz="4" w:space="0" w:color="auto"/>
              <w:right w:val="single" w:sz="12" w:space="0" w:color="auto"/>
            </w:tcBorders>
            <w:vAlign w:val="center"/>
          </w:tcPr>
          <w:p w:rsidR="007A69AC" w:rsidRPr="00443CFF" w:rsidRDefault="007A69AC" w:rsidP="00443CFF">
            <w:pPr>
              <w:jc w:val="center"/>
              <w:rPr>
                <w:rFonts w:eastAsiaTheme="majorEastAsia"/>
                <w:szCs w:val="24"/>
              </w:rPr>
            </w:pPr>
            <w:r w:rsidRPr="00443CFF">
              <w:rPr>
                <w:rFonts w:eastAsiaTheme="majorEastAsia"/>
                <w:szCs w:val="24"/>
              </w:rPr>
              <w:t>17</w:t>
            </w:r>
          </w:p>
        </w:tc>
      </w:tr>
      <w:tr w:rsidR="007A69AC" w:rsidRPr="00443CFF" w:rsidTr="00443CFF">
        <w:trPr>
          <w:cantSplit/>
          <w:trHeight w:val="20"/>
        </w:trPr>
        <w:tc>
          <w:tcPr>
            <w:tcW w:w="340" w:type="pct"/>
            <w:vMerge/>
            <w:tcBorders>
              <w:top w:val="single" w:sz="4" w:space="0" w:color="auto"/>
              <w:left w:val="single" w:sz="12" w:space="0" w:color="auto"/>
              <w:bottom w:val="single" w:sz="4" w:space="0" w:color="auto"/>
              <w:right w:val="single" w:sz="4" w:space="0" w:color="auto"/>
            </w:tcBorders>
            <w:vAlign w:val="center"/>
            <w:hideMark/>
          </w:tcPr>
          <w:p w:rsidR="007A69AC" w:rsidRPr="00443CFF" w:rsidRDefault="007A69AC" w:rsidP="00443CFF">
            <w:pPr>
              <w:rPr>
                <w:rFonts w:eastAsiaTheme="majorEastAsia"/>
                <w:kern w:val="0"/>
                <w:szCs w:val="24"/>
              </w:rPr>
            </w:pPr>
          </w:p>
        </w:tc>
        <w:tc>
          <w:tcPr>
            <w:tcW w:w="1551" w:type="pct"/>
            <w:tcBorders>
              <w:top w:val="nil"/>
              <w:left w:val="nil"/>
              <w:bottom w:val="single" w:sz="4" w:space="0" w:color="auto"/>
              <w:right w:val="single" w:sz="4" w:space="0" w:color="auto"/>
            </w:tcBorders>
            <w:vAlign w:val="center"/>
            <w:hideMark/>
          </w:tcPr>
          <w:p w:rsidR="007A69AC" w:rsidRPr="00443CFF" w:rsidRDefault="007A69AC" w:rsidP="00443CFF">
            <w:pPr>
              <w:jc w:val="distribute"/>
              <w:rPr>
                <w:rFonts w:eastAsiaTheme="majorEastAsia"/>
                <w:kern w:val="0"/>
                <w:szCs w:val="24"/>
              </w:rPr>
            </w:pPr>
            <w:r w:rsidRPr="00443CFF">
              <w:rPr>
                <w:rFonts w:eastAsiaTheme="majorEastAsia"/>
                <w:kern w:val="0"/>
                <w:szCs w:val="24"/>
              </w:rPr>
              <w:t>工作權</w:t>
            </w:r>
          </w:p>
        </w:tc>
        <w:tc>
          <w:tcPr>
            <w:tcW w:w="1037" w:type="pct"/>
            <w:tcBorders>
              <w:top w:val="nil"/>
              <w:left w:val="nil"/>
              <w:bottom w:val="single" w:sz="4" w:space="0" w:color="auto"/>
              <w:right w:val="single" w:sz="4" w:space="0" w:color="auto"/>
            </w:tcBorders>
            <w:shd w:val="clear" w:color="auto" w:fill="auto"/>
            <w:vAlign w:val="center"/>
          </w:tcPr>
          <w:p w:rsidR="007A69AC" w:rsidRPr="00443CFF" w:rsidRDefault="007A69AC" w:rsidP="00443CFF">
            <w:pPr>
              <w:jc w:val="center"/>
              <w:rPr>
                <w:rFonts w:eastAsiaTheme="majorEastAsia"/>
                <w:szCs w:val="24"/>
              </w:rPr>
            </w:pPr>
            <w:r w:rsidRPr="00443CFF">
              <w:rPr>
                <w:rFonts w:eastAsiaTheme="majorEastAsia"/>
                <w:szCs w:val="24"/>
              </w:rPr>
              <w:t>1,291</w:t>
            </w:r>
          </w:p>
        </w:tc>
        <w:tc>
          <w:tcPr>
            <w:tcW w:w="1037" w:type="pct"/>
            <w:tcBorders>
              <w:top w:val="nil"/>
              <w:left w:val="nil"/>
              <w:bottom w:val="single" w:sz="4" w:space="0" w:color="auto"/>
              <w:right w:val="single" w:sz="4" w:space="0" w:color="auto"/>
            </w:tcBorders>
            <w:shd w:val="clear" w:color="auto" w:fill="auto"/>
            <w:vAlign w:val="center"/>
          </w:tcPr>
          <w:p w:rsidR="007A69AC" w:rsidRPr="00443CFF" w:rsidRDefault="007A69AC" w:rsidP="00443CFF">
            <w:pPr>
              <w:jc w:val="center"/>
              <w:rPr>
                <w:rFonts w:eastAsiaTheme="majorEastAsia"/>
                <w:szCs w:val="24"/>
              </w:rPr>
            </w:pPr>
            <w:r w:rsidRPr="00443CFF">
              <w:rPr>
                <w:rFonts w:eastAsiaTheme="majorEastAsia"/>
                <w:szCs w:val="24"/>
              </w:rPr>
              <w:t>20</w:t>
            </w:r>
          </w:p>
        </w:tc>
        <w:tc>
          <w:tcPr>
            <w:tcW w:w="1036" w:type="pct"/>
            <w:tcBorders>
              <w:top w:val="nil"/>
              <w:left w:val="nil"/>
              <w:bottom w:val="single" w:sz="4" w:space="0" w:color="auto"/>
              <w:right w:val="single" w:sz="12" w:space="0" w:color="auto"/>
            </w:tcBorders>
            <w:vAlign w:val="center"/>
          </w:tcPr>
          <w:p w:rsidR="007A69AC" w:rsidRPr="00443CFF" w:rsidRDefault="007A69AC" w:rsidP="00443CFF">
            <w:pPr>
              <w:jc w:val="center"/>
              <w:rPr>
                <w:rFonts w:eastAsiaTheme="majorEastAsia"/>
                <w:szCs w:val="24"/>
              </w:rPr>
            </w:pPr>
            <w:r w:rsidRPr="00443CFF">
              <w:rPr>
                <w:rFonts w:eastAsiaTheme="majorEastAsia"/>
                <w:szCs w:val="24"/>
              </w:rPr>
              <w:t>4</w:t>
            </w:r>
          </w:p>
        </w:tc>
      </w:tr>
      <w:tr w:rsidR="007A69AC" w:rsidRPr="00443CFF" w:rsidTr="00443CFF">
        <w:trPr>
          <w:cantSplit/>
          <w:trHeight w:val="20"/>
        </w:trPr>
        <w:tc>
          <w:tcPr>
            <w:tcW w:w="340" w:type="pct"/>
            <w:vMerge/>
            <w:tcBorders>
              <w:top w:val="single" w:sz="4" w:space="0" w:color="auto"/>
              <w:left w:val="single" w:sz="12" w:space="0" w:color="auto"/>
              <w:bottom w:val="single" w:sz="4" w:space="0" w:color="auto"/>
              <w:right w:val="single" w:sz="4" w:space="0" w:color="auto"/>
            </w:tcBorders>
            <w:vAlign w:val="center"/>
          </w:tcPr>
          <w:p w:rsidR="007A69AC" w:rsidRPr="00443CFF" w:rsidRDefault="007A69AC" w:rsidP="00443CFF">
            <w:pPr>
              <w:rPr>
                <w:rFonts w:eastAsiaTheme="majorEastAsia"/>
                <w:kern w:val="0"/>
                <w:szCs w:val="24"/>
              </w:rPr>
            </w:pPr>
          </w:p>
        </w:tc>
        <w:tc>
          <w:tcPr>
            <w:tcW w:w="1551" w:type="pct"/>
            <w:tcBorders>
              <w:top w:val="nil"/>
              <w:left w:val="nil"/>
              <w:bottom w:val="single" w:sz="4" w:space="0" w:color="auto"/>
              <w:right w:val="single" w:sz="4" w:space="0" w:color="auto"/>
            </w:tcBorders>
            <w:vAlign w:val="center"/>
          </w:tcPr>
          <w:p w:rsidR="007A69AC" w:rsidRPr="00443CFF" w:rsidRDefault="007A69AC" w:rsidP="00443CFF">
            <w:pPr>
              <w:jc w:val="distribute"/>
              <w:rPr>
                <w:rFonts w:eastAsiaTheme="majorEastAsia"/>
                <w:kern w:val="0"/>
                <w:szCs w:val="24"/>
              </w:rPr>
            </w:pPr>
            <w:r w:rsidRPr="00443CFF">
              <w:rPr>
                <w:rFonts w:eastAsiaTheme="majorEastAsia"/>
                <w:kern w:val="0"/>
                <w:szCs w:val="24"/>
              </w:rPr>
              <w:t>財產權</w:t>
            </w:r>
          </w:p>
        </w:tc>
        <w:tc>
          <w:tcPr>
            <w:tcW w:w="1037" w:type="pct"/>
            <w:tcBorders>
              <w:top w:val="nil"/>
              <w:left w:val="nil"/>
              <w:bottom w:val="single" w:sz="4" w:space="0" w:color="auto"/>
              <w:right w:val="single" w:sz="4" w:space="0" w:color="auto"/>
            </w:tcBorders>
            <w:shd w:val="clear" w:color="auto" w:fill="auto"/>
            <w:vAlign w:val="center"/>
          </w:tcPr>
          <w:p w:rsidR="007A69AC" w:rsidRPr="00443CFF" w:rsidRDefault="007A69AC" w:rsidP="00443CFF">
            <w:pPr>
              <w:jc w:val="center"/>
              <w:rPr>
                <w:rFonts w:eastAsiaTheme="majorEastAsia"/>
                <w:szCs w:val="24"/>
              </w:rPr>
            </w:pPr>
            <w:r w:rsidRPr="00443CFF">
              <w:rPr>
                <w:rFonts w:eastAsiaTheme="majorEastAsia"/>
                <w:szCs w:val="24"/>
              </w:rPr>
              <w:t>3,018</w:t>
            </w:r>
          </w:p>
        </w:tc>
        <w:tc>
          <w:tcPr>
            <w:tcW w:w="1037" w:type="pct"/>
            <w:tcBorders>
              <w:top w:val="nil"/>
              <w:left w:val="nil"/>
              <w:bottom w:val="single" w:sz="4" w:space="0" w:color="auto"/>
              <w:right w:val="single" w:sz="4" w:space="0" w:color="auto"/>
            </w:tcBorders>
            <w:shd w:val="clear" w:color="auto" w:fill="auto"/>
            <w:vAlign w:val="center"/>
          </w:tcPr>
          <w:p w:rsidR="007A69AC" w:rsidRPr="00443CFF" w:rsidRDefault="007A69AC" w:rsidP="00443CFF">
            <w:pPr>
              <w:jc w:val="center"/>
              <w:rPr>
                <w:rFonts w:eastAsiaTheme="majorEastAsia"/>
                <w:szCs w:val="24"/>
              </w:rPr>
            </w:pPr>
            <w:r w:rsidRPr="00443CFF">
              <w:rPr>
                <w:rFonts w:eastAsiaTheme="majorEastAsia"/>
                <w:szCs w:val="24"/>
              </w:rPr>
              <w:t>26</w:t>
            </w:r>
          </w:p>
        </w:tc>
        <w:tc>
          <w:tcPr>
            <w:tcW w:w="1036" w:type="pct"/>
            <w:tcBorders>
              <w:top w:val="nil"/>
              <w:left w:val="nil"/>
              <w:bottom w:val="single" w:sz="4" w:space="0" w:color="auto"/>
              <w:right w:val="single" w:sz="12" w:space="0" w:color="auto"/>
            </w:tcBorders>
            <w:vAlign w:val="center"/>
          </w:tcPr>
          <w:p w:rsidR="007A69AC" w:rsidRPr="00443CFF" w:rsidRDefault="007A69AC" w:rsidP="00443CFF">
            <w:pPr>
              <w:jc w:val="center"/>
              <w:rPr>
                <w:rFonts w:eastAsiaTheme="majorEastAsia"/>
                <w:szCs w:val="24"/>
              </w:rPr>
            </w:pPr>
            <w:r w:rsidRPr="00443CFF">
              <w:rPr>
                <w:rFonts w:eastAsiaTheme="majorEastAsia"/>
                <w:szCs w:val="24"/>
              </w:rPr>
              <w:t>11</w:t>
            </w:r>
          </w:p>
        </w:tc>
      </w:tr>
      <w:tr w:rsidR="007A69AC" w:rsidRPr="00443CFF" w:rsidTr="00443CFF">
        <w:trPr>
          <w:cantSplit/>
          <w:trHeight w:val="20"/>
        </w:trPr>
        <w:tc>
          <w:tcPr>
            <w:tcW w:w="340" w:type="pct"/>
            <w:vMerge/>
            <w:tcBorders>
              <w:top w:val="single" w:sz="4" w:space="0" w:color="auto"/>
              <w:left w:val="single" w:sz="12" w:space="0" w:color="auto"/>
              <w:bottom w:val="single" w:sz="4" w:space="0" w:color="auto"/>
              <w:right w:val="single" w:sz="4" w:space="0" w:color="auto"/>
            </w:tcBorders>
            <w:vAlign w:val="center"/>
            <w:hideMark/>
          </w:tcPr>
          <w:p w:rsidR="007A69AC" w:rsidRPr="00443CFF" w:rsidRDefault="007A69AC" w:rsidP="00443CFF">
            <w:pPr>
              <w:rPr>
                <w:rFonts w:eastAsiaTheme="majorEastAsia"/>
                <w:kern w:val="0"/>
                <w:szCs w:val="24"/>
              </w:rPr>
            </w:pPr>
          </w:p>
        </w:tc>
        <w:tc>
          <w:tcPr>
            <w:tcW w:w="1551" w:type="pct"/>
            <w:tcBorders>
              <w:top w:val="nil"/>
              <w:left w:val="nil"/>
              <w:bottom w:val="single" w:sz="4" w:space="0" w:color="auto"/>
              <w:right w:val="single" w:sz="4" w:space="0" w:color="auto"/>
            </w:tcBorders>
            <w:vAlign w:val="center"/>
            <w:hideMark/>
          </w:tcPr>
          <w:p w:rsidR="007A69AC" w:rsidRPr="00443CFF" w:rsidRDefault="007A69AC" w:rsidP="00443CFF">
            <w:pPr>
              <w:jc w:val="distribute"/>
              <w:rPr>
                <w:rFonts w:eastAsiaTheme="majorEastAsia"/>
                <w:kern w:val="0"/>
                <w:szCs w:val="24"/>
              </w:rPr>
            </w:pPr>
            <w:r w:rsidRPr="00443CFF">
              <w:rPr>
                <w:rFonts w:eastAsiaTheme="majorEastAsia"/>
                <w:kern w:val="0"/>
                <w:szCs w:val="24"/>
              </w:rPr>
              <w:t>文化權</w:t>
            </w:r>
          </w:p>
        </w:tc>
        <w:tc>
          <w:tcPr>
            <w:tcW w:w="1037" w:type="pct"/>
            <w:tcBorders>
              <w:top w:val="nil"/>
              <w:left w:val="nil"/>
              <w:bottom w:val="single" w:sz="4" w:space="0" w:color="auto"/>
              <w:right w:val="single" w:sz="4" w:space="0" w:color="auto"/>
            </w:tcBorders>
            <w:shd w:val="clear" w:color="auto" w:fill="auto"/>
            <w:vAlign w:val="center"/>
          </w:tcPr>
          <w:p w:rsidR="007A69AC" w:rsidRPr="00443CFF" w:rsidRDefault="007A69AC" w:rsidP="00443CFF">
            <w:pPr>
              <w:jc w:val="center"/>
              <w:rPr>
                <w:rFonts w:eastAsiaTheme="majorEastAsia"/>
                <w:szCs w:val="24"/>
              </w:rPr>
            </w:pPr>
            <w:r w:rsidRPr="00443CFF">
              <w:rPr>
                <w:rFonts w:eastAsiaTheme="majorEastAsia"/>
                <w:szCs w:val="24"/>
              </w:rPr>
              <w:t>121</w:t>
            </w:r>
          </w:p>
        </w:tc>
        <w:tc>
          <w:tcPr>
            <w:tcW w:w="1037" w:type="pct"/>
            <w:tcBorders>
              <w:top w:val="nil"/>
              <w:left w:val="nil"/>
              <w:bottom w:val="single" w:sz="4" w:space="0" w:color="auto"/>
              <w:right w:val="single" w:sz="4" w:space="0" w:color="auto"/>
            </w:tcBorders>
            <w:shd w:val="clear" w:color="auto" w:fill="auto"/>
            <w:vAlign w:val="center"/>
          </w:tcPr>
          <w:p w:rsidR="007A69AC" w:rsidRPr="00443CFF" w:rsidRDefault="007A69AC" w:rsidP="00443CFF">
            <w:pPr>
              <w:jc w:val="center"/>
              <w:rPr>
                <w:rFonts w:eastAsiaTheme="majorEastAsia"/>
                <w:szCs w:val="24"/>
              </w:rPr>
            </w:pPr>
            <w:r w:rsidRPr="00443CFF">
              <w:rPr>
                <w:rFonts w:eastAsiaTheme="majorEastAsia"/>
                <w:szCs w:val="24"/>
              </w:rPr>
              <w:t>1</w:t>
            </w:r>
          </w:p>
        </w:tc>
        <w:tc>
          <w:tcPr>
            <w:tcW w:w="1036" w:type="pct"/>
            <w:tcBorders>
              <w:top w:val="nil"/>
              <w:left w:val="nil"/>
              <w:bottom w:val="single" w:sz="4" w:space="0" w:color="auto"/>
              <w:right w:val="single" w:sz="12" w:space="0" w:color="auto"/>
            </w:tcBorders>
            <w:vAlign w:val="center"/>
          </w:tcPr>
          <w:p w:rsidR="007A69AC" w:rsidRPr="00443CFF" w:rsidRDefault="007A69AC" w:rsidP="00443CFF">
            <w:pPr>
              <w:jc w:val="center"/>
              <w:rPr>
                <w:rFonts w:eastAsiaTheme="majorEastAsia"/>
                <w:szCs w:val="24"/>
              </w:rPr>
            </w:pPr>
            <w:r w:rsidRPr="00443CFF">
              <w:rPr>
                <w:rFonts w:eastAsiaTheme="majorEastAsia"/>
                <w:szCs w:val="24"/>
              </w:rPr>
              <w:t>0</w:t>
            </w:r>
          </w:p>
        </w:tc>
      </w:tr>
      <w:tr w:rsidR="007A69AC" w:rsidRPr="00443CFF" w:rsidTr="00443CFF">
        <w:trPr>
          <w:cantSplit/>
          <w:trHeight w:val="20"/>
        </w:trPr>
        <w:tc>
          <w:tcPr>
            <w:tcW w:w="340" w:type="pct"/>
            <w:vMerge/>
            <w:tcBorders>
              <w:top w:val="single" w:sz="4" w:space="0" w:color="auto"/>
              <w:left w:val="single" w:sz="12" w:space="0" w:color="auto"/>
              <w:bottom w:val="single" w:sz="4" w:space="0" w:color="auto"/>
              <w:right w:val="single" w:sz="4" w:space="0" w:color="auto"/>
            </w:tcBorders>
            <w:vAlign w:val="center"/>
            <w:hideMark/>
          </w:tcPr>
          <w:p w:rsidR="007A69AC" w:rsidRPr="00443CFF" w:rsidRDefault="007A69AC" w:rsidP="00443CFF">
            <w:pPr>
              <w:rPr>
                <w:rFonts w:eastAsiaTheme="majorEastAsia"/>
                <w:kern w:val="0"/>
                <w:szCs w:val="24"/>
              </w:rPr>
            </w:pPr>
          </w:p>
        </w:tc>
        <w:tc>
          <w:tcPr>
            <w:tcW w:w="1551" w:type="pct"/>
            <w:tcBorders>
              <w:top w:val="nil"/>
              <w:left w:val="nil"/>
              <w:bottom w:val="single" w:sz="4" w:space="0" w:color="auto"/>
              <w:right w:val="single" w:sz="4" w:space="0" w:color="auto"/>
            </w:tcBorders>
            <w:vAlign w:val="center"/>
            <w:hideMark/>
          </w:tcPr>
          <w:p w:rsidR="007A69AC" w:rsidRPr="00443CFF" w:rsidRDefault="007A69AC" w:rsidP="00443CFF">
            <w:pPr>
              <w:jc w:val="distribute"/>
              <w:rPr>
                <w:rFonts w:eastAsiaTheme="majorEastAsia"/>
                <w:kern w:val="0"/>
                <w:szCs w:val="24"/>
              </w:rPr>
            </w:pPr>
            <w:r w:rsidRPr="00443CFF">
              <w:rPr>
                <w:rFonts w:eastAsiaTheme="majorEastAsia"/>
                <w:kern w:val="0"/>
                <w:szCs w:val="24"/>
              </w:rPr>
              <w:t>教</w:t>
            </w:r>
            <w:r w:rsidRPr="00443CFF">
              <w:rPr>
                <w:rFonts w:eastAsiaTheme="majorEastAsia"/>
                <w:kern w:val="0"/>
                <w:szCs w:val="24"/>
                <w:lang w:eastAsia="zh-HK"/>
              </w:rPr>
              <w:t>育</w:t>
            </w:r>
            <w:r w:rsidRPr="00443CFF">
              <w:rPr>
                <w:rFonts w:eastAsiaTheme="majorEastAsia"/>
                <w:kern w:val="0"/>
                <w:szCs w:val="24"/>
              </w:rPr>
              <w:t>權</w:t>
            </w:r>
          </w:p>
        </w:tc>
        <w:tc>
          <w:tcPr>
            <w:tcW w:w="1037" w:type="pct"/>
            <w:tcBorders>
              <w:top w:val="nil"/>
              <w:left w:val="nil"/>
              <w:bottom w:val="single" w:sz="4" w:space="0" w:color="auto"/>
              <w:right w:val="single" w:sz="4" w:space="0" w:color="auto"/>
            </w:tcBorders>
            <w:shd w:val="clear" w:color="auto" w:fill="auto"/>
            <w:vAlign w:val="center"/>
          </w:tcPr>
          <w:p w:rsidR="007A69AC" w:rsidRPr="00443CFF" w:rsidRDefault="007A69AC" w:rsidP="00443CFF">
            <w:pPr>
              <w:jc w:val="center"/>
              <w:rPr>
                <w:rFonts w:eastAsiaTheme="majorEastAsia"/>
                <w:szCs w:val="24"/>
              </w:rPr>
            </w:pPr>
            <w:r w:rsidRPr="00443CFF">
              <w:rPr>
                <w:rFonts w:eastAsiaTheme="majorEastAsia"/>
                <w:szCs w:val="24"/>
              </w:rPr>
              <w:t>576</w:t>
            </w:r>
          </w:p>
        </w:tc>
        <w:tc>
          <w:tcPr>
            <w:tcW w:w="1037" w:type="pct"/>
            <w:tcBorders>
              <w:top w:val="nil"/>
              <w:left w:val="nil"/>
              <w:bottom w:val="single" w:sz="4" w:space="0" w:color="auto"/>
              <w:right w:val="single" w:sz="4" w:space="0" w:color="auto"/>
            </w:tcBorders>
            <w:shd w:val="clear" w:color="auto" w:fill="auto"/>
            <w:vAlign w:val="center"/>
          </w:tcPr>
          <w:p w:rsidR="007A69AC" w:rsidRPr="00443CFF" w:rsidRDefault="007A69AC" w:rsidP="00443CFF">
            <w:pPr>
              <w:jc w:val="center"/>
              <w:rPr>
                <w:rFonts w:eastAsiaTheme="majorEastAsia"/>
                <w:szCs w:val="24"/>
              </w:rPr>
            </w:pPr>
            <w:r w:rsidRPr="00443CFF">
              <w:rPr>
                <w:rFonts w:eastAsiaTheme="majorEastAsia"/>
                <w:szCs w:val="24"/>
              </w:rPr>
              <w:t>11</w:t>
            </w:r>
          </w:p>
        </w:tc>
        <w:tc>
          <w:tcPr>
            <w:tcW w:w="1036" w:type="pct"/>
            <w:tcBorders>
              <w:top w:val="nil"/>
              <w:left w:val="nil"/>
              <w:bottom w:val="single" w:sz="4" w:space="0" w:color="auto"/>
              <w:right w:val="single" w:sz="12" w:space="0" w:color="auto"/>
            </w:tcBorders>
            <w:vAlign w:val="center"/>
          </w:tcPr>
          <w:p w:rsidR="007A69AC" w:rsidRPr="00443CFF" w:rsidRDefault="007A69AC" w:rsidP="00443CFF">
            <w:pPr>
              <w:jc w:val="center"/>
              <w:rPr>
                <w:rFonts w:eastAsiaTheme="majorEastAsia"/>
                <w:szCs w:val="24"/>
              </w:rPr>
            </w:pPr>
            <w:r w:rsidRPr="00443CFF">
              <w:rPr>
                <w:rFonts w:eastAsiaTheme="majorEastAsia"/>
                <w:szCs w:val="24"/>
              </w:rPr>
              <w:t>4</w:t>
            </w:r>
          </w:p>
        </w:tc>
      </w:tr>
      <w:tr w:rsidR="007A69AC" w:rsidRPr="00443CFF" w:rsidTr="00443CFF">
        <w:trPr>
          <w:cantSplit/>
          <w:trHeight w:val="20"/>
        </w:trPr>
        <w:tc>
          <w:tcPr>
            <w:tcW w:w="340" w:type="pct"/>
            <w:vMerge/>
            <w:tcBorders>
              <w:top w:val="single" w:sz="4" w:space="0" w:color="auto"/>
              <w:left w:val="single" w:sz="12" w:space="0" w:color="auto"/>
              <w:bottom w:val="single" w:sz="4" w:space="0" w:color="auto"/>
              <w:right w:val="single" w:sz="4" w:space="0" w:color="auto"/>
            </w:tcBorders>
            <w:vAlign w:val="center"/>
          </w:tcPr>
          <w:p w:rsidR="007A69AC" w:rsidRPr="00443CFF" w:rsidRDefault="007A69AC" w:rsidP="00443CFF">
            <w:pPr>
              <w:rPr>
                <w:rFonts w:eastAsiaTheme="majorEastAsia"/>
                <w:kern w:val="0"/>
                <w:szCs w:val="24"/>
              </w:rPr>
            </w:pPr>
          </w:p>
        </w:tc>
        <w:tc>
          <w:tcPr>
            <w:tcW w:w="1551" w:type="pct"/>
            <w:tcBorders>
              <w:top w:val="nil"/>
              <w:left w:val="nil"/>
              <w:bottom w:val="single" w:sz="4" w:space="0" w:color="auto"/>
              <w:right w:val="single" w:sz="4" w:space="0" w:color="auto"/>
            </w:tcBorders>
            <w:vAlign w:val="center"/>
          </w:tcPr>
          <w:p w:rsidR="007A69AC" w:rsidRPr="00443CFF" w:rsidRDefault="007A69AC" w:rsidP="00443CFF">
            <w:pPr>
              <w:jc w:val="distribute"/>
              <w:rPr>
                <w:rFonts w:eastAsiaTheme="majorEastAsia"/>
                <w:kern w:val="0"/>
                <w:szCs w:val="24"/>
              </w:rPr>
            </w:pPr>
            <w:r w:rsidRPr="00443CFF">
              <w:rPr>
                <w:rFonts w:eastAsiaTheme="majorEastAsia"/>
                <w:kern w:val="0"/>
                <w:szCs w:val="24"/>
              </w:rPr>
              <w:t>環境權</w:t>
            </w:r>
          </w:p>
        </w:tc>
        <w:tc>
          <w:tcPr>
            <w:tcW w:w="1037" w:type="pct"/>
            <w:tcBorders>
              <w:top w:val="nil"/>
              <w:left w:val="nil"/>
              <w:bottom w:val="single" w:sz="4" w:space="0" w:color="auto"/>
              <w:right w:val="single" w:sz="4" w:space="0" w:color="auto"/>
            </w:tcBorders>
            <w:shd w:val="clear" w:color="auto" w:fill="auto"/>
            <w:vAlign w:val="center"/>
          </w:tcPr>
          <w:p w:rsidR="007A69AC" w:rsidRPr="00443CFF" w:rsidRDefault="007A69AC" w:rsidP="00443CFF">
            <w:pPr>
              <w:jc w:val="center"/>
              <w:rPr>
                <w:rFonts w:eastAsiaTheme="majorEastAsia"/>
                <w:szCs w:val="24"/>
              </w:rPr>
            </w:pPr>
            <w:r w:rsidRPr="00443CFF">
              <w:rPr>
                <w:rFonts w:eastAsiaTheme="majorEastAsia"/>
                <w:szCs w:val="24"/>
              </w:rPr>
              <w:t>264</w:t>
            </w:r>
          </w:p>
        </w:tc>
        <w:tc>
          <w:tcPr>
            <w:tcW w:w="1037" w:type="pct"/>
            <w:tcBorders>
              <w:top w:val="nil"/>
              <w:left w:val="nil"/>
              <w:bottom w:val="single" w:sz="4" w:space="0" w:color="auto"/>
              <w:right w:val="single" w:sz="4" w:space="0" w:color="auto"/>
            </w:tcBorders>
            <w:shd w:val="clear" w:color="auto" w:fill="auto"/>
            <w:vAlign w:val="center"/>
          </w:tcPr>
          <w:p w:rsidR="007A69AC" w:rsidRPr="00443CFF" w:rsidRDefault="007A69AC" w:rsidP="00443CFF">
            <w:pPr>
              <w:jc w:val="center"/>
              <w:rPr>
                <w:rFonts w:eastAsiaTheme="majorEastAsia"/>
                <w:szCs w:val="24"/>
              </w:rPr>
            </w:pPr>
            <w:r w:rsidRPr="00443CFF">
              <w:rPr>
                <w:rFonts w:eastAsiaTheme="majorEastAsia"/>
                <w:szCs w:val="24"/>
              </w:rPr>
              <w:t>14</w:t>
            </w:r>
          </w:p>
        </w:tc>
        <w:tc>
          <w:tcPr>
            <w:tcW w:w="1036" w:type="pct"/>
            <w:tcBorders>
              <w:top w:val="nil"/>
              <w:left w:val="nil"/>
              <w:bottom w:val="single" w:sz="4" w:space="0" w:color="auto"/>
              <w:right w:val="single" w:sz="12" w:space="0" w:color="auto"/>
            </w:tcBorders>
            <w:vAlign w:val="center"/>
          </w:tcPr>
          <w:p w:rsidR="007A69AC" w:rsidRPr="00443CFF" w:rsidRDefault="007A69AC" w:rsidP="00443CFF">
            <w:pPr>
              <w:jc w:val="center"/>
              <w:rPr>
                <w:rFonts w:eastAsiaTheme="majorEastAsia"/>
                <w:szCs w:val="24"/>
              </w:rPr>
            </w:pPr>
            <w:r w:rsidRPr="00443CFF">
              <w:rPr>
                <w:rFonts w:eastAsiaTheme="majorEastAsia"/>
                <w:szCs w:val="24"/>
              </w:rPr>
              <w:t>8</w:t>
            </w:r>
          </w:p>
        </w:tc>
      </w:tr>
      <w:tr w:rsidR="007A69AC" w:rsidRPr="00443CFF" w:rsidTr="00443CFF">
        <w:trPr>
          <w:cantSplit/>
          <w:trHeight w:val="20"/>
        </w:trPr>
        <w:tc>
          <w:tcPr>
            <w:tcW w:w="340" w:type="pct"/>
            <w:vMerge/>
            <w:tcBorders>
              <w:top w:val="single" w:sz="4" w:space="0" w:color="auto"/>
              <w:left w:val="single" w:sz="12" w:space="0" w:color="auto"/>
              <w:bottom w:val="single" w:sz="4" w:space="0" w:color="auto"/>
              <w:right w:val="single" w:sz="4" w:space="0" w:color="auto"/>
            </w:tcBorders>
            <w:vAlign w:val="center"/>
            <w:hideMark/>
          </w:tcPr>
          <w:p w:rsidR="007A69AC" w:rsidRPr="00443CFF" w:rsidRDefault="007A69AC" w:rsidP="00443CFF">
            <w:pPr>
              <w:rPr>
                <w:rFonts w:eastAsiaTheme="majorEastAsia"/>
                <w:kern w:val="0"/>
                <w:szCs w:val="24"/>
              </w:rPr>
            </w:pPr>
          </w:p>
        </w:tc>
        <w:tc>
          <w:tcPr>
            <w:tcW w:w="1551" w:type="pct"/>
            <w:tcBorders>
              <w:top w:val="nil"/>
              <w:left w:val="nil"/>
              <w:bottom w:val="single" w:sz="4" w:space="0" w:color="auto"/>
              <w:right w:val="single" w:sz="4" w:space="0" w:color="auto"/>
            </w:tcBorders>
            <w:vAlign w:val="center"/>
            <w:hideMark/>
          </w:tcPr>
          <w:p w:rsidR="007A69AC" w:rsidRPr="00443CFF" w:rsidRDefault="007A69AC" w:rsidP="00443CFF">
            <w:pPr>
              <w:jc w:val="distribute"/>
              <w:rPr>
                <w:rFonts w:eastAsiaTheme="majorEastAsia"/>
                <w:kern w:val="0"/>
                <w:szCs w:val="24"/>
              </w:rPr>
            </w:pPr>
            <w:r w:rsidRPr="00443CFF">
              <w:rPr>
                <w:rFonts w:eastAsiaTheme="majorEastAsia"/>
                <w:kern w:val="0"/>
                <w:szCs w:val="24"/>
              </w:rPr>
              <w:t>社會保障</w:t>
            </w:r>
          </w:p>
        </w:tc>
        <w:tc>
          <w:tcPr>
            <w:tcW w:w="1037" w:type="pct"/>
            <w:tcBorders>
              <w:top w:val="nil"/>
              <w:left w:val="nil"/>
              <w:bottom w:val="single" w:sz="4" w:space="0" w:color="auto"/>
              <w:right w:val="single" w:sz="4" w:space="0" w:color="auto"/>
            </w:tcBorders>
            <w:shd w:val="clear" w:color="auto" w:fill="auto"/>
            <w:vAlign w:val="center"/>
          </w:tcPr>
          <w:p w:rsidR="007A69AC" w:rsidRPr="00443CFF" w:rsidRDefault="007A69AC" w:rsidP="00443CFF">
            <w:pPr>
              <w:jc w:val="center"/>
              <w:rPr>
                <w:rFonts w:eastAsiaTheme="majorEastAsia"/>
                <w:szCs w:val="24"/>
              </w:rPr>
            </w:pPr>
            <w:r w:rsidRPr="00443CFF">
              <w:rPr>
                <w:rFonts w:eastAsiaTheme="majorEastAsia"/>
                <w:szCs w:val="24"/>
              </w:rPr>
              <w:t>341</w:t>
            </w:r>
          </w:p>
        </w:tc>
        <w:tc>
          <w:tcPr>
            <w:tcW w:w="1037" w:type="pct"/>
            <w:tcBorders>
              <w:top w:val="nil"/>
              <w:left w:val="nil"/>
              <w:bottom w:val="single" w:sz="4" w:space="0" w:color="auto"/>
              <w:right w:val="single" w:sz="4" w:space="0" w:color="auto"/>
            </w:tcBorders>
            <w:shd w:val="clear" w:color="auto" w:fill="auto"/>
            <w:vAlign w:val="center"/>
          </w:tcPr>
          <w:p w:rsidR="007A69AC" w:rsidRPr="00443CFF" w:rsidRDefault="007A69AC" w:rsidP="00443CFF">
            <w:pPr>
              <w:jc w:val="center"/>
              <w:rPr>
                <w:rFonts w:eastAsiaTheme="majorEastAsia"/>
                <w:szCs w:val="24"/>
              </w:rPr>
            </w:pPr>
            <w:r w:rsidRPr="00443CFF">
              <w:rPr>
                <w:rFonts w:eastAsiaTheme="majorEastAsia"/>
                <w:szCs w:val="24"/>
              </w:rPr>
              <w:t>9</w:t>
            </w:r>
          </w:p>
        </w:tc>
        <w:tc>
          <w:tcPr>
            <w:tcW w:w="1036" w:type="pct"/>
            <w:tcBorders>
              <w:top w:val="nil"/>
              <w:left w:val="nil"/>
              <w:bottom w:val="single" w:sz="4" w:space="0" w:color="auto"/>
              <w:right w:val="single" w:sz="12" w:space="0" w:color="auto"/>
            </w:tcBorders>
            <w:vAlign w:val="center"/>
          </w:tcPr>
          <w:p w:rsidR="007A69AC" w:rsidRPr="00443CFF" w:rsidRDefault="007A69AC" w:rsidP="00443CFF">
            <w:pPr>
              <w:jc w:val="center"/>
              <w:rPr>
                <w:rFonts w:eastAsiaTheme="majorEastAsia"/>
                <w:szCs w:val="24"/>
              </w:rPr>
            </w:pPr>
            <w:r w:rsidRPr="00443CFF">
              <w:rPr>
                <w:rFonts w:eastAsiaTheme="majorEastAsia"/>
                <w:szCs w:val="24"/>
              </w:rPr>
              <w:t>3</w:t>
            </w:r>
          </w:p>
        </w:tc>
      </w:tr>
      <w:tr w:rsidR="007A69AC" w:rsidRPr="00443CFF" w:rsidTr="00443CFF">
        <w:trPr>
          <w:cantSplit/>
          <w:trHeight w:val="20"/>
        </w:trPr>
        <w:tc>
          <w:tcPr>
            <w:tcW w:w="340" w:type="pct"/>
            <w:vMerge/>
            <w:tcBorders>
              <w:top w:val="single" w:sz="4" w:space="0" w:color="auto"/>
              <w:left w:val="single" w:sz="12" w:space="0" w:color="auto"/>
              <w:bottom w:val="single" w:sz="4" w:space="0" w:color="auto"/>
              <w:right w:val="single" w:sz="4" w:space="0" w:color="auto"/>
            </w:tcBorders>
            <w:vAlign w:val="center"/>
            <w:hideMark/>
          </w:tcPr>
          <w:p w:rsidR="007A69AC" w:rsidRPr="00443CFF" w:rsidRDefault="007A69AC" w:rsidP="00443CFF">
            <w:pPr>
              <w:rPr>
                <w:rFonts w:eastAsiaTheme="majorEastAsia"/>
                <w:kern w:val="0"/>
                <w:szCs w:val="24"/>
              </w:rPr>
            </w:pPr>
          </w:p>
        </w:tc>
        <w:tc>
          <w:tcPr>
            <w:tcW w:w="1551" w:type="pct"/>
            <w:tcBorders>
              <w:top w:val="nil"/>
              <w:left w:val="nil"/>
              <w:bottom w:val="single" w:sz="4" w:space="0" w:color="auto"/>
              <w:right w:val="single" w:sz="4" w:space="0" w:color="auto"/>
            </w:tcBorders>
            <w:vAlign w:val="center"/>
            <w:hideMark/>
          </w:tcPr>
          <w:p w:rsidR="007A69AC" w:rsidRPr="00443CFF" w:rsidRDefault="007A69AC" w:rsidP="00443CFF">
            <w:pPr>
              <w:jc w:val="distribute"/>
              <w:rPr>
                <w:rFonts w:eastAsiaTheme="majorEastAsia"/>
                <w:kern w:val="0"/>
                <w:szCs w:val="24"/>
              </w:rPr>
            </w:pPr>
            <w:r w:rsidRPr="00443CFF">
              <w:rPr>
                <w:rFonts w:eastAsiaTheme="majorEastAsia"/>
                <w:kern w:val="0"/>
                <w:szCs w:val="24"/>
              </w:rPr>
              <w:t>其他人權</w:t>
            </w:r>
          </w:p>
        </w:tc>
        <w:tc>
          <w:tcPr>
            <w:tcW w:w="1037" w:type="pct"/>
            <w:tcBorders>
              <w:top w:val="nil"/>
              <w:left w:val="nil"/>
              <w:bottom w:val="single" w:sz="4" w:space="0" w:color="auto"/>
              <w:right w:val="single" w:sz="4" w:space="0" w:color="auto"/>
            </w:tcBorders>
            <w:shd w:val="clear" w:color="auto" w:fill="auto"/>
            <w:vAlign w:val="center"/>
          </w:tcPr>
          <w:p w:rsidR="007A69AC" w:rsidRPr="00443CFF" w:rsidRDefault="007A69AC" w:rsidP="00443CFF">
            <w:pPr>
              <w:jc w:val="center"/>
              <w:rPr>
                <w:rFonts w:eastAsiaTheme="majorEastAsia"/>
                <w:szCs w:val="24"/>
              </w:rPr>
            </w:pPr>
            <w:r w:rsidRPr="00443CFF">
              <w:rPr>
                <w:rFonts w:eastAsiaTheme="majorEastAsia"/>
                <w:szCs w:val="24"/>
              </w:rPr>
              <w:t>340</w:t>
            </w:r>
          </w:p>
        </w:tc>
        <w:tc>
          <w:tcPr>
            <w:tcW w:w="1037" w:type="pct"/>
            <w:tcBorders>
              <w:top w:val="nil"/>
              <w:left w:val="nil"/>
              <w:bottom w:val="single" w:sz="4" w:space="0" w:color="auto"/>
              <w:right w:val="single" w:sz="4" w:space="0" w:color="auto"/>
            </w:tcBorders>
            <w:shd w:val="clear" w:color="auto" w:fill="auto"/>
            <w:vAlign w:val="center"/>
          </w:tcPr>
          <w:p w:rsidR="007A69AC" w:rsidRPr="00443CFF" w:rsidRDefault="007A69AC" w:rsidP="00443CFF">
            <w:pPr>
              <w:jc w:val="center"/>
              <w:rPr>
                <w:rFonts w:eastAsiaTheme="majorEastAsia"/>
                <w:szCs w:val="24"/>
              </w:rPr>
            </w:pPr>
            <w:r w:rsidRPr="00443CFF">
              <w:rPr>
                <w:rFonts w:eastAsiaTheme="majorEastAsia"/>
                <w:szCs w:val="24"/>
              </w:rPr>
              <w:t>3</w:t>
            </w:r>
          </w:p>
        </w:tc>
        <w:tc>
          <w:tcPr>
            <w:tcW w:w="1036" w:type="pct"/>
            <w:tcBorders>
              <w:top w:val="nil"/>
              <w:left w:val="nil"/>
              <w:bottom w:val="single" w:sz="4" w:space="0" w:color="auto"/>
              <w:right w:val="single" w:sz="12" w:space="0" w:color="auto"/>
            </w:tcBorders>
            <w:vAlign w:val="center"/>
          </w:tcPr>
          <w:p w:rsidR="007A69AC" w:rsidRPr="00443CFF" w:rsidRDefault="007A69AC" w:rsidP="00443CFF">
            <w:pPr>
              <w:jc w:val="center"/>
              <w:rPr>
                <w:rFonts w:eastAsiaTheme="majorEastAsia"/>
                <w:szCs w:val="24"/>
              </w:rPr>
            </w:pPr>
            <w:r w:rsidRPr="00443CFF">
              <w:rPr>
                <w:rFonts w:eastAsiaTheme="majorEastAsia"/>
                <w:szCs w:val="24"/>
              </w:rPr>
              <w:t>2</w:t>
            </w:r>
          </w:p>
        </w:tc>
      </w:tr>
      <w:tr w:rsidR="007A69AC" w:rsidRPr="00443CFF" w:rsidTr="00443CFF">
        <w:trPr>
          <w:cantSplit/>
          <w:trHeight w:val="20"/>
        </w:trPr>
        <w:tc>
          <w:tcPr>
            <w:tcW w:w="1890" w:type="pct"/>
            <w:gridSpan w:val="2"/>
            <w:tcBorders>
              <w:top w:val="single" w:sz="4" w:space="0" w:color="auto"/>
              <w:left w:val="single" w:sz="12" w:space="0" w:color="auto"/>
              <w:bottom w:val="single" w:sz="12" w:space="0" w:color="auto"/>
              <w:right w:val="single" w:sz="4" w:space="0" w:color="auto"/>
            </w:tcBorders>
            <w:vAlign w:val="center"/>
          </w:tcPr>
          <w:p w:rsidR="007A69AC" w:rsidRPr="00443CFF" w:rsidRDefault="007A69AC" w:rsidP="00443CFF">
            <w:pPr>
              <w:jc w:val="distribute"/>
              <w:rPr>
                <w:rFonts w:eastAsiaTheme="majorEastAsia"/>
                <w:kern w:val="0"/>
                <w:szCs w:val="24"/>
              </w:rPr>
            </w:pPr>
            <w:r w:rsidRPr="00443CFF">
              <w:rPr>
                <w:rFonts w:eastAsiaTheme="majorEastAsia"/>
                <w:kern w:val="0"/>
                <w:szCs w:val="24"/>
              </w:rPr>
              <w:t>非屬人權保障案件</w:t>
            </w:r>
          </w:p>
        </w:tc>
        <w:tc>
          <w:tcPr>
            <w:tcW w:w="1037" w:type="pct"/>
            <w:tcBorders>
              <w:top w:val="nil"/>
              <w:left w:val="nil"/>
              <w:bottom w:val="single" w:sz="12" w:space="0" w:color="auto"/>
              <w:right w:val="single" w:sz="4" w:space="0" w:color="auto"/>
            </w:tcBorders>
            <w:shd w:val="clear" w:color="auto" w:fill="auto"/>
            <w:vAlign w:val="center"/>
          </w:tcPr>
          <w:p w:rsidR="007A69AC" w:rsidRPr="00443CFF" w:rsidRDefault="007A69AC" w:rsidP="00443CFF">
            <w:pPr>
              <w:jc w:val="center"/>
              <w:rPr>
                <w:rFonts w:eastAsiaTheme="majorEastAsia"/>
                <w:szCs w:val="24"/>
              </w:rPr>
            </w:pPr>
            <w:r w:rsidRPr="00443CFF">
              <w:rPr>
                <w:rFonts w:eastAsiaTheme="majorEastAsia"/>
                <w:szCs w:val="24"/>
              </w:rPr>
              <w:t>2,581</w:t>
            </w:r>
          </w:p>
        </w:tc>
        <w:tc>
          <w:tcPr>
            <w:tcW w:w="1037" w:type="pct"/>
            <w:tcBorders>
              <w:top w:val="nil"/>
              <w:left w:val="nil"/>
              <w:bottom w:val="single" w:sz="12" w:space="0" w:color="auto"/>
              <w:right w:val="single" w:sz="4" w:space="0" w:color="auto"/>
            </w:tcBorders>
            <w:shd w:val="clear" w:color="auto" w:fill="auto"/>
            <w:vAlign w:val="center"/>
          </w:tcPr>
          <w:p w:rsidR="007A69AC" w:rsidRPr="00443CFF" w:rsidRDefault="007A69AC" w:rsidP="00443CFF">
            <w:pPr>
              <w:jc w:val="center"/>
              <w:rPr>
                <w:rFonts w:eastAsiaTheme="majorEastAsia"/>
                <w:szCs w:val="24"/>
              </w:rPr>
            </w:pPr>
            <w:r w:rsidRPr="00443CFF">
              <w:rPr>
                <w:rFonts w:eastAsiaTheme="majorEastAsia"/>
                <w:szCs w:val="24"/>
              </w:rPr>
              <w:t>117</w:t>
            </w:r>
          </w:p>
        </w:tc>
        <w:tc>
          <w:tcPr>
            <w:tcW w:w="1036" w:type="pct"/>
            <w:tcBorders>
              <w:top w:val="nil"/>
              <w:left w:val="nil"/>
              <w:bottom w:val="single" w:sz="12" w:space="0" w:color="auto"/>
              <w:right w:val="single" w:sz="12" w:space="0" w:color="auto"/>
            </w:tcBorders>
            <w:vAlign w:val="center"/>
          </w:tcPr>
          <w:p w:rsidR="007A69AC" w:rsidRPr="00443CFF" w:rsidRDefault="007A69AC" w:rsidP="00443CFF">
            <w:pPr>
              <w:jc w:val="center"/>
              <w:rPr>
                <w:rFonts w:eastAsiaTheme="majorEastAsia"/>
                <w:szCs w:val="24"/>
              </w:rPr>
            </w:pPr>
            <w:r w:rsidRPr="00443CFF">
              <w:rPr>
                <w:rFonts w:eastAsiaTheme="majorEastAsia"/>
                <w:szCs w:val="24"/>
              </w:rPr>
              <w:t>36</w:t>
            </w:r>
          </w:p>
        </w:tc>
      </w:tr>
    </w:tbl>
    <w:p w:rsidR="00CF6634" w:rsidRPr="00443CFF" w:rsidRDefault="00CF6634" w:rsidP="00443CFF">
      <w:pPr>
        <w:spacing w:line="280" w:lineRule="exact"/>
        <w:rPr>
          <w:rFonts w:asciiTheme="majorEastAsia" w:eastAsiaTheme="majorEastAsia" w:hAnsiTheme="majorEastAsia"/>
          <w:sz w:val="22"/>
          <w:szCs w:val="22"/>
        </w:rPr>
      </w:pPr>
      <w:r w:rsidRPr="00443CFF">
        <w:rPr>
          <w:rFonts w:asciiTheme="majorEastAsia" w:eastAsiaTheme="majorEastAsia" w:hAnsiTheme="majorEastAsia"/>
          <w:sz w:val="22"/>
          <w:szCs w:val="22"/>
        </w:rPr>
        <w:t>資料來源：監察院</w:t>
      </w:r>
    </w:p>
    <w:p w:rsidR="00CF6634" w:rsidRPr="00443CFF" w:rsidRDefault="00CF6634" w:rsidP="00443CFF">
      <w:pPr>
        <w:spacing w:line="280" w:lineRule="exact"/>
        <w:jc w:val="both"/>
        <w:rPr>
          <w:rFonts w:eastAsiaTheme="majorEastAsia"/>
          <w:sz w:val="22"/>
          <w:szCs w:val="22"/>
        </w:rPr>
      </w:pPr>
      <w:r w:rsidRPr="00443CFF">
        <w:rPr>
          <w:rFonts w:eastAsiaTheme="majorEastAsia"/>
          <w:sz w:val="22"/>
          <w:szCs w:val="22"/>
        </w:rPr>
        <w:t>說　　明：</w:t>
      </w:r>
    </w:p>
    <w:p w:rsidR="00B76F2F" w:rsidRPr="00443CFF" w:rsidRDefault="00CF6634" w:rsidP="00443CFF">
      <w:pPr>
        <w:spacing w:line="280" w:lineRule="exact"/>
        <w:ind w:left="220" w:hangingChars="100" w:hanging="220"/>
        <w:jc w:val="both"/>
        <w:rPr>
          <w:rFonts w:eastAsiaTheme="majorEastAsia"/>
          <w:sz w:val="22"/>
          <w:szCs w:val="22"/>
        </w:rPr>
      </w:pPr>
      <w:r w:rsidRPr="00443CFF">
        <w:rPr>
          <w:rFonts w:eastAsiaTheme="majorEastAsia"/>
          <w:sz w:val="22"/>
          <w:szCs w:val="22"/>
        </w:rPr>
        <w:t>1.</w:t>
      </w:r>
      <w:r w:rsidR="00B76F2F" w:rsidRPr="00443CFF">
        <w:rPr>
          <w:rFonts w:eastAsiaTheme="majorEastAsia" w:hint="eastAsia"/>
          <w:sz w:val="22"/>
          <w:szCs w:val="22"/>
        </w:rPr>
        <w:tab/>
      </w:r>
      <w:r w:rsidRPr="00443CFF">
        <w:rPr>
          <w:rFonts w:eastAsiaTheme="majorEastAsia"/>
          <w:sz w:val="22"/>
          <w:szCs w:val="22"/>
        </w:rPr>
        <w:t>人民書狀採系統對照歸類方式統計，統計時間以監察院處理日期為準。</w:t>
      </w:r>
    </w:p>
    <w:p w:rsidR="00B76F2F" w:rsidRDefault="00CF6634" w:rsidP="00443CFF">
      <w:pPr>
        <w:spacing w:line="280" w:lineRule="exact"/>
        <w:ind w:left="220" w:hangingChars="100" w:hanging="220"/>
        <w:jc w:val="both"/>
      </w:pPr>
      <w:r w:rsidRPr="00443CFF">
        <w:rPr>
          <w:rFonts w:eastAsiaTheme="majorEastAsia"/>
          <w:sz w:val="22"/>
          <w:szCs w:val="22"/>
        </w:rPr>
        <w:t>2.</w:t>
      </w:r>
      <w:r w:rsidR="00B76F2F" w:rsidRPr="00443CFF">
        <w:rPr>
          <w:rFonts w:eastAsiaTheme="majorEastAsia" w:hint="eastAsia"/>
          <w:sz w:val="22"/>
          <w:szCs w:val="22"/>
        </w:rPr>
        <w:tab/>
      </w:r>
      <w:r w:rsidRPr="00443CFF">
        <w:rPr>
          <w:rFonts w:eastAsiaTheme="majorEastAsia"/>
          <w:sz w:val="22"/>
          <w:szCs w:val="22"/>
        </w:rPr>
        <w:t>調查案件及糾正案件</w:t>
      </w:r>
      <w:r w:rsidRPr="00443CFF">
        <w:rPr>
          <w:rFonts w:eastAsiaTheme="majorEastAsia"/>
          <w:sz w:val="22"/>
          <w:szCs w:val="22"/>
          <w:lang w:eastAsia="zh-HK"/>
        </w:rPr>
        <w:t>係</w:t>
      </w:r>
      <w:r w:rsidRPr="00443CFF">
        <w:rPr>
          <w:rFonts w:eastAsiaTheme="majorEastAsia"/>
          <w:sz w:val="22"/>
          <w:szCs w:val="22"/>
        </w:rPr>
        <w:t>以調查委員之認定，</w:t>
      </w:r>
      <w:r w:rsidRPr="00443CFF">
        <w:rPr>
          <w:rFonts w:eastAsiaTheme="majorEastAsia"/>
          <w:sz w:val="22"/>
          <w:szCs w:val="22"/>
          <w:lang w:eastAsia="zh-HK"/>
        </w:rPr>
        <w:t>進行主要人權及次要人權之分類</w:t>
      </w:r>
      <w:r w:rsidRPr="00443CFF">
        <w:rPr>
          <w:rFonts w:eastAsiaTheme="majorEastAsia"/>
          <w:sz w:val="22"/>
          <w:szCs w:val="22"/>
        </w:rPr>
        <w:t>，統計時間以調查報告及糾正案經監察院常設委員會審議通過日期為準。</w:t>
      </w:r>
      <w:r w:rsidRPr="00443CFF">
        <w:rPr>
          <w:rFonts w:eastAsiaTheme="majorEastAsia"/>
          <w:sz w:val="22"/>
          <w:szCs w:val="22"/>
          <w:lang w:eastAsia="zh-HK"/>
        </w:rPr>
        <w:t>茲考量本實錄編撰內容之一致性與順暢性，部分案件參考調查委員勾選之次要人權類別編排。</w:t>
      </w:r>
      <w:bookmarkStart w:id="709" w:name="_Toc443463635"/>
      <w:bookmarkStart w:id="710" w:name="_Toc445899417"/>
      <w:bookmarkStart w:id="711" w:name="_Toc450738909"/>
      <w:bookmarkStart w:id="712" w:name="_Toc450743333"/>
      <w:bookmarkStart w:id="713" w:name="_Toc452130891"/>
      <w:bookmarkStart w:id="714" w:name="_Toc453165839"/>
      <w:bookmarkStart w:id="715" w:name="_Toc508113025"/>
    </w:p>
    <w:p w:rsidR="00B76F2F" w:rsidRDefault="00B76F2F">
      <w:pPr>
        <w:widowControl/>
        <w:snapToGrid/>
        <w:sectPr w:rsidR="00B76F2F" w:rsidSect="000315BA">
          <w:headerReference w:type="default" r:id="rId34"/>
          <w:pgSz w:w="8392" w:h="11907" w:code="11"/>
          <w:pgMar w:top="1701" w:right="794" w:bottom="1134" w:left="964" w:header="624" w:footer="397" w:gutter="0"/>
          <w:cols w:space="425"/>
          <w:docGrid w:type="lines" w:linePitch="360" w:charSpace="4127"/>
        </w:sectPr>
      </w:pPr>
    </w:p>
    <w:p w:rsidR="00855D70" w:rsidRDefault="00855D70" w:rsidP="00855D70">
      <w:pPr>
        <w:pStyle w:val="11--0"/>
        <w:spacing w:beforeLines="0" w:before="0" w:afterLines="0" w:after="0" w:line="240" w:lineRule="auto"/>
        <w:rPr>
          <w:rFonts w:ascii="細明體" w:eastAsia="細明體" w:hAnsi="細明體" w:cs="細明體"/>
        </w:rPr>
      </w:pPr>
      <w:bookmarkStart w:id="716" w:name="_Toc470007112"/>
      <w:bookmarkEnd w:id="709"/>
      <w:bookmarkEnd w:id="710"/>
      <w:bookmarkEnd w:id="711"/>
      <w:bookmarkEnd w:id="712"/>
      <w:bookmarkEnd w:id="713"/>
      <w:bookmarkEnd w:id="714"/>
      <w:bookmarkEnd w:id="715"/>
      <w:r w:rsidRPr="00D240A1">
        <w:lastRenderedPageBreak/>
        <w:t>附錄</w:t>
      </w:r>
      <w:r w:rsidRPr="00F56F3E">
        <w:rPr>
          <w:rFonts w:hAnsi="細明體" w:cs="細明體" w:hint="eastAsia"/>
        </w:rPr>
        <w:t>三</w:t>
      </w:r>
      <w:r w:rsidRPr="00D240A1">
        <w:rPr>
          <w:rFonts w:ascii="細明體" w:eastAsia="細明體" w:hAnsi="細明體" w:cs="細明體" w:hint="eastAsia"/>
        </w:rPr>
        <w:t xml:space="preserve">　</w:t>
      </w:r>
    </w:p>
    <w:p w:rsidR="00855D70" w:rsidRPr="000B7407" w:rsidRDefault="00855D70" w:rsidP="00855D70">
      <w:pPr>
        <w:pStyle w:val="11--0"/>
        <w:snapToGrid w:val="0"/>
        <w:spacing w:beforeLines="0" w:before="0" w:afterLines="0" w:after="0" w:line="240" w:lineRule="auto"/>
        <w:ind w:left="238"/>
        <w:jc w:val="center"/>
        <w:rPr>
          <w:rFonts w:ascii="Times New Roman" w:eastAsia="華康粗明體" w:hAnsi="Times New Roman"/>
          <w:sz w:val="28"/>
          <w:szCs w:val="28"/>
        </w:rPr>
      </w:pPr>
      <w:r w:rsidRPr="000B7407">
        <w:rPr>
          <w:rFonts w:ascii="Times New Roman" w:eastAsia="華康粗明體" w:hAnsi="Times New Roman"/>
          <w:sz w:val="28"/>
          <w:szCs w:val="28"/>
        </w:rPr>
        <w:t>世界人權宣言</w:t>
      </w:r>
      <w:bookmarkEnd w:id="716"/>
    </w:p>
    <w:p w:rsidR="00855D70" w:rsidRPr="000B7407" w:rsidRDefault="00855D70" w:rsidP="00855D70">
      <w:pPr>
        <w:pStyle w:val="1---"/>
        <w:snapToGrid w:val="0"/>
        <w:spacing w:line="240" w:lineRule="auto"/>
        <w:ind w:left="238" w:firstLine="560"/>
        <w:jc w:val="center"/>
        <w:rPr>
          <w:rFonts w:eastAsia="華康粗明體"/>
          <w:sz w:val="28"/>
        </w:rPr>
      </w:pPr>
      <w:r w:rsidRPr="000B7407">
        <w:rPr>
          <w:rFonts w:eastAsia="華康粗明體"/>
          <w:sz w:val="28"/>
        </w:rPr>
        <w:t>Universal Declaration of Human Rights</w:t>
      </w:r>
    </w:p>
    <w:p w:rsidR="00855D70" w:rsidRPr="00243D2B" w:rsidRDefault="00855D70" w:rsidP="00855D70">
      <w:pPr>
        <w:pStyle w:val="1---"/>
        <w:snapToGrid w:val="0"/>
        <w:spacing w:line="240" w:lineRule="auto"/>
        <w:ind w:left="238" w:firstLine="560"/>
        <w:jc w:val="center"/>
      </w:pPr>
      <w:r w:rsidRPr="000B7407">
        <w:rPr>
          <w:rFonts w:eastAsia="華康粗明體"/>
          <w:sz w:val="28"/>
        </w:rPr>
        <w:t>聯合國大會</w:t>
      </w:r>
      <w:r w:rsidRPr="000B7407">
        <w:rPr>
          <w:rFonts w:eastAsia="華康粗明體"/>
          <w:sz w:val="28"/>
        </w:rPr>
        <w:t>1948</w:t>
      </w:r>
      <w:r w:rsidRPr="000B7407">
        <w:rPr>
          <w:rFonts w:eastAsia="華康粗明體"/>
          <w:sz w:val="28"/>
        </w:rPr>
        <w:t>年</w:t>
      </w:r>
      <w:r w:rsidRPr="000B7407">
        <w:rPr>
          <w:rFonts w:eastAsia="華康粗明體"/>
          <w:sz w:val="28"/>
        </w:rPr>
        <w:t>12</w:t>
      </w:r>
      <w:r w:rsidRPr="000B7407">
        <w:rPr>
          <w:rFonts w:eastAsia="華康粗明體"/>
          <w:sz w:val="28"/>
        </w:rPr>
        <w:t>月</w:t>
      </w:r>
      <w:r w:rsidRPr="000B7407">
        <w:rPr>
          <w:rFonts w:eastAsia="華康粗明體"/>
          <w:sz w:val="28"/>
        </w:rPr>
        <w:t>10</w:t>
      </w:r>
      <w:r w:rsidRPr="000B7407">
        <w:rPr>
          <w:rFonts w:eastAsia="華康粗明體"/>
          <w:sz w:val="28"/>
        </w:rPr>
        <w:t>日通過並宣布</w:t>
      </w:r>
    </w:p>
    <w:p w:rsidR="00855D70" w:rsidRPr="00855D70" w:rsidRDefault="00855D70" w:rsidP="00855D70">
      <w:pPr>
        <w:pStyle w:val="11--"/>
        <w:spacing w:beforeLines="50" w:before="180" w:afterLines="50" w:after="180" w:line="240" w:lineRule="auto"/>
        <w:ind w:firstLineChars="0" w:firstLine="0"/>
        <w:jc w:val="center"/>
        <w:rPr>
          <w:rFonts w:ascii="華康新特明體" w:eastAsia="華康新特明體"/>
          <w:szCs w:val="24"/>
        </w:rPr>
      </w:pPr>
      <w:r w:rsidRPr="00855D70">
        <w:rPr>
          <w:rFonts w:ascii="華康新特明體" w:eastAsia="華康新特明體" w:hint="eastAsia"/>
          <w:szCs w:val="24"/>
        </w:rPr>
        <w:t>序 言</w:t>
      </w:r>
    </w:p>
    <w:p w:rsidR="00855D70" w:rsidRPr="00243D2B" w:rsidRDefault="00855D70" w:rsidP="00855D70">
      <w:pPr>
        <w:pStyle w:val="11--"/>
        <w:ind w:firstLine="480"/>
      </w:pPr>
      <w:r w:rsidRPr="00243D2B">
        <w:rPr>
          <w:rFonts w:hint="eastAsia"/>
        </w:rPr>
        <w:t>鑒於對人類家庭所有成員的固有尊嚴及其平等的和不移的權利的承認，乃是世界自由、正義與和平的基礎；鑒於對人權的無視和侮蔑已發展為野蠻暴行，這些暴行玷污了人類的良心，而一個人人享有言論和信仰自由並免予恐懼和匱乏的世界的來臨，已被宣佈為普遍人民的最高願望；鑒於為使人類不致迫不得已鋌而走險對暴政和壓迫進行反叛，有必要使人權受法治的保護；鑒於有必要促進各國間友好關係的發展；鑒於各聯合國國家人民已在《聯合國憲章》中重申他們對基本人權、人格尊嚴和價值以及男女平等權利的信念，並決心促成較大自由中的社會進步和生活水平的改善；鑒於各會員國並已誓願同聯合國合作以促進對人權和基本自由的普遍尊重和遵行；鑒於這些權利和自由的普遍了解對于這個誓願的充分實現具有很大的重要性。因此，現在大會發佈這一《世界人權宣言》，作為所有人民和所有國家努力實現的共同標準，以期每一個人和社會機構經常銘念本宣言，努力通過教誨和教育促進對權利和自由的尊重，並通過國家的和國際的漸進措施，使這些權利和自由在各會員國本身人民及在其管轄下領土的人民中得到普遍和有效的承認和遵行。</w:t>
      </w:r>
    </w:p>
    <w:p w:rsidR="00CF6634" w:rsidRPr="00FC1484" w:rsidRDefault="00CF6634" w:rsidP="00274413">
      <w:pPr>
        <w:pStyle w:val="affa"/>
        <w:ind w:left="1416" w:hangingChars="590" w:hanging="1416"/>
        <w:rPr>
          <w:rFonts w:ascii="Times New Roman"/>
        </w:rPr>
      </w:pPr>
      <w:r w:rsidRPr="00FC1484">
        <w:rPr>
          <w:rFonts w:ascii="Times New Roman"/>
        </w:rPr>
        <w:lastRenderedPageBreak/>
        <w:t>主體思想</w:t>
      </w:r>
    </w:p>
    <w:p w:rsidR="00CF6634" w:rsidRPr="00FC1484" w:rsidRDefault="00CF6634" w:rsidP="003B68F8">
      <w:pPr>
        <w:pStyle w:val="1---"/>
        <w:spacing w:before="180" w:after="180"/>
        <w:ind w:left="984" w:hangingChars="410" w:hanging="984"/>
      </w:pPr>
      <w:r w:rsidRPr="00FC1484">
        <w:t xml:space="preserve">第一條　</w:t>
      </w:r>
      <w:r w:rsidR="003B68F8">
        <w:rPr>
          <w:rFonts w:hint="eastAsia"/>
          <w:lang w:eastAsia="zh-TW"/>
        </w:rPr>
        <w:tab/>
      </w:r>
      <w:r w:rsidRPr="00FC1484">
        <w:t>人人生而自由，在尊嚴和權利上一律平等。他們賦有理性和良心，並應以兄弟關係的精神相對待。</w:t>
      </w:r>
    </w:p>
    <w:p w:rsidR="00CF6634" w:rsidRPr="00FC1484" w:rsidRDefault="00CF6634" w:rsidP="00CF6634">
      <w:pPr>
        <w:pStyle w:val="affa"/>
        <w:rPr>
          <w:rFonts w:ascii="Times New Roman"/>
        </w:rPr>
      </w:pPr>
      <w:r w:rsidRPr="00FC1484">
        <w:rPr>
          <w:rFonts w:ascii="Times New Roman"/>
        </w:rPr>
        <w:t>平等原則</w:t>
      </w:r>
    </w:p>
    <w:p w:rsidR="00CF6634" w:rsidRPr="00FC1484" w:rsidRDefault="00CF6634" w:rsidP="003B68F8">
      <w:pPr>
        <w:pStyle w:val="1---"/>
        <w:spacing w:before="180" w:after="180"/>
        <w:ind w:left="984" w:hangingChars="410" w:hanging="984"/>
      </w:pPr>
      <w:r w:rsidRPr="00FC1484">
        <w:t xml:space="preserve">第二條　</w:t>
      </w:r>
      <w:r w:rsidR="003B68F8">
        <w:rPr>
          <w:rFonts w:hint="eastAsia"/>
          <w:lang w:eastAsia="zh-TW"/>
        </w:rPr>
        <w:tab/>
      </w:r>
      <w:r w:rsidRPr="00FC1484">
        <w:t>人人有資格享受本宣言所載的一切權利和自由，不分種族、膚色、性別、語言、宗教、政治或其他見解、</w:t>
      </w:r>
      <w:r w:rsidRPr="00BF0440">
        <w:t>國籍或社會出身、財產、出生</w:t>
      </w:r>
      <w:r w:rsidRPr="00FC1484">
        <w:rPr>
          <w:spacing w:val="4"/>
        </w:rPr>
        <w:t>或其他身分等任何區別</w:t>
      </w:r>
      <w:r w:rsidRPr="00FC1484">
        <w:t>。並且不得因一人所屬的國家或領土的政治的、行政的或者國際的地位之不同而有所區別，無論該領土是獨立領土、托管領土、非自治領土或者處於其他任何主權受限制的情況之下。</w:t>
      </w:r>
    </w:p>
    <w:p w:rsidR="00CF6634" w:rsidRPr="00FC1484" w:rsidRDefault="00CF6634" w:rsidP="00CF6634">
      <w:pPr>
        <w:pStyle w:val="affa"/>
        <w:rPr>
          <w:rFonts w:ascii="Times New Roman"/>
        </w:rPr>
      </w:pPr>
      <w:r w:rsidRPr="00FC1484">
        <w:rPr>
          <w:rFonts w:ascii="Times New Roman"/>
        </w:rPr>
        <w:t>公民、政治、權利</w:t>
      </w:r>
    </w:p>
    <w:p w:rsidR="00CF6634" w:rsidRPr="00FC1484" w:rsidRDefault="00CF6634" w:rsidP="003B68F8">
      <w:pPr>
        <w:pStyle w:val="1---"/>
        <w:ind w:left="984" w:hangingChars="410" w:hanging="984"/>
      </w:pPr>
      <w:r w:rsidRPr="00FC1484">
        <w:t xml:space="preserve">第三條　</w:t>
      </w:r>
      <w:r w:rsidR="003B68F8">
        <w:rPr>
          <w:rFonts w:hint="eastAsia"/>
          <w:lang w:eastAsia="zh-TW"/>
        </w:rPr>
        <w:tab/>
      </w:r>
      <w:r w:rsidRPr="00FC1484">
        <w:t>人人有權享有生命、自由和人身安全。</w:t>
      </w:r>
    </w:p>
    <w:p w:rsidR="00CF6634" w:rsidRPr="00FC1484" w:rsidRDefault="00CF6634" w:rsidP="003B68F8">
      <w:pPr>
        <w:pStyle w:val="1---"/>
        <w:ind w:left="984" w:hangingChars="410" w:hanging="984"/>
      </w:pPr>
      <w:r w:rsidRPr="00FC1484">
        <w:t xml:space="preserve">第四條　</w:t>
      </w:r>
      <w:r w:rsidR="003B68F8">
        <w:rPr>
          <w:rFonts w:hint="eastAsia"/>
          <w:lang w:eastAsia="zh-TW"/>
        </w:rPr>
        <w:tab/>
      </w:r>
      <w:r w:rsidRPr="00FC1484">
        <w:t>任何人不得使為奴隸或奴役；一切形式的奴隸制度和奴隸買賣，均應予以禁止。</w:t>
      </w:r>
    </w:p>
    <w:p w:rsidR="00CF6634" w:rsidRPr="00FC1484" w:rsidRDefault="00CF6634" w:rsidP="003B68F8">
      <w:pPr>
        <w:pStyle w:val="1---"/>
        <w:ind w:left="984" w:hangingChars="410" w:hanging="984"/>
      </w:pPr>
      <w:r w:rsidRPr="00FC1484">
        <w:t xml:space="preserve">第五條　</w:t>
      </w:r>
      <w:r w:rsidR="003B68F8">
        <w:rPr>
          <w:rFonts w:hint="eastAsia"/>
          <w:lang w:eastAsia="zh-TW"/>
        </w:rPr>
        <w:tab/>
      </w:r>
      <w:r w:rsidRPr="00FC1484">
        <w:t>任何人不得加以酷刑，或施以殘忍的、不人道的或侮辱性的待遇或刑罰。</w:t>
      </w:r>
    </w:p>
    <w:p w:rsidR="00CF6634" w:rsidRPr="00FC1484" w:rsidRDefault="00CF6634" w:rsidP="003B68F8">
      <w:pPr>
        <w:pStyle w:val="1---"/>
        <w:ind w:left="984" w:hangingChars="410" w:hanging="984"/>
      </w:pPr>
      <w:r w:rsidRPr="00FC1484">
        <w:t xml:space="preserve">第六條　</w:t>
      </w:r>
      <w:r w:rsidR="003B68F8">
        <w:rPr>
          <w:rFonts w:hint="eastAsia"/>
          <w:lang w:eastAsia="zh-TW"/>
        </w:rPr>
        <w:tab/>
      </w:r>
      <w:r w:rsidRPr="00FC1484">
        <w:t>人人在任何地方有權被承認在法律前的人格。</w:t>
      </w:r>
    </w:p>
    <w:p w:rsidR="00CF6634" w:rsidRPr="00FC1484" w:rsidRDefault="00CF6634" w:rsidP="003B68F8">
      <w:pPr>
        <w:pStyle w:val="1---"/>
        <w:ind w:left="984" w:hangingChars="410" w:hanging="984"/>
      </w:pPr>
      <w:r w:rsidRPr="00FC1484">
        <w:t xml:space="preserve">第七條　</w:t>
      </w:r>
      <w:r w:rsidR="003B68F8">
        <w:rPr>
          <w:rFonts w:hint="eastAsia"/>
          <w:lang w:eastAsia="zh-TW"/>
        </w:rPr>
        <w:tab/>
      </w:r>
      <w:r w:rsidRPr="00FC1484">
        <w:t>法律之前人人平等，並有權享受法律的平等保護，不受任何歧視。人人有權享受平等保護，以免受違反本宣言的任何歧視行為以及煽動這種歧視的任何行為之害。</w:t>
      </w:r>
    </w:p>
    <w:p w:rsidR="00CF6634" w:rsidRPr="00FC1484" w:rsidRDefault="00CF6634" w:rsidP="003B68F8">
      <w:pPr>
        <w:pStyle w:val="1---"/>
        <w:ind w:left="984" w:hangingChars="410" w:hanging="984"/>
      </w:pPr>
      <w:r w:rsidRPr="00FC1484">
        <w:lastRenderedPageBreak/>
        <w:t xml:space="preserve">第八條　</w:t>
      </w:r>
      <w:r w:rsidR="003B68F8">
        <w:rPr>
          <w:rFonts w:hint="eastAsia"/>
          <w:lang w:eastAsia="zh-TW"/>
        </w:rPr>
        <w:tab/>
      </w:r>
      <w:r w:rsidRPr="009E6303">
        <w:t>任何人當憲法或法律所賦予他的基本權利遭受侵害時</w:t>
      </w:r>
      <w:r w:rsidRPr="00FC1484">
        <w:t>，有權由合格的國家法庭對這種侵害行為作有效的補救。</w:t>
      </w:r>
    </w:p>
    <w:p w:rsidR="00CF6634" w:rsidRPr="00FC1484" w:rsidRDefault="00CF6634" w:rsidP="003B68F8">
      <w:pPr>
        <w:pStyle w:val="1---"/>
        <w:ind w:left="984" w:hangingChars="410" w:hanging="984"/>
      </w:pPr>
      <w:r w:rsidRPr="00FC1484">
        <w:t xml:space="preserve">第九條　</w:t>
      </w:r>
      <w:r w:rsidR="003B68F8">
        <w:rPr>
          <w:rFonts w:hint="eastAsia"/>
          <w:lang w:eastAsia="zh-TW"/>
        </w:rPr>
        <w:tab/>
      </w:r>
      <w:r w:rsidRPr="00FC1484">
        <w:t>任何人不得加以任意逮捕、拘禁或放逐。</w:t>
      </w:r>
    </w:p>
    <w:p w:rsidR="00CF6634" w:rsidRPr="00FC1484" w:rsidRDefault="00CF6634" w:rsidP="003B68F8">
      <w:pPr>
        <w:pStyle w:val="1---"/>
        <w:ind w:left="984" w:hangingChars="410" w:hanging="984"/>
      </w:pPr>
      <w:r w:rsidRPr="00FC1484">
        <w:t xml:space="preserve">第十條　</w:t>
      </w:r>
      <w:r w:rsidR="003B68F8">
        <w:rPr>
          <w:rFonts w:hint="eastAsia"/>
          <w:lang w:eastAsia="zh-TW"/>
        </w:rPr>
        <w:tab/>
      </w:r>
      <w:r w:rsidRPr="00FC1484">
        <w:t>人人完全平等地有權由一個獨立而無偏倚的法庭進行公正和公開的審訊，以確定他的權利和義務並判定對他提出的任何刑事指控。</w:t>
      </w:r>
    </w:p>
    <w:p w:rsidR="00B14626" w:rsidRDefault="00CF6634" w:rsidP="00B14626">
      <w:pPr>
        <w:pStyle w:val="1---"/>
        <w:ind w:left="1690" w:hangingChars="704" w:hanging="1690"/>
        <w:rPr>
          <w:lang w:eastAsia="zh-TW"/>
        </w:rPr>
      </w:pPr>
      <w:r w:rsidRPr="00FC1484">
        <w:t>第十一條　一、</w:t>
      </w:r>
      <w:r w:rsidR="00B14626">
        <w:rPr>
          <w:rFonts w:hint="eastAsia"/>
          <w:lang w:eastAsia="zh-TW"/>
        </w:rPr>
        <w:tab/>
      </w:r>
      <w:r w:rsidRPr="00FC1484">
        <w:t>凡受刑事控告者，在未經獲得辯護上所需的一切保證的公開審判而依法證實有罪以前，有權被視為無罪。</w:t>
      </w:r>
    </w:p>
    <w:p w:rsidR="00CF6634" w:rsidRPr="00FC1484" w:rsidRDefault="00B14626" w:rsidP="00B14626">
      <w:pPr>
        <w:pStyle w:val="1---"/>
        <w:ind w:left="1690" w:hangingChars="704" w:hanging="1690"/>
      </w:pPr>
      <w:r>
        <w:rPr>
          <w:rFonts w:hint="eastAsia"/>
          <w:lang w:eastAsia="zh-TW"/>
        </w:rPr>
        <w:t xml:space="preserve">　　　　　</w:t>
      </w:r>
      <w:r w:rsidR="00CF6634" w:rsidRPr="00FC1484">
        <w:t>二、</w:t>
      </w:r>
      <w:r>
        <w:rPr>
          <w:rFonts w:hint="eastAsia"/>
          <w:lang w:eastAsia="zh-TW"/>
        </w:rPr>
        <w:tab/>
      </w:r>
      <w:r w:rsidR="00CF6634" w:rsidRPr="00FC1484">
        <w:t>任何人的任何行為或不行為，在其發生時依國家法或國際法均不構成刑事罪者，不得被判為犯有刑事罪。刑罰不得重於犯罪時適用的法律規定。</w:t>
      </w:r>
    </w:p>
    <w:p w:rsidR="00CF6634" w:rsidRPr="00FC1484" w:rsidRDefault="00CF6634" w:rsidP="00B13A72">
      <w:pPr>
        <w:pStyle w:val="1---"/>
        <w:ind w:left="1224" w:hangingChars="510" w:hanging="1224"/>
      </w:pPr>
      <w:r w:rsidRPr="00FC1484">
        <w:t xml:space="preserve">第十二條　</w:t>
      </w:r>
      <w:r w:rsidR="00B13A72">
        <w:rPr>
          <w:rFonts w:hint="eastAsia"/>
          <w:lang w:eastAsia="zh-TW"/>
        </w:rPr>
        <w:tab/>
      </w:r>
      <w:r w:rsidRPr="00FC1484">
        <w:t>任何人的私生活、家庭、住宅和通信不得任意干涉，他的榮譽和名譽不得加以攻擊。人人有權享受法律保護，以免受這種干涉或攻擊。</w:t>
      </w:r>
    </w:p>
    <w:p w:rsidR="00CF6634" w:rsidRPr="00FC1484" w:rsidRDefault="00CF6634" w:rsidP="00B14626">
      <w:pPr>
        <w:pStyle w:val="1---"/>
        <w:ind w:left="1690" w:hangingChars="704" w:hanging="1690"/>
      </w:pPr>
      <w:r w:rsidRPr="00FC1484">
        <w:t>第十三條　一、</w:t>
      </w:r>
      <w:r w:rsidR="00B14626">
        <w:rPr>
          <w:rFonts w:hint="eastAsia"/>
          <w:lang w:eastAsia="zh-TW"/>
        </w:rPr>
        <w:tab/>
      </w:r>
      <w:r w:rsidRPr="00FC1484">
        <w:t>人人在各國境內有權自由遷徙和居住。</w:t>
      </w:r>
    </w:p>
    <w:p w:rsidR="00CF6634" w:rsidRPr="00FC1484" w:rsidRDefault="00B14626" w:rsidP="00B14626">
      <w:pPr>
        <w:pStyle w:val="1---"/>
        <w:ind w:left="1690" w:hangingChars="704" w:hanging="1690"/>
      </w:pPr>
      <w:r>
        <w:rPr>
          <w:rFonts w:hint="eastAsia"/>
          <w:lang w:eastAsia="zh-TW"/>
        </w:rPr>
        <w:t xml:space="preserve">　　　　　</w:t>
      </w:r>
      <w:r w:rsidR="00CF6634" w:rsidRPr="00FC1484">
        <w:t>二、</w:t>
      </w:r>
      <w:r>
        <w:rPr>
          <w:rFonts w:hint="eastAsia"/>
          <w:lang w:eastAsia="zh-TW"/>
        </w:rPr>
        <w:tab/>
      </w:r>
      <w:r w:rsidR="00CF6634" w:rsidRPr="00FC1484">
        <w:t>人人有權離開任何國家，包括其本國在內，並有權返回他的國家。</w:t>
      </w:r>
    </w:p>
    <w:p w:rsidR="00CF6634" w:rsidRPr="00FC1484" w:rsidRDefault="00CF6634" w:rsidP="00B14626">
      <w:pPr>
        <w:pStyle w:val="1---"/>
        <w:ind w:left="1690" w:hangingChars="704" w:hanging="1690"/>
      </w:pPr>
      <w:r w:rsidRPr="00FC1484">
        <w:t>第十四條　一、</w:t>
      </w:r>
      <w:r w:rsidR="00B14626">
        <w:rPr>
          <w:rFonts w:hint="eastAsia"/>
          <w:lang w:eastAsia="zh-TW"/>
        </w:rPr>
        <w:tab/>
      </w:r>
      <w:r w:rsidRPr="00FC1484">
        <w:t>人人有權在其他國家尋求和享受庇護以避免迫害。</w:t>
      </w:r>
    </w:p>
    <w:p w:rsidR="00CF6634" w:rsidRPr="00FC1484" w:rsidRDefault="00B14626" w:rsidP="00B14626">
      <w:pPr>
        <w:pStyle w:val="1---"/>
        <w:ind w:left="1690" w:hangingChars="704" w:hanging="1690"/>
      </w:pPr>
      <w:r>
        <w:rPr>
          <w:rFonts w:hint="eastAsia"/>
          <w:lang w:eastAsia="zh-TW"/>
        </w:rPr>
        <w:t xml:space="preserve">　　　　　</w:t>
      </w:r>
      <w:r w:rsidR="00CF6634" w:rsidRPr="00FC1484">
        <w:t>二、</w:t>
      </w:r>
      <w:r>
        <w:rPr>
          <w:rFonts w:hint="eastAsia"/>
          <w:lang w:eastAsia="zh-TW"/>
        </w:rPr>
        <w:tab/>
      </w:r>
      <w:r w:rsidR="00CF6634" w:rsidRPr="00FC1484">
        <w:t>在真正由於非政治性的罪行或違背聯合國的宗旨和原則的行為而被起訴的情況下，不得援用此種權利。</w:t>
      </w:r>
    </w:p>
    <w:p w:rsidR="00CF6634" w:rsidRPr="00FC1484" w:rsidRDefault="00CF6634" w:rsidP="00B14626">
      <w:pPr>
        <w:pStyle w:val="1---"/>
        <w:ind w:left="1690" w:hangingChars="704" w:hanging="1690"/>
      </w:pPr>
      <w:r w:rsidRPr="00FC1484">
        <w:lastRenderedPageBreak/>
        <w:t>第十五條　一、</w:t>
      </w:r>
      <w:r w:rsidR="00B14626">
        <w:rPr>
          <w:rFonts w:hint="eastAsia"/>
          <w:lang w:eastAsia="zh-TW"/>
        </w:rPr>
        <w:tab/>
      </w:r>
      <w:r w:rsidRPr="00FC1484">
        <w:t>人人有權享有國籍。</w:t>
      </w:r>
    </w:p>
    <w:p w:rsidR="00CF6634" w:rsidRPr="00FC1484" w:rsidRDefault="00B14626" w:rsidP="00B14626">
      <w:pPr>
        <w:pStyle w:val="1---"/>
        <w:ind w:left="1690" w:hangingChars="704" w:hanging="1690"/>
      </w:pPr>
      <w:r>
        <w:rPr>
          <w:rFonts w:hint="eastAsia"/>
          <w:lang w:eastAsia="zh-TW"/>
        </w:rPr>
        <w:t xml:space="preserve">　　　　　</w:t>
      </w:r>
      <w:r w:rsidR="00CF6634" w:rsidRPr="00FC1484">
        <w:t>二、</w:t>
      </w:r>
      <w:r>
        <w:rPr>
          <w:rFonts w:hint="eastAsia"/>
          <w:lang w:eastAsia="zh-TW"/>
        </w:rPr>
        <w:tab/>
      </w:r>
      <w:r w:rsidR="00CF6634" w:rsidRPr="00FC1484">
        <w:t>任何人的國籍不得任意剝奪，亦不得否認其改變國籍的權利。</w:t>
      </w:r>
    </w:p>
    <w:p w:rsidR="00CF6634" w:rsidRPr="00FC1484" w:rsidRDefault="00CF6634" w:rsidP="00B14626">
      <w:pPr>
        <w:pStyle w:val="1---"/>
        <w:ind w:left="1690" w:hangingChars="704" w:hanging="1690"/>
      </w:pPr>
      <w:r w:rsidRPr="00FC1484">
        <w:t>第十六條　一、</w:t>
      </w:r>
      <w:r w:rsidR="00B14626">
        <w:rPr>
          <w:rFonts w:hint="eastAsia"/>
          <w:lang w:eastAsia="zh-TW"/>
        </w:rPr>
        <w:tab/>
      </w:r>
      <w:r w:rsidRPr="00FC1484">
        <w:t>成年男女，不受種族、國籍或宗教的任何限制，有權婚嫁和成立家庭。他們在婚姻方面，在結婚期間和在解除婚約時，應有平等的權利。</w:t>
      </w:r>
    </w:p>
    <w:p w:rsidR="00B14626" w:rsidRDefault="00B14626" w:rsidP="00B14626">
      <w:pPr>
        <w:pStyle w:val="1---"/>
        <w:ind w:left="1690" w:hangingChars="704" w:hanging="1690"/>
        <w:rPr>
          <w:lang w:eastAsia="zh-TW"/>
        </w:rPr>
      </w:pPr>
      <w:r>
        <w:rPr>
          <w:rFonts w:hint="eastAsia"/>
          <w:lang w:eastAsia="zh-TW"/>
        </w:rPr>
        <w:t xml:space="preserve">　　　　　</w:t>
      </w:r>
      <w:r w:rsidR="00CF6634" w:rsidRPr="00FC1484">
        <w:t>二、</w:t>
      </w:r>
      <w:r>
        <w:rPr>
          <w:rFonts w:hint="eastAsia"/>
          <w:lang w:eastAsia="zh-TW"/>
        </w:rPr>
        <w:tab/>
      </w:r>
      <w:r w:rsidR="00CF6634" w:rsidRPr="00FC1484">
        <w:t>只有經男女雙方的自由的和完全的同意，才能締結婚姻。</w:t>
      </w:r>
    </w:p>
    <w:p w:rsidR="00CF6634" w:rsidRPr="00FC1484" w:rsidRDefault="00B14626" w:rsidP="00B14626">
      <w:pPr>
        <w:pStyle w:val="1---"/>
        <w:ind w:left="1690" w:hangingChars="704" w:hanging="1690"/>
      </w:pPr>
      <w:r>
        <w:rPr>
          <w:rFonts w:hint="eastAsia"/>
          <w:lang w:eastAsia="zh-TW"/>
        </w:rPr>
        <w:t xml:space="preserve">　　　　　</w:t>
      </w:r>
      <w:r w:rsidR="00CF6634" w:rsidRPr="00FC1484">
        <w:t>三、</w:t>
      </w:r>
      <w:r>
        <w:rPr>
          <w:rFonts w:hint="eastAsia"/>
          <w:lang w:eastAsia="zh-TW"/>
        </w:rPr>
        <w:tab/>
      </w:r>
      <w:r w:rsidR="00CF6634" w:rsidRPr="00FC1484">
        <w:t>家庭是天然的和基本的社會單元，並應受社會和國家的保護。</w:t>
      </w:r>
    </w:p>
    <w:p w:rsidR="00CF6634" w:rsidRPr="00FC1484" w:rsidRDefault="00CF6634" w:rsidP="005A6884">
      <w:pPr>
        <w:pStyle w:val="1---"/>
        <w:ind w:left="1690" w:hangingChars="704" w:hanging="1690"/>
      </w:pPr>
      <w:r w:rsidRPr="00FC1484">
        <w:t>第十七條　一、</w:t>
      </w:r>
      <w:r w:rsidR="00B14626">
        <w:rPr>
          <w:rFonts w:hint="eastAsia"/>
          <w:lang w:eastAsia="zh-TW"/>
        </w:rPr>
        <w:tab/>
      </w:r>
      <w:r w:rsidRPr="00FC1484">
        <w:t>人人得有單獨的財產所有權以及同他人合有的所有權。</w:t>
      </w:r>
    </w:p>
    <w:p w:rsidR="00CF6634" w:rsidRPr="00FC1484" w:rsidRDefault="00B14626" w:rsidP="00B14626">
      <w:pPr>
        <w:pStyle w:val="1---"/>
        <w:ind w:left="1690" w:hangingChars="704" w:hanging="1690"/>
      </w:pPr>
      <w:r>
        <w:rPr>
          <w:rFonts w:hint="eastAsia"/>
          <w:lang w:eastAsia="zh-TW"/>
        </w:rPr>
        <w:t xml:space="preserve">　　　　　</w:t>
      </w:r>
      <w:r w:rsidR="00CF6634" w:rsidRPr="00FC1484">
        <w:t>二、</w:t>
      </w:r>
      <w:r>
        <w:rPr>
          <w:rFonts w:hint="eastAsia"/>
          <w:lang w:eastAsia="zh-TW"/>
        </w:rPr>
        <w:tab/>
      </w:r>
      <w:r w:rsidR="00CF6634" w:rsidRPr="00FC1484">
        <w:t>任何人的財產不得任意剝奪。</w:t>
      </w:r>
    </w:p>
    <w:p w:rsidR="00CF6634" w:rsidRPr="00FC1484" w:rsidRDefault="00CF6634" w:rsidP="00B13A72">
      <w:pPr>
        <w:pStyle w:val="1---"/>
        <w:ind w:left="1224" w:hangingChars="510" w:hanging="1224"/>
      </w:pPr>
      <w:r w:rsidRPr="00FC1484">
        <w:t xml:space="preserve">第十八條　</w:t>
      </w:r>
      <w:r w:rsidR="00B13A72">
        <w:rPr>
          <w:rFonts w:hint="eastAsia"/>
          <w:lang w:eastAsia="zh-TW"/>
        </w:rPr>
        <w:tab/>
      </w:r>
      <w:r w:rsidRPr="00FC1484">
        <w:t>人人有思想、良心和宗教自由的權利；此項權利包括改變他的宗教或信仰的自由，以及單獨或集體、公開或祕密地以教義、實踐、禮拜和戒律表示他的宗教或信仰的自由。</w:t>
      </w:r>
    </w:p>
    <w:p w:rsidR="00CF6634" w:rsidRPr="00FC1484" w:rsidRDefault="00CF6634" w:rsidP="00B13A72">
      <w:pPr>
        <w:pStyle w:val="1---"/>
        <w:ind w:left="1224" w:hangingChars="510" w:hanging="1224"/>
      </w:pPr>
      <w:r w:rsidRPr="00FC1484">
        <w:t xml:space="preserve">第十九條　</w:t>
      </w:r>
      <w:r w:rsidR="00B13A72">
        <w:rPr>
          <w:rFonts w:hint="eastAsia"/>
          <w:lang w:eastAsia="zh-TW"/>
        </w:rPr>
        <w:tab/>
      </w:r>
      <w:r w:rsidRPr="00FC1484">
        <w:t>人人有權享受主張和發表意見的自由；此項權利包括持有主張而不受干涉的自由，和通過任何媒介和不論國界尋求、接受和傳遞消息和思想的自由。</w:t>
      </w:r>
    </w:p>
    <w:p w:rsidR="00CF6634" w:rsidRPr="00FC1484" w:rsidRDefault="00CF6634" w:rsidP="00B14626">
      <w:pPr>
        <w:pStyle w:val="1---"/>
        <w:ind w:left="1210" w:hangingChars="504" w:hanging="1210"/>
      </w:pPr>
      <w:r w:rsidRPr="00FC1484">
        <w:t>第二十條　一、人人有權享有和平集會和結社的自由。</w:t>
      </w:r>
    </w:p>
    <w:p w:rsidR="00CF6634" w:rsidRPr="00FC1484" w:rsidRDefault="000F6A2F" w:rsidP="00B14626">
      <w:pPr>
        <w:pStyle w:val="1---"/>
        <w:ind w:left="1690" w:hangingChars="704" w:hanging="1690"/>
      </w:pPr>
      <w:r>
        <w:rPr>
          <w:rFonts w:hint="eastAsia"/>
          <w:lang w:eastAsia="zh-TW"/>
        </w:rPr>
        <w:t xml:space="preserve">　　　　　</w:t>
      </w:r>
      <w:r w:rsidR="00CF6634" w:rsidRPr="00FC1484">
        <w:t>二、任何人不得迫使隸屬於某一團體。</w:t>
      </w:r>
    </w:p>
    <w:p w:rsidR="00CF6634" w:rsidRPr="00FC1484" w:rsidRDefault="00CF6634" w:rsidP="00D32A44">
      <w:pPr>
        <w:pStyle w:val="1---"/>
        <w:ind w:left="1930" w:hangingChars="804" w:hanging="1930"/>
      </w:pPr>
      <w:r w:rsidRPr="00FC1484">
        <w:t>第二十一條　一、</w:t>
      </w:r>
      <w:r w:rsidR="00D32A44">
        <w:rPr>
          <w:rFonts w:hint="eastAsia"/>
          <w:lang w:eastAsia="zh-TW"/>
        </w:rPr>
        <w:tab/>
      </w:r>
      <w:r w:rsidRPr="00FC1484">
        <w:t>人人有直接或通過自由選擇的代表參與治理本國的權利。</w:t>
      </w:r>
    </w:p>
    <w:p w:rsidR="00CF6634" w:rsidRPr="00FC1484" w:rsidRDefault="000F6A2F" w:rsidP="00D32A44">
      <w:pPr>
        <w:pStyle w:val="1---"/>
        <w:ind w:left="1930" w:hangingChars="804" w:hanging="1930"/>
      </w:pPr>
      <w:r>
        <w:rPr>
          <w:rFonts w:hint="eastAsia"/>
          <w:lang w:eastAsia="zh-TW"/>
        </w:rPr>
        <w:t xml:space="preserve">　　　　　　</w:t>
      </w:r>
      <w:r w:rsidR="00CF6634" w:rsidRPr="00FC1484">
        <w:t>二、</w:t>
      </w:r>
      <w:r w:rsidR="00D32A44">
        <w:rPr>
          <w:rFonts w:hint="eastAsia"/>
          <w:lang w:eastAsia="zh-TW"/>
        </w:rPr>
        <w:tab/>
      </w:r>
      <w:r w:rsidR="00CF6634" w:rsidRPr="00FC1484">
        <w:t>人人有平等機會參加本國公務的權利。</w:t>
      </w:r>
    </w:p>
    <w:p w:rsidR="00CF6634" w:rsidRPr="00FC1484" w:rsidRDefault="00D32A44" w:rsidP="00D32A44">
      <w:pPr>
        <w:pStyle w:val="1---"/>
        <w:ind w:left="1930" w:hangingChars="804" w:hanging="1930"/>
      </w:pPr>
      <w:r>
        <w:rPr>
          <w:rFonts w:hint="eastAsia"/>
          <w:lang w:eastAsia="zh-TW"/>
        </w:rPr>
        <w:lastRenderedPageBreak/>
        <w:t xml:space="preserve">　　　　　　</w:t>
      </w:r>
      <w:r w:rsidR="00CF6634" w:rsidRPr="00FC1484">
        <w:t>三、</w:t>
      </w:r>
      <w:r>
        <w:rPr>
          <w:rFonts w:hint="eastAsia"/>
          <w:lang w:eastAsia="zh-TW"/>
        </w:rPr>
        <w:tab/>
      </w:r>
      <w:r w:rsidR="00CF6634" w:rsidRPr="00FC1484">
        <w:t>人民的意志是政府權力的基礎；這一意志應以定期的和真正的選舉予以表現，而選舉應依據普遍和平等的投票權，並以不記名投票或相當的自由投票程序進行。</w:t>
      </w:r>
    </w:p>
    <w:p w:rsidR="00CF6634" w:rsidRPr="00FC1484" w:rsidRDefault="00CF6634" w:rsidP="00CF6634">
      <w:pPr>
        <w:pStyle w:val="affa"/>
        <w:rPr>
          <w:rFonts w:ascii="Times New Roman"/>
        </w:rPr>
      </w:pPr>
      <w:r w:rsidRPr="00FC1484">
        <w:rPr>
          <w:rFonts w:ascii="Times New Roman"/>
        </w:rPr>
        <w:t>經濟、社會、文化的權利</w:t>
      </w:r>
    </w:p>
    <w:p w:rsidR="00CF6634" w:rsidRPr="00FC1484" w:rsidRDefault="00CF6634" w:rsidP="006C771F">
      <w:pPr>
        <w:pStyle w:val="1---"/>
        <w:ind w:left="1464" w:hangingChars="610" w:hanging="1464"/>
      </w:pPr>
      <w:r w:rsidRPr="00FC1484">
        <w:t xml:space="preserve">第二十二條　</w:t>
      </w:r>
      <w:r w:rsidR="006C771F">
        <w:rPr>
          <w:rFonts w:hint="eastAsia"/>
          <w:lang w:eastAsia="zh-TW"/>
        </w:rPr>
        <w:tab/>
      </w:r>
      <w:r w:rsidRPr="00FC1484">
        <w:t>每個人，作為社會的一員，有權享受社會保障，並有權享受他的個人尊嚴和人格的自由發展所必需的經濟、社會和文化方面各種權利的實現，這種實現是通過國家努力和國際合作並依照各國的組織和資源情況。</w:t>
      </w:r>
    </w:p>
    <w:p w:rsidR="00CF6634" w:rsidRPr="00FC1484" w:rsidRDefault="00CF6634" w:rsidP="00D32A44">
      <w:pPr>
        <w:pStyle w:val="1---"/>
        <w:ind w:left="1930" w:hangingChars="804" w:hanging="1930"/>
      </w:pPr>
      <w:r w:rsidRPr="00FC1484">
        <w:t>第二十三條　一、</w:t>
      </w:r>
      <w:r w:rsidR="00D32A44">
        <w:rPr>
          <w:rFonts w:hint="eastAsia"/>
          <w:lang w:eastAsia="zh-TW"/>
        </w:rPr>
        <w:tab/>
      </w:r>
      <w:r w:rsidRPr="00FC1484">
        <w:t>人人有權工作，自由選擇職業、享受公正和合適的工作條件並享受免於失業的保障。</w:t>
      </w:r>
    </w:p>
    <w:p w:rsidR="00CF6634" w:rsidRPr="00FC1484" w:rsidRDefault="00D32A44" w:rsidP="00D32A44">
      <w:pPr>
        <w:pStyle w:val="1---"/>
        <w:ind w:left="1930" w:hangingChars="804" w:hanging="1930"/>
      </w:pPr>
      <w:r>
        <w:rPr>
          <w:rFonts w:hint="eastAsia"/>
          <w:lang w:eastAsia="zh-TW"/>
        </w:rPr>
        <w:t xml:space="preserve">　　　　　　</w:t>
      </w:r>
      <w:r w:rsidR="00CF6634" w:rsidRPr="00FC1484">
        <w:t>二、</w:t>
      </w:r>
      <w:r>
        <w:rPr>
          <w:rFonts w:hint="eastAsia"/>
          <w:lang w:eastAsia="zh-TW"/>
        </w:rPr>
        <w:tab/>
      </w:r>
      <w:r w:rsidR="00CF6634" w:rsidRPr="00FC1484">
        <w:t>人人有同工同酬的權利，不受任何歧視。</w:t>
      </w:r>
    </w:p>
    <w:p w:rsidR="00D32A44" w:rsidRDefault="00D32A44" w:rsidP="00D32A44">
      <w:pPr>
        <w:pStyle w:val="1---"/>
        <w:ind w:left="1930" w:hangingChars="804" w:hanging="1930"/>
        <w:rPr>
          <w:lang w:eastAsia="zh-TW"/>
        </w:rPr>
      </w:pPr>
      <w:r>
        <w:rPr>
          <w:rFonts w:hint="eastAsia"/>
          <w:lang w:eastAsia="zh-TW"/>
        </w:rPr>
        <w:t xml:space="preserve">　　　　　　</w:t>
      </w:r>
      <w:r w:rsidR="00CF6634" w:rsidRPr="00FC1484">
        <w:t>三、</w:t>
      </w:r>
      <w:r>
        <w:rPr>
          <w:rFonts w:hint="eastAsia"/>
          <w:lang w:eastAsia="zh-TW"/>
        </w:rPr>
        <w:tab/>
      </w:r>
      <w:r w:rsidR="00CF6634" w:rsidRPr="00FC1484">
        <w:t>每一個工作的人，有權享受公正和合適的報酬，保證使他本人和家屬有一個符合人的尊嚴的生活條件，必要時並輔以其他方式的社會保障。</w:t>
      </w:r>
    </w:p>
    <w:p w:rsidR="00CF6634" w:rsidRPr="00FC1484" w:rsidRDefault="00D32A44" w:rsidP="00D32A44">
      <w:pPr>
        <w:pStyle w:val="1---"/>
        <w:ind w:left="1930" w:hangingChars="804" w:hanging="1930"/>
      </w:pPr>
      <w:r>
        <w:rPr>
          <w:rFonts w:hint="eastAsia"/>
          <w:lang w:eastAsia="zh-TW"/>
        </w:rPr>
        <w:t xml:space="preserve">　　　　　　</w:t>
      </w:r>
      <w:r w:rsidR="00CF6634" w:rsidRPr="00FC1484">
        <w:t>四、</w:t>
      </w:r>
      <w:r>
        <w:rPr>
          <w:rFonts w:hint="eastAsia"/>
          <w:lang w:eastAsia="zh-TW"/>
        </w:rPr>
        <w:tab/>
      </w:r>
      <w:r w:rsidR="00CF6634" w:rsidRPr="00FC1484">
        <w:t>人人有為維護其利益而組織和參加工會的權利。</w:t>
      </w:r>
    </w:p>
    <w:p w:rsidR="00CF6634" w:rsidRPr="00FC1484" w:rsidRDefault="00CF6634" w:rsidP="00D32A44">
      <w:pPr>
        <w:pStyle w:val="1---"/>
        <w:ind w:left="1450" w:hangingChars="604" w:hanging="1450"/>
      </w:pPr>
      <w:r w:rsidRPr="00FC1484">
        <w:t xml:space="preserve">第二十四條　</w:t>
      </w:r>
      <w:r w:rsidR="00D32A44">
        <w:rPr>
          <w:rFonts w:hint="eastAsia"/>
          <w:lang w:eastAsia="zh-TW"/>
        </w:rPr>
        <w:tab/>
      </w:r>
      <w:r w:rsidRPr="00FC1484">
        <w:t>人人有享受休息和閒暇的權利，包括工作時間有合理限制和定期給薪休假的權利。</w:t>
      </w:r>
    </w:p>
    <w:p w:rsidR="00CF6634" w:rsidRPr="00FC1484" w:rsidRDefault="00CF6634" w:rsidP="00D32A44">
      <w:pPr>
        <w:pStyle w:val="1---"/>
        <w:ind w:left="1930" w:hangingChars="804" w:hanging="1930"/>
      </w:pPr>
      <w:r w:rsidRPr="00FC1484">
        <w:t>第二十五條　一、</w:t>
      </w:r>
      <w:r w:rsidR="00D32A44">
        <w:rPr>
          <w:rFonts w:hint="eastAsia"/>
          <w:lang w:eastAsia="zh-TW"/>
        </w:rPr>
        <w:tab/>
      </w:r>
      <w:r w:rsidRPr="00FC1484">
        <w:t>人人有權享受為維持他本人和家屬的健康和福利所需的生活水準，包括食物、衣著、住房、醫療和必要的社會服務；在遭到失業、</w:t>
      </w:r>
      <w:r w:rsidRPr="00FC1484">
        <w:lastRenderedPageBreak/>
        <w:t>疾病、殘廢、守寡、衰老或在其他不能控制的情況下喪失謀生能力時，有權享受保障。</w:t>
      </w:r>
    </w:p>
    <w:p w:rsidR="00CF6634" w:rsidRPr="00FC1484" w:rsidRDefault="00D32A44" w:rsidP="00D32A44">
      <w:pPr>
        <w:pStyle w:val="1---"/>
        <w:ind w:left="1930" w:hangingChars="804" w:hanging="1930"/>
      </w:pPr>
      <w:r>
        <w:rPr>
          <w:rFonts w:hint="eastAsia"/>
          <w:lang w:eastAsia="zh-TW"/>
        </w:rPr>
        <w:t xml:space="preserve">　　　　　　</w:t>
      </w:r>
      <w:r w:rsidR="00CF6634" w:rsidRPr="00FC1484">
        <w:t>二、</w:t>
      </w:r>
      <w:r>
        <w:rPr>
          <w:rFonts w:hint="eastAsia"/>
          <w:lang w:eastAsia="zh-TW"/>
        </w:rPr>
        <w:tab/>
      </w:r>
      <w:r w:rsidR="00CF6634" w:rsidRPr="00FC1484">
        <w:t>母親和兒童有權享受特別照顧和協助。一切兒童，無論婚生或非婚生，都應享受同樣的社會保護。</w:t>
      </w:r>
    </w:p>
    <w:p w:rsidR="00D32A44" w:rsidRDefault="00CF6634" w:rsidP="00D32A44">
      <w:pPr>
        <w:pStyle w:val="1---"/>
        <w:ind w:left="1930" w:hangingChars="804" w:hanging="1930"/>
        <w:rPr>
          <w:lang w:eastAsia="zh-TW"/>
        </w:rPr>
      </w:pPr>
      <w:r w:rsidRPr="00FC1484">
        <w:t>第二十六條　一、</w:t>
      </w:r>
      <w:r w:rsidR="00D32A44">
        <w:rPr>
          <w:rFonts w:hint="eastAsia"/>
          <w:lang w:eastAsia="zh-TW"/>
        </w:rPr>
        <w:tab/>
      </w:r>
      <w:r w:rsidRPr="00FC1484">
        <w:t>人人都有受教育的權利，教育應當免費，至少在初級和基本階段應如此。初級教育應屬義務性質。技術和職業教育應普遍設立。高等教育應根據成績而對一切人平等開放。</w:t>
      </w:r>
    </w:p>
    <w:p w:rsidR="00D32A44" w:rsidRDefault="00D32A44" w:rsidP="00D32A44">
      <w:pPr>
        <w:pStyle w:val="1---"/>
        <w:ind w:left="1930" w:hangingChars="804" w:hanging="1930"/>
        <w:rPr>
          <w:lang w:eastAsia="zh-TW"/>
        </w:rPr>
      </w:pPr>
      <w:r>
        <w:rPr>
          <w:rFonts w:hint="eastAsia"/>
          <w:lang w:eastAsia="zh-TW"/>
        </w:rPr>
        <w:t xml:space="preserve">　　　　　　</w:t>
      </w:r>
      <w:r w:rsidR="00CF6634" w:rsidRPr="00FC1484">
        <w:t>二、</w:t>
      </w:r>
      <w:r>
        <w:rPr>
          <w:rFonts w:hint="eastAsia"/>
          <w:lang w:eastAsia="zh-TW"/>
        </w:rPr>
        <w:tab/>
      </w:r>
      <w:r w:rsidR="00CF6634" w:rsidRPr="00FC1484">
        <w:t>教育的目的在於充分發展人的個性並加強對人權和基本自由的尊重。教育應促進各國、各種族或各宗教集團間的了解、容忍和友誼，並應促進聯合國維護和平的各項活動。</w:t>
      </w:r>
    </w:p>
    <w:p w:rsidR="00CF6634" w:rsidRPr="00FC1484" w:rsidRDefault="00D32A44" w:rsidP="00D32A44">
      <w:pPr>
        <w:pStyle w:val="1---"/>
        <w:ind w:left="1930" w:hangingChars="804" w:hanging="1930"/>
      </w:pPr>
      <w:r>
        <w:rPr>
          <w:rFonts w:hint="eastAsia"/>
          <w:lang w:eastAsia="zh-TW"/>
        </w:rPr>
        <w:t xml:space="preserve">　　　　　　</w:t>
      </w:r>
      <w:r w:rsidR="00CF6634" w:rsidRPr="00FC1484">
        <w:t>三、</w:t>
      </w:r>
      <w:r>
        <w:rPr>
          <w:rFonts w:hint="eastAsia"/>
          <w:lang w:eastAsia="zh-TW"/>
        </w:rPr>
        <w:tab/>
      </w:r>
      <w:r w:rsidR="00CF6634" w:rsidRPr="00FC1484">
        <w:t>父母對其子女所應受的教育的種類，有優先選擇的權利。</w:t>
      </w:r>
    </w:p>
    <w:p w:rsidR="00CF6634" w:rsidRPr="00FC1484" w:rsidRDefault="00CF6634" w:rsidP="00D32A44">
      <w:pPr>
        <w:pStyle w:val="1---"/>
        <w:ind w:left="1930" w:hangingChars="804" w:hanging="1930"/>
      </w:pPr>
      <w:r w:rsidRPr="00FC1484">
        <w:t>第二十七條　一、</w:t>
      </w:r>
      <w:r w:rsidR="00D32A44">
        <w:rPr>
          <w:rFonts w:hint="eastAsia"/>
          <w:lang w:eastAsia="zh-TW"/>
        </w:rPr>
        <w:tab/>
      </w:r>
      <w:r w:rsidRPr="009E6303">
        <w:t>人人有權自由參加社會的文化生活，享受藝術</w:t>
      </w:r>
      <w:r w:rsidRPr="00FC1484">
        <w:t>，並分享科學進步及其產生的福利。</w:t>
      </w:r>
    </w:p>
    <w:p w:rsidR="00CF6634" w:rsidRPr="00FC1484" w:rsidRDefault="00D32A44" w:rsidP="00D32A44">
      <w:pPr>
        <w:pStyle w:val="1---"/>
        <w:ind w:left="1930" w:hangingChars="804" w:hanging="1930"/>
      </w:pPr>
      <w:r>
        <w:rPr>
          <w:rFonts w:hint="eastAsia"/>
          <w:lang w:eastAsia="zh-TW"/>
        </w:rPr>
        <w:t xml:space="preserve">　　　　　　</w:t>
      </w:r>
      <w:r w:rsidR="00CF6634" w:rsidRPr="00FC1484">
        <w:t>二、</w:t>
      </w:r>
      <w:r>
        <w:rPr>
          <w:rFonts w:hint="eastAsia"/>
          <w:lang w:eastAsia="zh-TW"/>
        </w:rPr>
        <w:tab/>
      </w:r>
      <w:r w:rsidR="00CF6634" w:rsidRPr="00FC1484">
        <w:t>人人對由於他所創作的任何科學、文學或美術作品而產生的精神的和物質的利益，有享受保護的權利。</w:t>
      </w:r>
    </w:p>
    <w:p w:rsidR="00CF6634" w:rsidRPr="00FC1484" w:rsidRDefault="00CF6634" w:rsidP="00DB1482">
      <w:pPr>
        <w:pStyle w:val="1---"/>
        <w:ind w:left="1464" w:hangingChars="610" w:hanging="1464"/>
      </w:pPr>
      <w:r w:rsidRPr="00FC1484">
        <w:t xml:space="preserve">第二十八條　</w:t>
      </w:r>
      <w:r w:rsidR="00DB1482">
        <w:rPr>
          <w:rFonts w:hint="eastAsia"/>
          <w:lang w:eastAsia="zh-TW"/>
        </w:rPr>
        <w:tab/>
      </w:r>
      <w:r w:rsidRPr="00FC1484">
        <w:t>人人有權要求一種社會和國際的秩序，在這種秩</w:t>
      </w:r>
      <w:r w:rsidRPr="00D32A44">
        <w:rPr>
          <w:spacing w:val="2"/>
        </w:rPr>
        <w:t>序中，本宣言所載的權利和自由能獲得充分實</w:t>
      </w:r>
      <w:r w:rsidR="00D32A44">
        <w:rPr>
          <w:rFonts w:hint="eastAsia"/>
          <w:spacing w:val="2"/>
          <w:lang w:eastAsia="zh-TW"/>
        </w:rPr>
        <w:t xml:space="preserve">　</w:t>
      </w:r>
      <w:r w:rsidRPr="00D32A44">
        <w:rPr>
          <w:spacing w:val="2"/>
        </w:rPr>
        <w:t>現。</w:t>
      </w:r>
    </w:p>
    <w:p w:rsidR="00D32A44" w:rsidRDefault="00CF6634" w:rsidP="00D32A44">
      <w:pPr>
        <w:pStyle w:val="1---"/>
        <w:ind w:left="1930" w:hangingChars="804" w:hanging="1930"/>
        <w:rPr>
          <w:lang w:eastAsia="zh-TW"/>
        </w:rPr>
      </w:pPr>
      <w:r w:rsidRPr="00FC1484">
        <w:t>第二十九條　一、</w:t>
      </w:r>
      <w:r w:rsidR="00D32A44">
        <w:rPr>
          <w:rFonts w:hint="eastAsia"/>
          <w:lang w:eastAsia="zh-TW"/>
        </w:rPr>
        <w:tab/>
      </w:r>
      <w:r w:rsidRPr="00FC1484">
        <w:t>人人對社會負有義務，因為只有在社會中他的個性才可能得到自由和充分的發展。</w:t>
      </w:r>
    </w:p>
    <w:p w:rsidR="00D32A44" w:rsidRDefault="00D32A44" w:rsidP="00F56F3E">
      <w:pPr>
        <w:pStyle w:val="1---"/>
        <w:ind w:left="1930" w:hangingChars="804" w:hanging="1930"/>
        <w:rPr>
          <w:lang w:eastAsia="zh-TW"/>
        </w:rPr>
      </w:pPr>
      <w:r>
        <w:rPr>
          <w:rFonts w:hint="eastAsia"/>
          <w:lang w:eastAsia="zh-TW"/>
        </w:rPr>
        <w:lastRenderedPageBreak/>
        <w:t xml:space="preserve">　　　　　　</w:t>
      </w:r>
      <w:r w:rsidR="00CF6634" w:rsidRPr="00FC1484">
        <w:t>二、</w:t>
      </w:r>
      <w:r>
        <w:rPr>
          <w:rFonts w:hint="eastAsia"/>
          <w:lang w:eastAsia="zh-TW"/>
        </w:rPr>
        <w:tab/>
      </w:r>
      <w:r w:rsidR="00CF6634" w:rsidRPr="00FC1484">
        <w:t>人人在行使他的權利和自由時，只受法律所確定的限制，確定此種限制的唯一目的在於保證對旁人的權利和自由給予應有的承認和尊重，並在一個民主的社會中適應道德、公共秩序和普遍福利的正當需要。</w:t>
      </w:r>
    </w:p>
    <w:p w:rsidR="00CF6634" w:rsidRPr="00FC1484" w:rsidRDefault="00D32A44" w:rsidP="00D32A44">
      <w:pPr>
        <w:pStyle w:val="1---"/>
        <w:ind w:left="1930" w:hangingChars="804" w:hanging="1930"/>
      </w:pPr>
      <w:r>
        <w:rPr>
          <w:rFonts w:hint="eastAsia"/>
          <w:lang w:eastAsia="zh-TW"/>
        </w:rPr>
        <w:t xml:space="preserve">　　　　　　</w:t>
      </w:r>
      <w:r w:rsidR="00CF6634" w:rsidRPr="00FC1484">
        <w:t>三、</w:t>
      </w:r>
      <w:r>
        <w:rPr>
          <w:rFonts w:hint="eastAsia"/>
          <w:lang w:eastAsia="zh-TW"/>
        </w:rPr>
        <w:tab/>
      </w:r>
      <w:r w:rsidR="00CF6634" w:rsidRPr="00FC1484">
        <w:t>這些權利和自由的行使，無論在任何情形下均不得違背聯合國的宗旨和原則。</w:t>
      </w:r>
    </w:p>
    <w:p w:rsidR="00CF6634" w:rsidRPr="00FC1484" w:rsidRDefault="00CF6634" w:rsidP="00DB1482">
      <w:pPr>
        <w:pStyle w:val="1---"/>
        <w:ind w:left="1224" w:hangingChars="510" w:hanging="1224"/>
      </w:pPr>
      <w:r w:rsidRPr="00FC1484">
        <w:t xml:space="preserve">第三十條　</w:t>
      </w:r>
      <w:r w:rsidR="00DB1482">
        <w:rPr>
          <w:rFonts w:hint="eastAsia"/>
          <w:lang w:eastAsia="zh-TW"/>
        </w:rPr>
        <w:tab/>
      </w:r>
      <w:r w:rsidRPr="00FC1484">
        <w:t>本宣言的任何條文，不得解釋為默許任何國家、集團或個人有權進行任何旨在破壞本宣言所載的任何權利和自由的活動或行為。</w:t>
      </w:r>
    </w:p>
    <w:p w:rsidR="00CF6634" w:rsidRPr="00FC1484" w:rsidRDefault="00CF6634" w:rsidP="00274413">
      <w:pPr>
        <w:pStyle w:val="1---"/>
        <w:spacing w:before="180" w:after="180"/>
        <w:ind w:firstLine="480"/>
      </w:pPr>
    </w:p>
    <w:p w:rsidR="00CF6634" w:rsidRPr="00FC1484" w:rsidRDefault="00CF6634" w:rsidP="00274413">
      <w:pPr>
        <w:pStyle w:val="1---"/>
        <w:spacing w:before="180" w:after="180"/>
        <w:ind w:firstLine="480"/>
        <w:sectPr w:rsidR="00CF6634" w:rsidRPr="00FC1484" w:rsidSect="00F56F3E">
          <w:headerReference w:type="default" r:id="rId35"/>
          <w:pgSz w:w="8392" w:h="11907" w:code="11"/>
          <w:pgMar w:top="1701" w:right="794" w:bottom="1134" w:left="964" w:header="624" w:footer="397" w:gutter="0"/>
          <w:cols w:space="425"/>
          <w:docGrid w:type="lines" w:linePitch="360" w:charSpace="4127"/>
        </w:sectPr>
      </w:pPr>
    </w:p>
    <w:p w:rsidR="0054652A" w:rsidRDefault="0054652A" w:rsidP="0054652A">
      <w:pPr>
        <w:pStyle w:val="11--0"/>
        <w:spacing w:beforeLines="0" w:before="0" w:afterLines="0" w:after="0" w:line="240" w:lineRule="auto"/>
        <w:rPr>
          <w:rFonts w:ascii="細明體" w:eastAsia="細明體" w:hAnsi="細明體" w:cs="細明體"/>
        </w:rPr>
      </w:pPr>
      <w:r w:rsidRPr="00D240A1">
        <w:lastRenderedPageBreak/>
        <w:t>附錄</w:t>
      </w:r>
      <w:r w:rsidRPr="0054652A">
        <w:rPr>
          <w:rFonts w:hAnsi="細明體" w:cs="細明體" w:hint="eastAsia"/>
        </w:rPr>
        <w:t>四</w:t>
      </w:r>
      <w:r w:rsidRPr="00D240A1">
        <w:rPr>
          <w:rFonts w:ascii="細明體" w:eastAsia="細明體" w:hAnsi="細明體" w:cs="細明體" w:hint="eastAsia"/>
        </w:rPr>
        <w:t xml:space="preserve">　</w:t>
      </w:r>
    </w:p>
    <w:p w:rsidR="0054652A" w:rsidRPr="00C74FB1" w:rsidRDefault="0054652A" w:rsidP="0054652A">
      <w:pPr>
        <w:pStyle w:val="11--"/>
        <w:ind w:firstLineChars="0" w:firstLine="0"/>
        <w:jc w:val="center"/>
        <w:rPr>
          <w:rFonts w:eastAsia="華康粗明體"/>
          <w:sz w:val="28"/>
        </w:rPr>
      </w:pPr>
      <w:r w:rsidRPr="00C74FB1">
        <w:rPr>
          <w:rFonts w:eastAsia="華康粗明體"/>
          <w:sz w:val="28"/>
        </w:rPr>
        <w:t>公民與政治權利國際公約</w:t>
      </w:r>
    </w:p>
    <w:p w:rsidR="0054652A" w:rsidRPr="00C74FB1" w:rsidRDefault="0054652A" w:rsidP="0054652A">
      <w:pPr>
        <w:pStyle w:val="11--"/>
        <w:ind w:firstLineChars="0" w:firstLine="0"/>
        <w:jc w:val="center"/>
        <w:rPr>
          <w:rFonts w:eastAsia="華康粗明體"/>
          <w:sz w:val="28"/>
        </w:rPr>
      </w:pPr>
      <w:r w:rsidRPr="00C74FB1">
        <w:rPr>
          <w:rFonts w:eastAsia="華康粗明體"/>
          <w:sz w:val="28"/>
        </w:rPr>
        <w:t>International Covenant on Civil and Political Rights</w:t>
      </w:r>
    </w:p>
    <w:p w:rsidR="0054652A" w:rsidRPr="00C74FB1" w:rsidRDefault="0054652A" w:rsidP="0054652A">
      <w:pPr>
        <w:pStyle w:val="11--"/>
        <w:ind w:firstLineChars="0" w:firstLine="0"/>
        <w:jc w:val="center"/>
        <w:rPr>
          <w:rFonts w:eastAsia="華康粗明體"/>
          <w:sz w:val="28"/>
        </w:rPr>
      </w:pPr>
      <w:r w:rsidRPr="00C74FB1">
        <w:rPr>
          <w:rFonts w:eastAsia="華康粗明體"/>
          <w:sz w:val="28"/>
        </w:rPr>
        <w:t>聯合國大會</w:t>
      </w:r>
      <w:r w:rsidRPr="00C74FB1">
        <w:rPr>
          <w:rFonts w:eastAsia="華康粗明體"/>
          <w:sz w:val="28"/>
        </w:rPr>
        <w:t>1966</w:t>
      </w:r>
      <w:r w:rsidRPr="00C74FB1">
        <w:rPr>
          <w:rFonts w:eastAsia="華康粗明體"/>
          <w:sz w:val="28"/>
        </w:rPr>
        <w:t>年</w:t>
      </w:r>
      <w:r w:rsidRPr="00C74FB1">
        <w:rPr>
          <w:rFonts w:eastAsia="華康粗明體"/>
          <w:sz w:val="28"/>
        </w:rPr>
        <w:t>12</w:t>
      </w:r>
      <w:r w:rsidRPr="00C74FB1">
        <w:rPr>
          <w:rFonts w:eastAsia="華康粗明體"/>
          <w:sz w:val="28"/>
        </w:rPr>
        <w:t>月</w:t>
      </w:r>
      <w:r w:rsidRPr="00C74FB1">
        <w:rPr>
          <w:rFonts w:eastAsia="華康粗明體"/>
          <w:sz w:val="28"/>
        </w:rPr>
        <w:t>16</w:t>
      </w:r>
      <w:r w:rsidRPr="00C74FB1">
        <w:rPr>
          <w:rFonts w:eastAsia="華康粗明體"/>
          <w:sz w:val="28"/>
        </w:rPr>
        <w:t>日通過</w:t>
      </w:r>
    </w:p>
    <w:p w:rsidR="0054652A" w:rsidRPr="00C74FB1" w:rsidRDefault="0054652A" w:rsidP="0054652A">
      <w:pPr>
        <w:pStyle w:val="11--"/>
        <w:ind w:firstLineChars="0" w:firstLine="0"/>
        <w:jc w:val="center"/>
        <w:rPr>
          <w:rFonts w:eastAsia="華康粗明體"/>
          <w:sz w:val="28"/>
        </w:rPr>
      </w:pPr>
      <w:r w:rsidRPr="00C74FB1">
        <w:rPr>
          <w:rFonts w:eastAsia="華康粗明體"/>
          <w:sz w:val="28"/>
        </w:rPr>
        <w:t>1976</w:t>
      </w:r>
      <w:r w:rsidRPr="00C20CF5">
        <w:rPr>
          <w:rFonts w:ascii="華康粗明體" w:eastAsia="華康粗明體" w:hAnsi="細明體" w:cs="細明體" w:hint="eastAsia"/>
          <w:sz w:val="28"/>
          <w:lang w:eastAsia="zh-TW"/>
        </w:rPr>
        <w:t>年</w:t>
      </w:r>
      <w:r w:rsidRPr="00C74FB1">
        <w:rPr>
          <w:rFonts w:eastAsia="華康粗明體"/>
          <w:sz w:val="28"/>
        </w:rPr>
        <w:t>3</w:t>
      </w:r>
      <w:r w:rsidRPr="00C74FB1">
        <w:rPr>
          <w:rFonts w:eastAsia="華康粗明體"/>
          <w:sz w:val="28"/>
        </w:rPr>
        <w:t>月</w:t>
      </w:r>
      <w:r w:rsidRPr="00C74FB1">
        <w:rPr>
          <w:rFonts w:eastAsia="華康粗明體"/>
          <w:sz w:val="28"/>
        </w:rPr>
        <w:t>23</w:t>
      </w:r>
      <w:r w:rsidRPr="00C74FB1">
        <w:rPr>
          <w:rFonts w:eastAsia="華康粗明體"/>
          <w:sz w:val="28"/>
        </w:rPr>
        <w:t>日生效</w:t>
      </w:r>
    </w:p>
    <w:p w:rsidR="00CF6634" w:rsidRPr="00FC1484" w:rsidRDefault="00CF6634" w:rsidP="00F87B67">
      <w:pPr>
        <w:pStyle w:val="affa"/>
        <w:spacing w:after="120"/>
        <w:rPr>
          <w:rFonts w:ascii="Times New Roman"/>
        </w:rPr>
      </w:pPr>
      <w:r w:rsidRPr="00FC1484">
        <w:rPr>
          <w:rFonts w:ascii="Times New Roman"/>
        </w:rPr>
        <w:t>前</w:t>
      </w:r>
      <w:r w:rsidR="00F87B67">
        <w:rPr>
          <w:rFonts w:ascii="Times New Roman" w:hint="eastAsia"/>
        </w:rPr>
        <w:t xml:space="preserve">　</w:t>
      </w:r>
      <w:r w:rsidRPr="00FC1484">
        <w:rPr>
          <w:rFonts w:ascii="Times New Roman"/>
        </w:rPr>
        <w:t>文</w:t>
      </w:r>
    </w:p>
    <w:p w:rsidR="00CF6634" w:rsidRPr="00FC1484" w:rsidRDefault="00CF6634" w:rsidP="00F87B67">
      <w:pPr>
        <w:pStyle w:val="1---"/>
        <w:spacing w:before="180" w:after="180"/>
        <w:ind w:firstLine="464"/>
      </w:pPr>
      <w:r w:rsidRPr="00FC1484">
        <w:rPr>
          <w:spacing w:val="-4"/>
        </w:rPr>
        <w:t>本公約締約國，鑒於依據聯合國憲章揭示之原則，人類一家</w:t>
      </w:r>
      <w:r w:rsidRPr="00FC1484">
        <w:t>，對於人人天賦尊嚴及其平等而且不可割讓權利之確認，實係世界自由、正義與和平之基礎；確認此種權利源於天賦人格尊嚴；確認依據世界人權宣言之昭示，唯有創造環境，使人人除享有經濟社會文化權利而外，並得享受公民及政治權利，始克實現自由人類享受公民及政治自由無所恐懼不虞匱乏之理想。鑒於聯合國憲章之規定，各國負有義務，必須促進人權及自由之普遍尊重及遵</w:t>
      </w:r>
      <w:r w:rsidRPr="00FC1484">
        <w:rPr>
          <w:spacing w:val="4"/>
        </w:rPr>
        <w:t>守；明認個人對他人及對其隷屬之社會，負有義務，故職責所在</w:t>
      </w:r>
      <w:r w:rsidRPr="00FC1484">
        <w:t>，必須力求本公約所確認各種權利之促進及遵守，爰議定條款如下：</w:t>
      </w:r>
    </w:p>
    <w:p w:rsidR="00CF6634" w:rsidRPr="00FC1484" w:rsidRDefault="00CF6634" w:rsidP="0041744C">
      <w:pPr>
        <w:pStyle w:val="affa"/>
        <w:rPr>
          <w:rFonts w:ascii="Times New Roman"/>
        </w:rPr>
      </w:pPr>
      <w:r w:rsidRPr="00FC1484">
        <w:rPr>
          <w:rFonts w:ascii="Times New Roman"/>
        </w:rPr>
        <w:t>第</w:t>
      </w:r>
      <w:r w:rsidR="00F87B67">
        <w:rPr>
          <w:rFonts w:ascii="Times New Roman" w:hint="eastAsia"/>
        </w:rPr>
        <w:t xml:space="preserve"> </w:t>
      </w:r>
      <w:r w:rsidRPr="00FC1484">
        <w:rPr>
          <w:rFonts w:ascii="Times New Roman"/>
        </w:rPr>
        <w:t>壹</w:t>
      </w:r>
      <w:r w:rsidR="00F87B67">
        <w:rPr>
          <w:rFonts w:ascii="Times New Roman" w:hint="eastAsia"/>
        </w:rPr>
        <w:t xml:space="preserve"> </w:t>
      </w:r>
      <w:r w:rsidRPr="00FC1484">
        <w:rPr>
          <w:rFonts w:ascii="Times New Roman"/>
        </w:rPr>
        <w:t>編</w:t>
      </w:r>
    </w:p>
    <w:p w:rsidR="005A6884" w:rsidRDefault="00CF6634" w:rsidP="00E07758">
      <w:pPr>
        <w:pStyle w:val="1---"/>
        <w:ind w:left="1464" w:hangingChars="610" w:hanging="1464"/>
        <w:rPr>
          <w:spacing w:val="2"/>
          <w:lang w:eastAsia="zh-TW"/>
        </w:rPr>
      </w:pPr>
      <w:r w:rsidRPr="00FC1484">
        <w:t>第一條　一、</w:t>
      </w:r>
      <w:r w:rsidR="00E07758">
        <w:rPr>
          <w:rFonts w:hint="eastAsia"/>
          <w:lang w:eastAsia="zh-TW"/>
        </w:rPr>
        <w:tab/>
      </w:r>
      <w:r w:rsidRPr="00FC1484">
        <w:t>所有民族均享有自決權，根據此種權利，自由決定</w:t>
      </w:r>
      <w:r w:rsidRPr="00FC1484">
        <w:rPr>
          <w:spacing w:val="2"/>
        </w:rPr>
        <w:t>其政治地位並自由從事其經濟、社會與文化之發展。</w:t>
      </w:r>
    </w:p>
    <w:p w:rsidR="005A6884" w:rsidRDefault="005A6884" w:rsidP="00970832">
      <w:pPr>
        <w:pStyle w:val="1---"/>
        <w:ind w:left="1464" w:hangingChars="610" w:hanging="1464"/>
        <w:rPr>
          <w:lang w:eastAsia="zh-TW"/>
        </w:rPr>
      </w:pPr>
      <w:r>
        <w:rPr>
          <w:rFonts w:hint="eastAsia"/>
          <w:lang w:eastAsia="zh-TW"/>
        </w:rPr>
        <w:t xml:space="preserve">　　　　</w:t>
      </w:r>
      <w:r w:rsidR="00CF6634" w:rsidRPr="00FC1484">
        <w:t>二、</w:t>
      </w:r>
      <w:r w:rsidR="00E07758">
        <w:rPr>
          <w:rFonts w:hint="eastAsia"/>
          <w:lang w:eastAsia="zh-TW"/>
        </w:rPr>
        <w:tab/>
      </w:r>
      <w:r w:rsidR="00CF6634" w:rsidRPr="00FC1484">
        <w:t>所有民族得為本身之目的，自由處置其天然財富及資源，但不得妨害因基於互惠原則之國際經濟</w:t>
      </w:r>
      <w:r w:rsidR="00CF6634" w:rsidRPr="00FC1484">
        <w:lastRenderedPageBreak/>
        <w:t>合作及因國際法而生之任何義務。無論在何種情形下，民族之生計，不容剝奪。</w:t>
      </w:r>
    </w:p>
    <w:p w:rsidR="00CF6634" w:rsidRPr="00FC1484" w:rsidRDefault="005A6884" w:rsidP="00970832">
      <w:pPr>
        <w:pStyle w:val="1---"/>
        <w:ind w:left="1464" w:hangingChars="610" w:hanging="1464"/>
      </w:pPr>
      <w:r>
        <w:rPr>
          <w:rFonts w:hint="eastAsia"/>
          <w:lang w:eastAsia="zh-TW"/>
        </w:rPr>
        <w:t xml:space="preserve">　　　　</w:t>
      </w:r>
      <w:r w:rsidR="00CF6634" w:rsidRPr="00FC1484">
        <w:t>三、</w:t>
      </w:r>
      <w:r w:rsidR="00E07758">
        <w:rPr>
          <w:rFonts w:hint="eastAsia"/>
          <w:lang w:eastAsia="zh-TW"/>
        </w:rPr>
        <w:tab/>
      </w:r>
      <w:r w:rsidR="00CF6634" w:rsidRPr="00FC1484">
        <w:t>本公約締約國，包括負責管理非自治及託管領土之國家在內，均應遵照聯合國憲章規定，促進自決權之實現，並尊重此種權利。</w:t>
      </w:r>
    </w:p>
    <w:p w:rsidR="00CF6634" w:rsidRPr="00FC1484" w:rsidRDefault="00CF6634" w:rsidP="0041744C">
      <w:pPr>
        <w:pStyle w:val="affa"/>
        <w:rPr>
          <w:rFonts w:ascii="Times New Roman"/>
        </w:rPr>
      </w:pPr>
      <w:r w:rsidRPr="00FC1484">
        <w:rPr>
          <w:rFonts w:ascii="Times New Roman"/>
        </w:rPr>
        <w:t>第</w:t>
      </w:r>
      <w:r w:rsidR="00F87B67">
        <w:rPr>
          <w:rFonts w:ascii="Times New Roman" w:hint="eastAsia"/>
        </w:rPr>
        <w:t xml:space="preserve"> </w:t>
      </w:r>
      <w:r w:rsidRPr="00FC1484">
        <w:rPr>
          <w:rFonts w:ascii="Times New Roman"/>
        </w:rPr>
        <w:t>貳</w:t>
      </w:r>
      <w:r w:rsidR="00F87B67">
        <w:rPr>
          <w:rFonts w:ascii="Times New Roman" w:hint="eastAsia"/>
        </w:rPr>
        <w:t xml:space="preserve"> </w:t>
      </w:r>
      <w:r w:rsidRPr="00FC1484">
        <w:rPr>
          <w:rFonts w:ascii="Times New Roman"/>
        </w:rPr>
        <w:t>編</w:t>
      </w:r>
    </w:p>
    <w:p w:rsidR="00B51331" w:rsidRDefault="00CF6634" w:rsidP="00970832">
      <w:pPr>
        <w:pStyle w:val="1---"/>
        <w:ind w:left="1464" w:hangingChars="610" w:hanging="1464"/>
        <w:rPr>
          <w:lang w:eastAsia="zh-TW"/>
        </w:rPr>
      </w:pPr>
      <w:r w:rsidRPr="00FC1484">
        <w:t>第二條　一、</w:t>
      </w:r>
      <w:r w:rsidR="00E07758">
        <w:rPr>
          <w:rFonts w:hint="eastAsia"/>
          <w:lang w:eastAsia="zh-TW"/>
        </w:rPr>
        <w:tab/>
      </w:r>
      <w:r w:rsidRPr="00FC1484">
        <w:t>本公約締約國承允尊重並確保所有境內受其管轄之人，無分種族、膚色、性別、語言、宗教、政見或其他主張、民族本源或社會階級、財產、出生或其他身分等等，一律享受本公約所確認之權利。</w:t>
      </w:r>
    </w:p>
    <w:p w:rsidR="00E07758" w:rsidRDefault="005A6884" w:rsidP="00E07758">
      <w:pPr>
        <w:pStyle w:val="1---"/>
        <w:ind w:left="1464" w:hangingChars="610" w:hanging="1464"/>
        <w:rPr>
          <w:rFonts w:hint="eastAsia"/>
          <w:lang w:eastAsia="zh-TW"/>
        </w:rPr>
      </w:pPr>
      <w:r>
        <w:rPr>
          <w:rFonts w:hint="eastAsia"/>
          <w:lang w:eastAsia="zh-TW"/>
        </w:rPr>
        <w:t xml:space="preserve">　　　　</w:t>
      </w:r>
      <w:r w:rsidR="00CF6634" w:rsidRPr="00FC1484">
        <w:t>二、</w:t>
      </w:r>
      <w:r w:rsidR="00E07758">
        <w:rPr>
          <w:rFonts w:hint="eastAsia"/>
          <w:lang w:eastAsia="zh-TW"/>
        </w:rPr>
        <w:tab/>
      </w:r>
      <w:r w:rsidR="00CF6634" w:rsidRPr="00FC1484">
        <w:t>本公約締約國承允遇現行立法或其他措施尚無規定時，各依本國憲法程序，並遵照本公約規定，採取必要步驟，制定必要之立法或其他措施，以實現本公約所確認之權利。</w:t>
      </w:r>
    </w:p>
    <w:p w:rsidR="00CF6634" w:rsidRPr="00FC1484" w:rsidRDefault="005A6884" w:rsidP="00E07758">
      <w:pPr>
        <w:pStyle w:val="1---"/>
        <w:ind w:left="1464" w:hangingChars="610" w:hanging="1464"/>
      </w:pPr>
      <w:r>
        <w:rPr>
          <w:rFonts w:hint="eastAsia"/>
          <w:lang w:eastAsia="zh-TW"/>
        </w:rPr>
        <w:t xml:space="preserve">　　　　</w:t>
      </w:r>
      <w:r w:rsidR="00CF6634" w:rsidRPr="00FC1484">
        <w:t>三、</w:t>
      </w:r>
      <w:r w:rsidR="00E07758">
        <w:rPr>
          <w:rFonts w:hint="eastAsia"/>
          <w:lang w:eastAsia="zh-TW"/>
        </w:rPr>
        <w:tab/>
      </w:r>
      <w:r w:rsidR="00CF6634" w:rsidRPr="00FC1484">
        <w:t>本公約締約國承允：</w:t>
      </w:r>
    </w:p>
    <w:p w:rsidR="00CF6634" w:rsidRPr="00FC1484" w:rsidRDefault="00CF6634" w:rsidP="00E07758">
      <w:pPr>
        <w:pStyle w:val="1---"/>
        <w:ind w:leftChars="600" w:left="2184" w:hangingChars="310" w:hanging="744"/>
      </w:pPr>
      <w:r w:rsidRPr="00FC1484">
        <w:t>（一）</w:t>
      </w:r>
      <w:r w:rsidR="00E07758">
        <w:rPr>
          <w:rFonts w:hint="eastAsia"/>
          <w:lang w:eastAsia="zh-TW"/>
        </w:rPr>
        <w:tab/>
      </w:r>
      <w:r w:rsidRPr="00FC1484">
        <w:t>確保任何人所享本公約確認之權利或自由如遭受侵害，均獲有效之救濟，公務員執行職務所犯之侵權行為，亦不例外；</w:t>
      </w:r>
    </w:p>
    <w:p w:rsidR="00CF6634" w:rsidRPr="00FC1484" w:rsidRDefault="00CF6634" w:rsidP="00E07758">
      <w:pPr>
        <w:pStyle w:val="1---"/>
        <w:ind w:leftChars="600" w:left="2184" w:hangingChars="310" w:hanging="744"/>
      </w:pPr>
      <w:r w:rsidRPr="00FC1484">
        <w:t>（二）</w:t>
      </w:r>
      <w:r w:rsidR="00E07758">
        <w:rPr>
          <w:rFonts w:hint="eastAsia"/>
          <w:lang w:eastAsia="zh-TW"/>
        </w:rPr>
        <w:tab/>
      </w:r>
      <w:r w:rsidRPr="00FC1484">
        <w:t>確保上項救濟聲請人之救濟權利，由主管司法、行政或立法當局裁定，或由該國法律制度規定之其他主管當局裁定，並推廣司法救濟之機會；</w:t>
      </w:r>
    </w:p>
    <w:p w:rsidR="00CF6634" w:rsidRPr="00FC1484" w:rsidRDefault="00CF6634" w:rsidP="00E07758">
      <w:pPr>
        <w:pStyle w:val="1---"/>
        <w:ind w:leftChars="600" w:left="2184" w:hangingChars="310" w:hanging="744"/>
      </w:pPr>
      <w:r w:rsidRPr="00FC1484">
        <w:t>（三）</w:t>
      </w:r>
      <w:r w:rsidR="00E07758">
        <w:rPr>
          <w:rFonts w:hint="eastAsia"/>
          <w:lang w:eastAsia="zh-TW"/>
        </w:rPr>
        <w:tab/>
      </w:r>
      <w:r w:rsidRPr="00FC1484">
        <w:t>確保上項救濟一經核准，主管當局概予執</w:t>
      </w:r>
      <w:r w:rsidRPr="00FC1484">
        <w:lastRenderedPageBreak/>
        <w:t>行。</w:t>
      </w:r>
    </w:p>
    <w:p w:rsidR="00CF6634" w:rsidRPr="00FC1484" w:rsidRDefault="00CF6634" w:rsidP="00E07758">
      <w:pPr>
        <w:pStyle w:val="1---"/>
        <w:ind w:left="984" w:hangingChars="410" w:hanging="984"/>
      </w:pPr>
      <w:r w:rsidRPr="00FC1484">
        <w:t xml:space="preserve">第三條　</w:t>
      </w:r>
      <w:r w:rsidR="00E07758">
        <w:rPr>
          <w:rFonts w:hint="eastAsia"/>
          <w:lang w:eastAsia="zh-TW"/>
        </w:rPr>
        <w:tab/>
      </w:r>
      <w:r w:rsidRPr="00FC1484">
        <w:t>本公約締約國承允確保本公約所載一切公民及政治權利之享受，男女權利，一律平等。</w:t>
      </w:r>
    </w:p>
    <w:p w:rsidR="00CF6634" w:rsidRPr="00FC1484" w:rsidRDefault="00CF6634" w:rsidP="00970832">
      <w:pPr>
        <w:pStyle w:val="1---"/>
        <w:ind w:left="1464" w:hangingChars="610" w:hanging="1464"/>
      </w:pPr>
      <w:r w:rsidRPr="00FC1484">
        <w:t>第四條　一、</w:t>
      </w:r>
      <w:r w:rsidR="00E07758">
        <w:rPr>
          <w:rFonts w:hint="eastAsia"/>
          <w:lang w:eastAsia="zh-TW"/>
        </w:rPr>
        <w:tab/>
      </w:r>
      <w:r w:rsidRPr="00FC1484">
        <w:t>如經當局正式宣布緊急狀態，危及國本，本公約締約國得在此種危急情勢絕對必要之限度內，採取措施，減免履行其依本公約所負之義務，但此種措施不得牴觸其依國際法所負之其他義務，亦不得引起純粹以種族、膚色、性別、語言、宗教或社會階級為根據之歧視。</w:t>
      </w:r>
    </w:p>
    <w:p w:rsidR="00CF6634" w:rsidRPr="00FC1484" w:rsidRDefault="005A6884" w:rsidP="00970832">
      <w:pPr>
        <w:pStyle w:val="1---"/>
        <w:ind w:left="1464" w:hangingChars="610" w:hanging="1464"/>
      </w:pPr>
      <w:r>
        <w:rPr>
          <w:rFonts w:hint="eastAsia"/>
          <w:lang w:eastAsia="zh-TW"/>
        </w:rPr>
        <w:t xml:space="preserve">　　　　</w:t>
      </w:r>
      <w:r w:rsidR="00CF6634" w:rsidRPr="00FC1484">
        <w:t>二、</w:t>
      </w:r>
      <w:r w:rsidR="00E07758">
        <w:rPr>
          <w:rFonts w:hint="eastAsia"/>
          <w:lang w:eastAsia="zh-TW"/>
        </w:rPr>
        <w:tab/>
      </w:r>
      <w:r w:rsidR="00CF6634" w:rsidRPr="00FC1484">
        <w:t>第六條、第七條、第八條（第一項及第二項）、第十一條、第十五條、第十六條及第十八條之規定，不得依本條規定減免履行。</w:t>
      </w:r>
    </w:p>
    <w:p w:rsidR="00CF6634" w:rsidRPr="00FC1484" w:rsidRDefault="005A6884" w:rsidP="00970832">
      <w:pPr>
        <w:pStyle w:val="1---"/>
        <w:ind w:left="1464" w:hangingChars="610" w:hanging="1464"/>
      </w:pPr>
      <w:r>
        <w:rPr>
          <w:rFonts w:hint="eastAsia"/>
          <w:lang w:eastAsia="zh-TW"/>
        </w:rPr>
        <w:t xml:space="preserve">　　　　</w:t>
      </w:r>
      <w:r w:rsidR="00CF6634" w:rsidRPr="00FC1484">
        <w:t>三、</w:t>
      </w:r>
      <w:r w:rsidR="00E07758">
        <w:rPr>
          <w:rFonts w:hint="eastAsia"/>
          <w:lang w:eastAsia="zh-TW"/>
        </w:rPr>
        <w:tab/>
      </w:r>
      <w:r w:rsidR="00CF6634" w:rsidRPr="00FC1484">
        <w:t>本公約締約國行使其減免履行義務之權利者，應立即將其減免履行之條款，及減免履行之理由，經由聯合國秘書長轉知本公約其他締約國。其終止減免履行之日期，亦應另行移文秘書長轉知。</w:t>
      </w:r>
    </w:p>
    <w:p w:rsidR="00CF6634" w:rsidRPr="00FC1484" w:rsidRDefault="00CF6634" w:rsidP="00EB7070">
      <w:pPr>
        <w:pStyle w:val="1---"/>
        <w:ind w:left="1464" w:hangingChars="610" w:hanging="1464"/>
      </w:pPr>
      <w:r w:rsidRPr="00FC1484">
        <w:t>第五條　一、</w:t>
      </w:r>
      <w:r w:rsidR="00E07758">
        <w:rPr>
          <w:rFonts w:hint="eastAsia"/>
          <w:lang w:eastAsia="zh-TW"/>
        </w:rPr>
        <w:tab/>
      </w:r>
      <w:r w:rsidRPr="00FC1484">
        <w:t>本公約條文不得解釋為國家、團體或個人有權從事活動或實行行為，破壞本公約確認之任何一種權利與自由，或限制此種權利與自由逾越本公約規定之程度。</w:t>
      </w:r>
    </w:p>
    <w:p w:rsidR="00CF6634" w:rsidRPr="00FC1484" w:rsidRDefault="005A6884" w:rsidP="00970832">
      <w:pPr>
        <w:pStyle w:val="1---"/>
        <w:ind w:left="1464" w:hangingChars="610" w:hanging="1464"/>
      </w:pPr>
      <w:r>
        <w:rPr>
          <w:rFonts w:hint="eastAsia"/>
          <w:lang w:eastAsia="zh-TW"/>
        </w:rPr>
        <w:t xml:space="preserve">　　　　</w:t>
      </w:r>
      <w:r w:rsidR="00CF6634" w:rsidRPr="00FC1484">
        <w:t>二、</w:t>
      </w:r>
      <w:r w:rsidR="00E07758">
        <w:rPr>
          <w:rFonts w:hint="eastAsia"/>
          <w:lang w:eastAsia="zh-TW"/>
        </w:rPr>
        <w:tab/>
      </w:r>
      <w:r w:rsidR="00CF6634" w:rsidRPr="00FC1484">
        <w:t>本公約締約國內依法律、公約、條例或習俗而承認或存在之任何基本人權，不得藉口本公約未予</w:t>
      </w:r>
      <w:r w:rsidR="00CF6634" w:rsidRPr="00A37759">
        <w:t>確認或確認之範圍較狹，而加以限制或減免義</w:t>
      </w:r>
      <w:r w:rsidR="007D32E9">
        <w:rPr>
          <w:rFonts w:hint="eastAsia"/>
          <w:lang w:eastAsia="zh-TW"/>
        </w:rPr>
        <w:t xml:space="preserve">  </w:t>
      </w:r>
      <w:r w:rsidR="00CF6634" w:rsidRPr="00A37759">
        <w:t>務。</w:t>
      </w:r>
    </w:p>
    <w:p w:rsidR="00CF6634" w:rsidRPr="00FC1484" w:rsidRDefault="00CF6634" w:rsidP="0041744C">
      <w:pPr>
        <w:pStyle w:val="affa"/>
        <w:rPr>
          <w:rFonts w:ascii="Times New Roman"/>
        </w:rPr>
      </w:pPr>
      <w:r w:rsidRPr="00FC1484">
        <w:rPr>
          <w:rFonts w:ascii="Times New Roman"/>
        </w:rPr>
        <w:lastRenderedPageBreak/>
        <w:t>第</w:t>
      </w:r>
      <w:r w:rsidR="007B7ECA">
        <w:rPr>
          <w:rFonts w:ascii="Times New Roman" w:hint="eastAsia"/>
        </w:rPr>
        <w:t xml:space="preserve"> </w:t>
      </w:r>
      <w:r w:rsidR="007B7ECA">
        <w:rPr>
          <w:rFonts w:ascii="Times New Roman" w:hint="eastAsia"/>
        </w:rPr>
        <w:t>參</w:t>
      </w:r>
      <w:r w:rsidR="00F87B67">
        <w:rPr>
          <w:rFonts w:ascii="Times New Roman" w:hint="eastAsia"/>
        </w:rPr>
        <w:t xml:space="preserve"> </w:t>
      </w:r>
      <w:r w:rsidRPr="00FC1484">
        <w:rPr>
          <w:rFonts w:ascii="Times New Roman"/>
        </w:rPr>
        <w:t>編</w:t>
      </w:r>
    </w:p>
    <w:p w:rsidR="00CF6634" w:rsidRPr="00FC1484" w:rsidRDefault="00CF6634" w:rsidP="00EB7070">
      <w:pPr>
        <w:pStyle w:val="1---"/>
        <w:ind w:left="1464" w:hangingChars="610" w:hanging="1464"/>
      </w:pPr>
      <w:r w:rsidRPr="00FC1484">
        <w:t>第六條　一、</w:t>
      </w:r>
      <w:r w:rsidR="00EB7070">
        <w:rPr>
          <w:rFonts w:hint="eastAsia"/>
          <w:lang w:eastAsia="zh-TW"/>
        </w:rPr>
        <w:tab/>
      </w:r>
      <w:r w:rsidRPr="009E6303">
        <w:t>人人皆有天賦之生存權。此種權利應受法律保障</w:t>
      </w:r>
      <w:r w:rsidRPr="00FC1484">
        <w:t>。任何人之生命不得無理剝奪。</w:t>
      </w:r>
    </w:p>
    <w:p w:rsidR="00CF6634" w:rsidRPr="00FC1484" w:rsidRDefault="007D32E9" w:rsidP="00EB7070">
      <w:pPr>
        <w:pStyle w:val="1---"/>
        <w:ind w:left="1464" w:hangingChars="610" w:hanging="1464"/>
      </w:pPr>
      <w:r>
        <w:rPr>
          <w:rFonts w:hint="eastAsia"/>
          <w:lang w:eastAsia="zh-TW"/>
        </w:rPr>
        <w:t xml:space="preserve">　　　　</w:t>
      </w:r>
      <w:r w:rsidR="00CF6634" w:rsidRPr="00FC1484">
        <w:t>二、</w:t>
      </w:r>
      <w:r w:rsidR="00EB7070">
        <w:rPr>
          <w:rFonts w:hint="eastAsia"/>
          <w:lang w:eastAsia="zh-TW"/>
        </w:rPr>
        <w:tab/>
      </w:r>
      <w:r w:rsidR="00CF6634" w:rsidRPr="00FC1484">
        <w:t>凡未廢除死刑之國家，非犯情節最重大之罪，且依照犯罪時有效並與本公約規定及防止及懲治殘害人群罪公約不牴觸之法律，不得科處死刑。死刑非依管轄法院終局判決，不得執行。</w:t>
      </w:r>
    </w:p>
    <w:p w:rsidR="00CF6634" w:rsidRPr="00FC1484" w:rsidRDefault="005A6884" w:rsidP="00EB7070">
      <w:pPr>
        <w:pStyle w:val="1---"/>
        <w:ind w:left="1464" w:hangingChars="610" w:hanging="1464"/>
      </w:pPr>
      <w:r>
        <w:rPr>
          <w:rFonts w:hint="eastAsia"/>
          <w:lang w:eastAsia="zh-TW"/>
        </w:rPr>
        <w:t xml:space="preserve">　　　　</w:t>
      </w:r>
      <w:r w:rsidR="00CF6634" w:rsidRPr="00FC1484">
        <w:t>三、</w:t>
      </w:r>
      <w:r w:rsidR="00EB7070">
        <w:rPr>
          <w:rFonts w:hint="eastAsia"/>
          <w:lang w:eastAsia="zh-TW"/>
        </w:rPr>
        <w:tab/>
      </w:r>
      <w:r w:rsidR="00CF6634" w:rsidRPr="00FC1484">
        <w:t>生命之剝奪構成殘害人群罪時，本公約締約國公認本條不得認為授權任何締約國以任何方式減免其依防止及懲治殘害人群罪公約規定所負之任何義務。</w:t>
      </w:r>
    </w:p>
    <w:p w:rsidR="00CF6634" w:rsidRPr="00FC1484" w:rsidRDefault="005A6884" w:rsidP="00EB7070">
      <w:pPr>
        <w:pStyle w:val="1---"/>
        <w:ind w:left="1464" w:hangingChars="610" w:hanging="1464"/>
      </w:pPr>
      <w:r>
        <w:rPr>
          <w:rFonts w:hint="eastAsia"/>
          <w:lang w:eastAsia="zh-TW"/>
        </w:rPr>
        <w:t xml:space="preserve">　　　　</w:t>
      </w:r>
      <w:r w:rsidR="00CF6634" w:rsidRPr="00FC1484">
        <w:t>四、</w:t>
      </w:r>
      <w:r w:rsidR="00EB7070">
        <w:rPr>
          <w:rFonts w:hint="eastAsia"/>
          <w:lang w:eastAsia="zh-TW"/>
        </w:rPr>
        <w:tab/>
      </w:r>
      <w:r w:rsidR="00CF6634" w:rsidRPr="00FC1484">
        <w:t>受死刑宣告者，有請求特赦或減刑之權。一切判處死刑之案件均得邀大赦、特赦或減刑。</w:t>
      </w:r>
    </w:p>
    <w:p w:rsidR="00CF6634" w:rsidRPr="00FC1484" w:rsidRDefault="005A6884" w:rsidP="00EB7070">
      <w:pPr>
        <w:pStyle w:val="1---"/>
        <w:ind w:left="1464" w:hangingChars="610" w:hanging="1464"/>
      </w:pPr>
      <w:r>
        <w:rPr>
          <w:rFonts w:hint="eastAsia"/>
          <w:lang w:eastAsia="zh-TW"/>
        </w:rPr>
        <w:t xml:space="preserve">　　　　</w:t>
      </w:r>
      <w:r w:rsidR="00CF6634" w:rsidRPr="00FC1484">
        <w:t>五、</w:t>
      </w:r>
      <w:r w:rsidR="00EB7070">
        <w:rPr>
          <w:rFonts w:hint="eastAsia"/>
          <w:lang w:eastAsia="zh-TW"/>
        </w:rPr>
        <w:tab/>
      </w:r>
      <w:r w:rsidR="00CF6634" w:rsidRPr="00FC1484">
        <w:t>未滿十八歲之人犯罪，不得判處死刑；懷胎婦女被判死刑，不得執行其刑。</w:t>
      </w:r>
    </w:p>
    <w:p w:rsidR="00CF6634" w:rsidRPr="00FC1484" w:rsidRDefault="005A6884" w:rsidP="00EB7070">
      <w:pPr>
        <w:pStyle w:val="1---"/>
        <w:ind w:left="1464" w:hangingChars="610" w:hanging="1464"/>
      </w:pPr>
      <w:r>
        <w:rPr>
          <w:rFonts w:hint="eastAsia"/>
          <w:lang w:eastAsia="zh-TW"/>
        </w:rPr>
        <w:t xml:space="preserve">　　　　</w:t>
      </w:r>
      <w:r w:rsidR="00CF6634" w:rsidRPr="00FC1484">
        <w:t>六、</w:t>
      </w:r>
      <w:r w:rsidR="00EB7070">
        <w:rPr>
          <w:rFonts w:hint="eastAsia"/>
          <w:lang w:eastAsia="zh-TW"/>
        </w:rPr>
        <w:tab/>
      </w:r>
      <w:r w:rsidR="00CF6634" w:rsidRPr="00FC1484">
        <w:t>本公約締約國不得援引本條，而延緩或阻止死刑之廢除。</w:t>
      </w:r>
    </w:p>
    <w:p w:rsidR="00CF6634" w:rsidRPr="00FC1484" w:rsidRDefault="00CF6634" w:rsidP="00EB7070">
      <w:pPr>
        <w:pStyle w:val="1---"/>
        <w:ind w:left="984" w:hangingChars="410" w:hanging="984"/>
      </w:pPr>
      <w:r w:rsidRPr="00FC1484">
        <w:t xml:space="preserve">第七條　</w:t>
      </w:r>
      <w:r w:rsidR="00E07758">
        <w:rPr>
          <w:rFonts w:hint="eastAsia"/>
          <w:lang w:eastAsia="zh-TW"/>
        </w:rPr>
        <w:tab/>
      </w:r>
      <w:r w:rsidRPr="00FC1484">
        <w:t>任何人不得施以酷刑，或予以殘忍、不人道或侮辱之處遇或懲罰。非經本人自願同意，尤不得對任何人作醫學或科學試驗。</w:t>
      </w:r>
    </w:p>
    <w:p w:rsidR="00E07758" w:rsidRDefault="00CF6634" w:rsidP="00E07758">
      <w:pPr>
        <w:pStyle w:val="1---"/>
        <w:ind w:left="1464" w:hangingChars="610" w:hanging="1464"/>
        <w:rPr>
          <w:rFonts w:hint="eastAsia"/>
          <w:lang w:eastAsia="zh-TW"/>
        </w:rPr>
      </w:pPr>
      <w:r w:rsidRPr="00FC1484">
        <w:t>第八條　一、</w:t>
      </w:r>
      <w:r w:rsidR="00E07758">
        <w:rPr>
          <w:rFonts w:hint="eastAsia"/>
          <w:lang w:eastAsia="zh-TW"/>
        </w:rPr>
        <w:tab/>
      </w:r>
      <w:r w:rsidRPr="00FC1484">
        <w:t>任何人不得使充奴隷；奴隸制度及奴隷販賣，不論出於何種方式，悉應禁止。</w:t>
      </w:r>
    </w:p>
    <w:p w:rsidR="00E07758" w:rsidRDefault="005A6884" w:rsidP="00E07758">
      <w:pPr>
        <w:pStyle w:val="1---"/>
        <w:ind w:left="1464" w:hangingChars="610" w:hanging="1464"/>
        <w:rPr>
          <w:rFonts w:hint="eastAsia"/>
          <w:lang w:eastAsia="zh-TW"/>
        </w:rPr>
      </w:pPr>
      <w:r>
        <w:rPr>
          <w:rFonts w:hint="eastAsia"/>
          <w:lang w:eastAsia="zh-TW"/>
        </w:rPr>
        <w:t xml:space="preserve">　　　　</w:t>
      </w:r>
      <w:r w:rsidR="00CF6634" w:rsidRPr="00FC1484">
        <w:t>二、</w:t>
      </w:r>
      <w:r w:rsidR="00E07758">
        <w:rPr>
          <w:rFonts w:hint="eastAsia"/>
          <w:lang w:eastAsia="zh-TW"/>
        </w:rPr>
        <w:tab/>
      </w:r>
      <w:r w:rsidR="00CF6634" w:rsidRPr="00FC1484">
        <w:t>任何人不得使充奴工。</w:t>
      </w:r>
    </w:p>
    <w:p w:rsidR="00CF6634" w:rsidRPr="00FC1484" w:rsidRDefault="005A6884" w:rsidP="00E07758">
      <w:pPr>
        <w:pStyle w:val="1---"/>
        <w:ind w:left="1464" w:hangingChars="610" w:hanging="1464"/>
      </w:pPr>
      <w:r>
        <w:rPr>
          <w:rFonts w:hint="eastAsia"/>
          <w:lang w:eastAsia="zh-TW"/>
        </w:rPr>
        <w:t xml:space="preserve">　　　　</w:t>
      </w:r>
      <w:r w:rsidR="00CF6634" w:rsidRPr="00FC1484">
        <w:t>三、（一）任何人不得使服強迫或強制之勞役；</w:t>
      </w:r>
    </w:p>
    <w:p w:rsidR="00CF6634" w:rsidRPr="00FC1484" w:rsidRDefault="00CF6634" w:rsidP="00E07758">
      <w:pPr>
        <w:pStyle w:val="1---"/>
        <w:ind w:leftChars="600" w:left="2184" w:hangingChars="310" w:hanging="744"/>
      </w:pPr>
      <w:r w:rsidRPr="00FC1484">
        <w:lastRenderedPageBreak/>
        <w:t>（二）</w:t>
      </w:r>
      <w:r w:rsidR="00E07758">
        <w:rPr>
          <w:rFonts w:hint="eastAsia"/>
          <w:lang w:eastAsia="zh-TW"/>
        </w:rPr>
        <w:tab/>
      </w:r>
      <w:r w:rsidRPr="00FC1484">
        <w:t>凡犯罪刑罰得科苦役徒刑之國家，如經管轄法院判處此刑，不得根據第三項（一）款規定，而不服苦役；</w:t>
      </w:r>
    </w:p>
    <w:p w:rsidR="00CF6634" w:rsidRPr="00FC1484" w:rsidRDefault="00CF6634" w:rsidP="00E07758">
      <w:pPr>
        <w:pStyle w:val="1---"/>
        <w:ind w:leftChars="600" w:left="2184" w:hangingChars="310" w:hanging="744"/>
      </w:pPr>
      <w:r w:rsidRPr="00FC1484">
        <w:t>（三）</w:t>
      </w:r>
      <w:r w:rsidR="00E07758">
        <w:rPr>
          <w:rFonts w:hint="eastAsia"/>
          <w:lang w:eastAsia="zh-TW"/>
        </w:rPr>
        <w:tab/>
      </w:r>
      <w:r w:rsidRPr="00FC1484">
        <w:t>本項所稱「強迫或強制勞役」不包括下列各項：</w:t>
      </w:r>
    </w:p>
    <w:p w:rsidR="00CF6634" w:rsidRPr="00FC1484" w:rsidRDefault="00CF6634" w:rsidP="00E07758">
      <w:pPr>
        <w:pStyle w:val="1---"/>
        <w:ind w:leftChars="900" w:left="2784" w:hangingChars="260" w:hanging="624"/>
      </w:pPr>
      <w:r w:rsidRPr="00FC1484">
        <w:t>（</w:t>
      </w:r>
      <w:r w:rsidRPr="00FC1484">
        <w:t>1</w:t>
      </w:r>
      <w:r w:rsidRPr="00FC1484">
        <w:t>）</w:t>
      </w:r>
      <w:r w:rsidR="00E07758">
        <w:rPr>
          <w:rFonts w:hint="eastAsia"/>
          <w:lang w:eastAsia="zh-TW"/>
        </w:rPr>
        <w:tab/>
      </w:r>
      <w:r w:rsidRPr="00FC1484">
        <w:t>經法院依法命令拘禁之人，或在此種拘禁假釋期間之人，通常必須擔任而不屬於（二）款範圍之工作或服役；</w:t>
      </w:r>
    </w:p>
    <w:p w:rsidR="00CF6634" w:rsidRPr="00FC1484" w:rsidRDefault="00CF6634" w:rsidP="00E07758">
      <w:pPr>
        <w:pStyle w:val="1---"/>
        <w:ind w:leftChars="900" w:left="2784" w:hangingChars="260" w:hanging="624"/>
      </w:pPr>
      <w:r w:rsidRPr="00FC1484">
        <w:t>（</w:t>
      </w:r>
      <w:r w:rsidRPr="00FC1484">
        <w:t>2</w:t>
      </w:r>
      <w:r w:rsidRPr="00FC1484">
        <w:t>）</w:t>
      </w:r>
      <w:r w:rsidR="00E07758">
        <w:rPr>
          <w:rFonts w:hint="eastAsia"/>
          <w:lang w:eastAsia="zh-TW"/>
        </w:rPr>
        <w:tab/>
      </w:r>
      <w:r w:rsidRPr="00FC1484">
        <w:t>任何軍事性質之服役，及在承認人民可以本其信念反對服兵役之國家，依法對此種人徵服之國民服役；</w:t>
      </w:r>
    </w:p>
    <w:p w:rsidR="00CF6634" w:rsidRPr="00FC1484" w:rsidRDefault="00CF6634" w:rsidP="00E07758">
      <w:pPr>
        <w:pStyle w:val="1---"/>
        <w:ind w:leftChars="900" w:left="2784" w:hangingChars="260" w:hanging="624"/>
      </w:pPr>
      <w:r w:rsidRPr="00FC1484">
        <w:t>（</w:t>
      </w:r>
      <w:r w:rsidRPr="00FC1484">
        <w:t>3</w:t>
      </w:r>
      <w:r w:rsidRPr="00FC1484">
        <w:t>）</w:t>
      </w:r>
      <w:r w:rsidR="00E07758">
        <w:rPr>
          <w:rFonts w:hint="eastAsia"/>
          <w:lang w:eastAsia="zh-TW"/>
        </w:rPr>
        <w:tab/>
      </w:r>
      <w:r w:rsidRPr="00FC1484">
        <w:t>遇有緊急危難或災害禍患危及社會生命安寧時徵召之服役；</w:t>
      </w:r>
    </w:p>
    <w:p w:rsidR="00CF6634" w:rsidRPr="00FC1484" w:rsidRDefault="00CF6634" w:rsidP="00E07758">
      <w:pPr>
        <w:pStyle w:val="1---"/>
        <w:ind w:leftChars="900" w:left="2784" w:hangingChars="260" w:hanging="624"/>
      </w:pPr>
      <w:r w:rsidRPr="00FC1484">
        <w:t>（</w:t>
      </w:r>
      <w:r w:rsidRPr="00FC1484">
        <w:t>4</w:t>
      </w:r>
      <w:r w:rsidRPr="00FC1484">
        <w:t>）</w:t>
      </w:r>
      <w:r w:rsidR="00E07758">
        <w:rPr>
          <w:rFonts w:hint="eastAsia"/>
          <w:lang w:eastAsia="zh-TW"/>
        </w:rPr>
        <w:tab/>
      </w:r>
      <w:r w:rsidRPr="00E07758">
        <w:t>為正常公民義務一部分之工作或服</w:t>
      </w:r>
      <w:r w:rsidR="00E07758">
        <w:rPr>
          <w:rFonts w:hint="eastAsia"/>
          <w:lang w:eastAsia="zh-TW"/>
        </w:rPr>
        <w:t xml:space="preserve">　</w:t>
      </w:r>
      <w:r w:rsidRPr="00E07758">
        <w:t>役。</w:t>
      </w:r>
    </w:p>
    <w:p w:rsidR="00CF6634" w:rsidRPr="00FC1484" w:rsidRDefault="00CF6634" w:rsidP="00EB7070">
      <w:pPr>
        <w:pStyle w:val="1---"/>
        <w:ind w:left="1464" w:hangingChars="610" w:hanging="1464"/>
      </w:pPr>
      <w:r w:rsidRPr="00FC1484">
        <w:t>第九條　一、</w:t>
      </w:r>
      <w:r w:rsidR="00E07758">
        <w:rPr>
          <w:rFonts w:hint="eastAsia"/>
          <w:lang w:eastAsia="zh-TW"/>
        </w:rPr>
        <w:tab/>
      </w:r>
      <w:r w:rsidRPr="00FC1484">
        <w:t>人人有權享有身體自由及人身安全。任何人不得無理予以逮捕或拘禁。非依法定理由及程序，不得剝奪任何人之自由。</w:t>
      </w:r>
    </w:p>
    <w:p w:rsidR="00CF6634" w:rsidRPr="00FC1484" w:rsidRDefault="005A6884" w:rsidP="00EB7070">
      <w:pPr>
        <w:pStyle w:val="1---"/>
        <w:ind w:left="1464" w:hangingChars="610" w:hanging="1464"/>
      </w:pPr>
      <w:r>
        <w:rPr>
          <w:rFonts w:hint="eastAsia"/>
          <w:lang w:eastAsia="zh-TW"/>
        </w:rPr>
        <w:t xml:space="preserve">　　　　</w:t>
      </w:r>
      <w:r w:rsidR="00CF6634" w:rsidRPr="00FC1484">
        <w:t>二、</w:t>
      </w:r>
      <w:r w:rsidR="00E07758">
        <w:rPr>
          <w:rFonts w:hint="eastAsia"/>
          <w:lang w:eastAsia="zh-TW"/>
        </w:rPr>
        <w:tab/>
      </w:r>
      <w:r w:rsidR="00CF6634" w:rsidRPr="00FC1484">
        <w:t>執行逮捕時，應當場向被捕人宣告逮捕原因，並應隨即告知被控案由。</w:t>
      </w:r>
    </w:p>
    <w:p w:rsidR="00CF6634" w:rsidRPr="00FC1484" w:rsidRDefault="005A6884" w:rsidP="00EB7070">
      <w:pPr>
        <w:pStyle w:val="1---"/>
        <w:ind w:left="1464" w:hangingChars="610" w:hanging="1464"/>
      </w:pPr>
      <w:r>
        <w:rPr>
          <w:rFonts w:hint="eastAsia"/>
          <w:lang w:eastAsia="zh-TW"/>
        </w:rPr>
        <w:t xml:space="preserve">　　　　</w:t>
      </w:r>
      <w:r w:rsidR="00CF6634" w:rsidRPr="00FC1484">
        <w:t>三、</w:t>
      </w:r>
      <w:r w:rsidR="00E07758">
        <w:rPr>
          <w:rFonts w:hint="eastAsia"/>
          <w:lang w:eastAsia="zh-TW"/>
        </w:rPr>
        <w:tab/>
      </w:r>
      <w:r w:rsidR="00CF6634" w:rsidRPr="00FC1484">
        <w:t>因刑事罪名而被逮捕或拘禁之人，應迅即解送法官或依法執行司法權力之其他官員，並應於合理期間內審訊或釋放。候訊人通常不得加以羈押，但釋放得令具報，於審訊時，於司法程序之任何其他階段、並於一旦執行判決時，候傳到場。</w:t>
      </w:r>
    </w:p>
    <w:p w:rsidR="00CF6634" w:rsidRPr="00FC1484" w:rsidRDefault="005A6884" w:rsidP="00EB7070">
      <w:pPr>
        <w:pStyle w:val="1---"/>
        <w:ind w:left="1464" w:hangingChars="610" w:hanging="1464"/>
      </w:pPr>
      <w:r>
        <w:rPr>
          <w:rFonts w:hint="eastAsia"/>
          <w:lang w:eastAsia="zh-TW"/>
        </w:rPr>
        <w:lastRenderedPageBreak/>
        <w:t xml:space="preserve">　　　　</w:t>
      </w:r>
      <w:r w:rsidR="00CF6634" w:rsidRPr="00FC1484">
        <w:t>四、</w:t>
      </w:r>
      <w:r w:rsidR="00E07758">
        <w:rPr>
          <w:rFonts w:hint="eastAsia"/>
          <w:lang w:eastAsia="zh-TW"/>
        </w:rPr>
        <w:tab/>
      </w:r>
      <w:r w:rsidR="00CF6634" w:rsidRPr="00FC1484">
        <w:t>任何人因逮捕或拘禁而被奪自由時，有權聲請法</w:t>
      </w:r>
      <w:r w:rsidR="00CF6634" w:rsidRPr="00A37759">
        <w:t>院提審，以迅速決定其</w:t>
      </w:r>
      <w:r w:rsidR="00CF6634" w:rsidRPr="00FC1484">
        <w:t>拘禁是否合法，如屬非法，應即令釋放。</w:t>
      </w:r>
    </w:p>
    <w:p w:rsidR="00CF6634" w:rsidRPr="00FC1484" w:rsidRDefault="005A6884" w:rsidP="00EB7070">
      <w:pPr>
        <w:pStyle w:val="1---"/>
        <w:ind w:left="1464" w:hangingChars="610" w:hanging="1464"/>
      </w:pPr>
      <w:r>
        <w:rPr>
          <w:rFonts w:hint="eastAsia"/>
          <w:lang w:eastAsia="zh-TW"/>
        </w:rPr>
        <w:t xml:space="preserve">　　　　</w:t>
      </w:r>
      <w:r w:rsidR="00CF6634" w:rsidRPr="00FC1484">
        <w:t>五、</w:t>
      </w:r>
      <w:r w:rsidR="00E07758">
        <w:rPr>
          <w:rFonts w:hint="eastAsia"/>
          <w:lang w:eastAsia="zh-TW"/>
        </w:rPr>
        <w:tab/>
      </w:r>
      <w:r w:rsidR="00CF6634" w:rsidRPr="00FC1484">
        <w:t>任何人受非法逮捕或拘禁者，有權要求執行損害賠償。</w:t>
      </w:r>
    </w:p>
    <w:p w:rsidR="00CF6634" w:rsidRPr="00FC1484" w:rsidRDefault="00CF6634" w:rsidP="00EB7070">
      <w:pPr>
        <w:pStyle w:val="1---"/>
        <w:ind w:left="1464" w:hangingChars="610" w:hanging="1464"/>
      </w:pPr>
      <w:r w:rsidRPr="00FC1484">
        <w:t>第十條　一、</w:t>
      </w:r>
      <w:r w:rsidR="00E07758">
        <w:rPr>
          <w:rFonts w:hint="eastAsia"/>
          <w:lang w:eastAsia="zh-TW"/>
        </w:rPr>
        <w:tab/>
      </w:r>
      <w:r w:rsidRPr="00FC1484">
        <w:t>自由被剝奪之人，應受合於人道及尊重其天賦人格尊嚴之處遇。</w:t>
      </w:r>
    </w:p>
    <w:p w:rsidR="00EB7070" w:rsidRDefault="005A6884" w:rsidP="00EB7070">
      <w:pPr>
        <w:pStyle w:val="1---"/>
        <w:ind w:left="2184" w:hangingChars="910" w:hanging="2184"/>
        <w:rPr>
          <w:rFonts w:hint="eastAsia"/>
          <w:lang w:eastAsia="zh-TW"/>
        </w:rPr>
      </w:pPr>
      <w:r>
        <w:rPr>
          <w:rFonts w:hint="eastAsia"/>
          <w:lang w:eastAsia="zh-TW"/>
        </w:rPr>
        <w:t xml:space="preserve">　　　　</w:t>
      </w:r>
      <w:r w:rsidR="00CF6634" w:rsidRPr="00FC1484">
        <w:t>二、（一）</w:t>
      </w:r>
      <w:r w:rsidR="00EB7070">
        <w:rPr>
          <w:rFonts w:hint="eastAsia"/>
          <w:lang w:eastAsia="zh-TW"/>
        </w:rPr>
        <w:tab/>
      </w:r>
      <w:r w:rsidR="00CF6634" w:rsidRPr="00FC1484">
        <w:t>除特殊情形外，被告應與判決有罪之人分別羈押，且應另予與其未經判決有罪之身分相稱之處遇；</w:t>
      </w:r>
    </w:p>
    <w:p w:rsidR="00CF6634" w:rsidRPr="00FC1484" w:rsidRDefault="00EB7070" w:rsidP="00EB7070">
      <w:pPr>
        <w:pStyle w:val="1---"/>
        <w:ind w:left="2184" w:hangingChars="910" w:hanging="2184"/>
      </w:pPr>
      <w:r>
        <w:rPr>
          <w:rFonts w:hint="eastAsia"/>
          <w:lang w:eastAsia="zh-TW"/>
        </w:rPr>
        <w:t xml:space="preserve">　　　　　　</w:t>
      </w:r>
      <w:r w:rsidR="00CF6634" w:rsidRPr="00FC1484">
        <w:t>（二）</w:t>
      </w:r>
      <w:r>
        <w:rPr>
          <w:rFonts w:hint="eastAsia"/>
          <w:lang w:eastAsia="zh-TW"/>
        </w:rPr>
        <w:tab/>
      </w:r>
      <w:r w:rsidR="00CF6634" w:rsidRPr="00FC1484">
        <w:t>少年被告應與成年被告分別羈押，並應儘速即予判決。</w:t>
      </w:r>
    </w:p>
    <w:p w:rsidR="00CF6634" w:rsidRPr="00FC1484" w:rsidRDefault="005A6884" w:rsidP="00EB7070">
      <w:pPr>
        <w:pStyle w:val="1---"/>
        <w:ind w:left="1464" w:hangingChars="610" w:hanging="1464"/>
      </w:pPr>
      <w:r>
        <w:rPr>
          <w:rFonts w:hint="eastAsia"/>
          <w:lang w:eastAsia="zh-TW"/>
        </w:rPr>
        <w:t xml:space="preserve">　　　　</w:t>
      </w:r>
      <w:r w:rsidR="00CF6634" w:rsidRPr="00FC1484">
        <w:t>三、</w:t>
      </w:r>
      <w:r w:rsidR="00E07758">
        <w:rPr>
          <w:rFonts w:hint="eastAsia"/>
          <w:lang w:eastAsia="zh-TW"/>
        </w:rPr>
        <w:tab/>
      </w:r>
      <w:r w:rsidR="00CF6634" w:rsidRPr="00FC1484">
        <w:t>監獄制度所定監犯之處遇，應以使其悛悔自新，重適社會生活為基本目的。少年犯人應與成年犯人分別拘禁，且其處遇應與其年齡及法律身分相稱。</w:t>
      </w:r>
    </w:p>
    <w:p w:rsidR="00CF6634" w:rsidRPr="00FC1484" w:rsidRDefault="00CF6634" w:rsidP="00F87B67">
      <w:pPr>
        <w:pStyle w:val="1---"/>
        <w:ind w:firstLineChars="0" w:firstLine="0"/>
      </w:pPr>
      <w:r w:rsidRPr="00FC1484">
        <w:t>第十一條　任何人不得僅因無力履行契約義務，即予監禁。</w:t>
      </w:r>
    </w:p>
    <w:p w:rsidR="00EB7070" w:rsidRDefault="00CF6634" w:rsidP="00EB7070">
      <w:pPr>
        <w:pStyle w:val="1---"/>
        <w:ind w:left="1690" w:hangingChars="704" w:hanging="1690"/>
        <w:rPr>
          <w:rFonts w:hint="eastAsia"/>
          <w:lang w:eastAsia="zh-TW"/>
        </w:rPr>
      </w:pPr>
      <w:r w:rsidRPr="00FC1484">
        <w:t>第十二條　一、</w:t>
      </w:r>
      <w:r w:rsidR="00536FBE">
        <w:rPr>
          <w:rFonts w:hint="eastAsia"/>
          <w:lang w:eastAsia="zh-TW"/>
        </w:rPr>
        <w:tab/>
      </w:r>
      <w:r w:rsidRPr="00FC1484">
        <w:t>在一國領土內合法居留之人，在該國領土內有遷徙往來之自由及擇居之自由。</w:t>
      </w:r>
    </w:p>
    <w:p w:rsidR="00EB7070" w:rsidRDefault="005A6884" w:rsidP="00EB7070">
      <w:pPr>
        <w:pStyle w:val="1---"/>
        <w:ind w:left="1690" w:hangingChars="704" w:hanging="1690"/>
        <w:rPr>
          <w:rFonts w:hint="eastAsia"/>
          <w:lang w:eastAsia="zh-TW"/>
        </w:rPr>
      </w:pPr>
      <w:r>
        <w:rPr>
          <w:rFonts w:hint="eastAsia"/>
          <w:lang w:eastAsia="zh-TW"/>
        </w:rPr>
        <w:t xml:space="preserve">　　　　</w:t>
      </w:r>
      <w:r w:rsidR="00D207B3">
        <w:rPr>
          <w:rFonts w:hint="eastAsia"/>
          <w:lang w:eastAsia="zh-TW"/>
        </w:rPr>
        <w:t xml:space="preserve">　</w:t>
      </w:r>
      <w:r w:rsidR="00CF6634" w:rsidRPr="00FC1484">
        <w:t>二、</w:t>
      </w:r>
      <w:r w:rsidR="00EB7070">
        <w:rPr>
          <w:rFonts w:hint="eastAsia"/>
          <w:lang w:eastAsia="zh-TW"/>
        </w:rPr>
        <w:tab/>
      </w:r>
      <w:r w:rsidR="00CF6634" w:rsidRPr="00FC1484">
        <w:t>人人應有自由離去任何國家，連其本國在內。</w:t>
      </w:r>
    </w:p>
    <w:p w:rsidR="00EB7070" w:rsidRDefault="005A6884" w:rsidP="00EB7070">
      <w:pPr>
        <w:pStyle w:val="1---"/>
        <w:ind w:left="1690" w:hangingChars="704" w:hanging="1690"/>
        <w:rPr>
          <w:rFonts w:hint="eastAsia"/>
          <w:lang w:eastAsia="zh-TW"/>
        </w:rPr>
      </w:pPr>
      <w:r>
        <w:rPr>
          <w:rFonts w:hint="eastAsia"/>
          <w:lang w:eastAsia="zh-TW"/>
        </w:rPr>
        <w:t xml:space="preserve">　　　　</w:t>
      </w:r>
      <w:r w:rsidR="00D207B3">
        <w:rPr>
          <w:rFonts w:hint="eastAsia"/>
          <w:lang w:eastAsia="zh-TW"/>
        </w:rPr>
        <w:t xml:space="preserve">　</w:t>
      </w:r>
      <w:r w:rsidR="00CF6634" w:rsidRPr="00FC1484">
        <w:t>三、</w:t>
      </w:r>
      <w:r w:rsidR="00EB7070">
        <w:rPr>
          <w:rFonts w:hint="eastAsia"/>
          <w:lang w:eastAsia="zh-TW"/>
        </w:rPr>
        <w:tab/>
      </w:r>
      <w:r w:rsidR="00CF6634" w:rsidRPr="00FC1484">
        <w:t>上列權利不得限制，但法律所規定、保護國家安全、公共秩序、公共衛生或風化、或他人權利與自由所必要，且與本公約所確認之其他權利不牴觸之限制，不在此限。</w:t>
      </w:r>
    </w:p>
    <w:p w:rsidR="00CF6634" w:rsidRPr="00FC1484" w:rsidRDefault="005A6884" w:rsidP="00EB7070">
      <w:pPr>
        <w:pStyle w:val="1---"/>
        <w:ind w:left="1690" w:hangingChars="704" w:hanging="1690"/>
      </w:pPr>
      <w:r>
        <w:rPr>
          <w:rFonts w:hint="eastAsia"/>
          <w:lang w:eastAsia="zh-TW"/>
        </w:rPr>
        <w:t xml:space="preserve">　　　</w:t>
      </w:r>
      <w:r w:rsidR="002A63D9">
        <w:rPr>
          <w:rFonts w:hint="eastAsia"/>
          <w:lang w:eastAsia="zh-TW"/>
        </w:rPr>
        <w:t xml:space="preserve">　</w:t>
      </w:r>
      <w:r>
        <w:rPr>
          <w:rFonts w:hint="eastAsia"/>
          <w:lang w:eastAsia="zh-TW"/>
        </w:rPr>
        <w:t xml:space="preserve">　</w:t>
      </w:r>
      <w:r w:rsidR="00CF6634" w:rsidRPr="00FC1484">
        <w:t>四、</w:t>
      </w:r>
      <w:r w:rsidR="00EB7070">
        <w:rPr>
          <w:rFonts w:hint="eastAsia"/>
          <w:lang w:eastAsia="zh-TW"/>
        </w:rPr>
        <w:tab/>
      </w:r>
      <w:r w:rsidR="00CF6634" w:rsidRPr="00FC1484">
        <w:t>人人進入其本國之權，不得無理褫奪。</w:t>
      </w:r>
    </w:p>
    <w:p w:rsidR="00CF6634" w:rsidRPr="00FC1484" w:rsidRDefault="00CF6634" w:rsidP="00EB7070">
      <w:pPr>
        <w:pStyle w:val="1---"/>
        <w:ind w:left="1224" w:hangingChars="510" w:hanging="1224"/>
      </w:pPr>
      <w:r w:rsidRPr="00FC1484">
        <w:lastRenderedPageBreak/>
        <w:t xml:space="preserve">第十三條　</w:t>
      </w:r>
      <w:r w:rsidR="00191EAE">
        <w:rPr>
          <w:rFonts w:hint="eastAsia"/>
          <w:lang w:eastAsia="zh-TW"/>
        </w:rPr>
        <w:tab/>
      </w:r>
      <w:r w:rsidRPr="009E6303">
        <w:t>本公約締約國境內合法居留之外國人，非經依法判定</w:t>
      </w:r>
      <w:r w:rsidRPr="00FC1484">
        <w:t>，不得驅逐出境，且除事關國家安全必須急速處分者外，應准其提出不服驅逐出境之理由，及聲請主管當局或主管當局特別指定之人員予以覆判，並為此目的委託代理人到場申訴。</w:t>
      </w:r>
    </w:p>
    <w:p w:rsidR="00EB7070" w:rsidRDefault="00CF6634" w:rsidP="00EB7070">
      <w:pPr>
        <w:pStyle w:val="1---"/>
        <w:ind w:left="1690" w:hangingChars="704" w:hanging="1690"/>
        <w:rPr>
          <w:rFonts w:hint="eastAsia"/>
          <w:lang w:eastAsia="zh-TW"/>
        </w:rPr>
      </w:pPr>
      <w:r w:rsidRPr="00FC1484">
        <w:t>第十四條　一、</w:t>
      </w:r>
      <w:r w:rsidR="00536FBE">
        <w:rPr>
          <w:rFonts w:hint="eastAsia"/>
          <w:lang w:eastAsia="zh-TW"/>
        </w:rPr>
        <w:tab/>
      </w:r>
      <w:r w:rsidRPr="00FC1484">
        <w:t>人人在法院或法庭之前，悉屬平等。任何人受刑事控告或因其權利義務涉訟須予判定時，應有權受獨立無私之法定管轄法庭公正公開審問。法院</w:t>
      </w:r>
      <w:r w:rsidRPr="009E6303">
        <w:t>得因民主社會之風化、公共秩序或國家安全關係</w:t>
      </w:r>
      <w:r w:rsidRPr="00FC1484">
        <w:t>，或於保護當事人私生活有此必要時，或因情形特殊公開審判勢必影響司法而在其認為絕對必要之限度內，禁止新聞界及公眾旁聽審判程序之全部或一部；但除保護少年有此必要，或事關婚姻爭執或子女監護問題外，刑事民事之判決應一律公開宣示。</w:t>
      </w:r>
    </w:p>
    <w:p w:rsidR="00EB7070" w:rsidRDefault="005A6884" w:rsidP="00EB7070">
      <w:pPr>
        <w:pStyle w:val="1---"/>
        <w:ind w:left="1690" w:hangingChars="704" w:hanging="1690"/>
        <w:rPr>
          <w:rFonts w:hint="eastAsia"/>
          <w:lang w:eastAsia="zh-TW"/>
        </w:rPr>
      </w:pPr>
      <w:r>
        <w:rPr>
          <w:rFonts w:hint="eastAsia"/>
          <w:lang w:eastAsia="zh-TW"/>
        </w:rPr>
        <w:t xml:space="preserve">　　　　　</w:t>
      </w:r>
      <w:r w:rsidR="00CF6634" w:rsidRPr="00FC1484">
        <w:t>二、</w:t>
      </w:r>
      <w:r w:rsidR="00EB7070">
        <w:rPr>
          <w:rFonts w:hint="eastAsia"/>
          <w:lang w:eastAsia="zh-TW"/>
        </w:rPr>
        <w:tab/>
      </w:r>
      <w:r w:rsidR="00CF6634" w:rsidRPr="00FC1484">
        <w:t>受刑事控告之人，未經依法確定有罪以前，應假定其無罪。</w:t>
      </w:r>
    </w:p>
    <w:p w:rsidR="00CF6634" w:rsidRPr="00FC1484" w:rsidRDefault="005A6884" w:rsidP="00EB7070">
      <w:pPr>
        <w:pStyle w:val="1---"/>
        <w:ind w:left="1690" w:hangingChars="704" w:hanging="1690"/>
      </w:pPr>
      <w:r>
        <w:rPr>
          <w:rFonts w:hint="eastAsia"/>
          <w:lang w:eastAsia="zh-TW"/>
        </w:rPr>
        <w:t xml:space="preserve">　　　　　</w:t>
      </w:r>
      <w:r w:rsidR="00CF6634" w:rsidRPr="00FC1484">
        <w:t>三、</w:t>
      </w:r>
      <w:r w:rsidR="00EB7070">
        <w:rPr>
          <w:rFonts w:hint="eastAsia"/>
          <w:lang w:eastAsia="zh-TW"/>
        </w:rPr>
        <w:tab/>
      </w:r>
      <w:r w:rsidR="00CF6634" w:rsidRPr="00FC1484">
        <w:t>審判被控刑事罪時，被告一律有權平等享受下列最低限度之保障：</w:t>
      </w:r>
    </w:p>
    <w:p w:rsidR="00CF6634" w:rsidRPr="00FC1484" w:rsidRDefault="00CF6634" w:rsidP="00EB7070">
      <w:pPr>
        <w:pStyle w:val="1---"/>
        <w:ind w:leftChars="700" w:left="2424" w:hangingChars="310" w:hanging="744"/>
      </w:pPr>
      <w:r w:rsidRPr="00FC1484">
        <w:t>（一）</w:t>
      </w:r>
      <w:r w:rsidR="00191EAE">
        <w:rPr>
          <w:rFonts w:hint="eastAsia"/>
          <w:lang w:eastAsia="zh-TW"/>
        </w:rPr>
        <w:tab/>
      </w:r>
      <w:r w:rsidRPr="00FC1484">
        <w:t>迅即以其通曉之語言，詳細告知被控罪名及案由；</w:t>
      </w:r>
    </w:p>
    <w:p w:rsidR="00191EAE" w:rsidRDefault="00CF6634" w:rsidP="00191EAE">
      <w:pPr>
        <w:pStyle w:val="1---"/>
        <w:ind w:leftChars="700" w:left="2424" w:hangingChars="310" w:hanging="744"/>
        <w:rPr>
          <w:rFonts w:hint="eastAsia"/>
          <w:lang w:eastAsia="zh-TW"/>
        </w:rPr>
      </w:pPr>
      <w:r w:rsidRPr="00FC1484">
        <w:t>（二）</w:t>
      </w:r>
      <w:r w:rsidR="00191EAE">
        <w:rPr>
          <w:rFonts w:hint="eastAsia"/>
          <w:lang w:eastAsia="zh-TW"/>
        </w:rPr>
        <w:tab/>
      </w:r>
      <w:r w:rsidRPr="00FC1484">
        <w:t>給予充分之時間及便利，準備答辯並與其選任之辯護人聯絡；</w:t>
      </w:r>
    </w:p>
    <w:p w:rsidR="00CF6634" w:rsidRPr="00FC1484" w:rsidRDefault="00CF6634" w:rsidP="00191EAE">
      <w:pPr>
        <w:pStyle w:val="1---"/>
        <w:ind w:leftChars="700" w:left="2424" w:hangingChars="310" w:hanging="744"/>
      </w:pPr>
      <w:r w:rsidRPr="00FC1484">
        <w:t>（三）</w:t>
      </w:r>
      <w:r w:rsidR="00191EAE">
        <w:rPr>
          <w:rFonts w:hint="eastAsia"/>
          <w:lang w:eastAsia="zh-TW"/>
        </w:rPr>
        <w:tab/>
      </w:r>
      <w:r w:rsidRPr="00FC1484">
        <w:t>立即受審，不得無故稽延；</w:t>
      </w:r>
    </w:p>
    <w:p w:rsidR="00CF6634" w:rsidRPr="00FC1484" w:rsidRDefault="00CF6634" w:rsidP="00EB7070">
      <w:pPr>
        <w:pStyle w:val="1---"/>
        <w:ind w:leftChars="700" w:left="2424" w:hangingChars="310" w:hanging="744"/>
      </w:pPr>
      <w:r w:rsidRPr="00FC1484">
        <w:t>（四）</w:t>
      </w:r>
      <w:r w:rsidR="00191EAE">
        <w:rPr>
          <w:rFonts w:hint="eastAsia"/>
          <w:lang w:eastAsia="zh-TW"/>
        </w:rPr>
        <w:tab/>
      </w:r>
      <w:r w:rsidRPr="00FC1484">
        <w:t>到庭受審，及親自答辯或由其選任辯護</w:t>
      </w:r>
      <w:r w:rsidRPr="00FC1484">
        <w:lastRenderedPageBreak/>
        <w:t>人答辯；未經選任辯護人者，應告以有此權利；法院認為審判有此必要時，應為其指定公設辯護人，如被告無資力酬償，得免付之；</w:t>
      </w:r>
    </w:p>
    <w:p w:rsidR="00CF6634" w:rsidRPr="00FC1484" w:rsidRDefault="00CF6634" w:rsidP="00EB7070">
      <w:pPr>
        <w:pStyle w:val="1---"/>
        <w:ind w:leftChars="700" w:left="2424" w:hangingChars="310" w:hanging="744"/>
      </w:pPr>
      <w:r w:rsidRPr="00FC1484">
        <w:t>（五）</w:t>
      </w:r>
      <w:r w:rsidR="00191EAE">
        <w:rPr>
          <w:rFonts w:hint="eastAsia"/>
          <w:lang w:eastAsia="zh-TW"/>
        </w:rPr>
        <w:tab/>
      </w:r>
      <w:r w:rsidRPr="00FC1484">
        <w:t>得親自或間接詰問他造證人，並得聲請法院傳喚其證人在與他造證人同等條件下出庭作證；</w:t>
      </w:r>
    </w:p>
    <w:p w:rsidR="00191EAE" w:rsidRDefault="00CF6634" w:rsidP="00191EAE">
      <w:pPr>
        <w:pStyle w:val="1---"/>
        <w:ind w:leftChars="700" w:left="2424" w:hangingChars="310" w:hanging="744"/>
        <w:rPr>
          <w:rFonts w:hint="eastAsia"/>
          <w:lang w:eastAsia="zh-TW"/>
        </w:rPr>
      </w:pPr>
      <w:r w:rsidRPr="00FC1484">
        <w:t>（六）</w:t>
      </w:r>
      <w:r w:rsidR="00191EAE">
        <w:rPr>
          <w:rFonts w:hint="eastAsia"/>
          <w:lang w:eastAsia="zh-TW"/>
        </w:rPr>
        <w:tab/>
      </w:r>
      <w:r w:rsidRPr="00FC1484">
        <w:t>如不通曉或不能使用法院所用之語言，應免費為備通譯協助之；</w:t>
      </w:r>
    </w:p>
    <w:p w:rsidR="00CF6634" w:rsidRPr="00FC1484" w:rsidRDefault="00CF6634" w:rsidP="00191EAE">
      <w:pPr>
        <w:pStyle w:val="1---"/>
        <w:ind w:leftChars="700" w:left="2424" w:hangingChars="310" w:hanging="744"/>
      </w:pPr>
      <w:r w:rsidRPr="00FC1484">
        <w:t>（七）</w:t>
      </w:r>
      <w:r w:rsidR="00191EAE">
        <w:rPr>
          <w:rFonts w:hint="eastAsia"/>
          <w:lang w:eastAsia="zh-TW"/>
        </w:rPr>
        <w:tab/>
      </w:r>
      <w:r w:rsidRPr="00FC1484">
        <w:t>不得強迫被告自供或認罪。</w:t>
      </w:r>
    </w:p>
    <w:p w:rsidR="00CF6634" w:rsidRPr="00FC1484" w:rsidRDefault="005A6884" w:rsidP="00EB7070">
      <w:pPr>
        <w:pStyle w:val="1---"/>
        <w:ind w:left="1716" w:hangingChars="715" w:hanging="1716"/>
      </w:pPr>
      <w:r>
        <w:rPr>
          <w:rFonts w:hint="eastAsia"/>
          <w:lang w:eastAsia="zh-TW"/>
        </w:rPr>
        <w:t xml:space="preserve">　　　　　</w:t>
      </w:r>
      <w:r w:rsidR="00CF6634" w:rsidRPr="00FC1484">
        <w:t>四、</w:t>
      </w:r>
      <w:r w:rsidR="00191EAE">
        <w:rPr>
          <w:rFonts w:hint="eastAsia"/>
          <w:lang w:eastAsia="zh-TW"/>
        </w:rPr>
        <w:tab/>
      </w:r>
      <w:r w:rsidR="00CF6634" w:rsidRPr="00FC1484">
        <w:t>少年之審判，應顧念被告年齡及宜使其重適社會生活，而酌定程序。</w:t>
      </w:r>
    </w:p>
    <w:p w:rsidR="00CF6634" w:rsidRPr="00FC1484" w:rsidRDefault="005A6884" w:rsidP="00EB7070">
      <w:pPr>
        <w:pStyle w:val="1---"/>
        <w:ind w:left="1716" w:hangingChars="715" w:hanging="1716"/>
      </w:pPr>
      <w:r>
        <w:rPr>
          <w:rFonts w:hint="eastAsia"/>
          <w:lang w:eastAsia="zh-TW"/>
        </w:rPr>
        <w:t xml:space="preserve">　　　　　</w:t>
      </w:r>
      <w:r w:rsidR="00CF6634" w:rsidRPr="00FC1484">
        <w:t>五、</w:t>
      </w:r>
      <w:r w:rsidR="00191EAE">
        <w:rPr>
          <w:rFonts w:hint="eastAsia"/>
          <w:lang w:eastAsia="zh-TW"/>
        </w:rPr>
        <w:tab/>
      </w:r>
      <w:r w:rsidR="00CF6634" w:rsidRPr="00FC1484">
        <w:t>經判定犯罪者，有權聲請上級法院依法覆判其有罪判決及所科刑罰。</w:t>
      </w:r>
    </w:p>
    <w:p w:rsidR="00CF6634" w:rsidRPr="00FC1484" w:rsidRDefault="005A6884" w:rsidP="00EB7070">
      <w:pPr>
        <w:pStyle w:val="1---"/>
        <w:ind w:left="1716" w:hangingChars="715" w:hanging="1716"/>
      </w:pPr>
      <w:r>
        <w:rPr>
          <w:rFonts w:hint="eastAsia"/>
          <w:lang w:eastAsia="zh-TW"/>
        </w:rPr>
        <w:t xml:space="preserve">　　　　　</w:t>
      </w:r>
      <w:r w:rsidR="00CF6634" w:rsidRPr="00FC1484">
        <w:t>六、</w:t>
      </w:r>
      <w:r w:rsidR="00191EAE">
        <w:rPr>
          <w:rFonts w:hint="eastAsia"/>
          <w:lang w:eastAsia="zh-TW"/>
        </w:rPr>
        <w:tab/>
      </w:r>
      <w:r w:rsidR="00CF6634" w:rsidRPr="00FC1484">
        <w:t>經終局判決判定犯罪，如後因提出新證據或因發見新證據，確實證明原判錯誤而經撤銷原判或免刑者，除經證明有關證據之未能及時披露，應由其本人全部或局部負責者外，因此判決而服刑之人應依法受損害賠償。</w:t>
      </w:r>
    </w:p>
    <w:p w:rsidR="00CF6634" w:rsidRPr="00FC1484" w:rsidRDefault="005A6884" w:rsidP="00EB7070">
      <w:pPr>
        <w:pStyle w:val="1---"/>
        <w:ind w:left="1716" w:hangingChars="715" w:hanging="1716"/>
      </w:pPr>
      <w:r>
        <w:rPr>
          <w:rFonts w:hint="eastAsia"/>
          <w:lang w:eastAsia="zh-TW"/>
        </w:rPr>
        <w:t xml:space="preserve">　　　　　</w:t>
      </w:r>
      <w:r w:rsidR="00CF6634" w:rsidRPr="00FC1484">
        <w:t>七、</w:t>
      </w:r>
      <w:r w:rsidR="00191EAE">
        <w:rPr>
          <w:rFonts w:hint="eastAsia"/>
          <w:lang w:eastAsia="zh-TW"/>
        </w:rPr>
        <w:tab/>
      </w:r>
      <w:r w:rsidR="00CF6634" w:rsidRPr="00FC1484">
        <w:t>任何人依一國法律及刑事程序經終局判決判定有罪或無罪開釋者，不得就同一罪名再予審判或科刑。</w:t>
      </w:r>
    </w:p>
    <w:p w:rsidR="00EB7070" w:rsidRDefault="00CF6634" w:rsidP="00EB7070">
      <w:pPr>
        <w:pStyle w:val="1---"/>
        <w:ind w:left="1690" w:hangingChars="704" w:hanging="1690"/>
        <w:rPr>
          <w:rFonts w:hint="eastAsia"/>
          <w:lang w:eastAsia="zh-TW"/>
        </w:rPr>
      </w:pPr>
      <w:r w:rsidRPr="00FC1484">
        <w:t>第十五條　一、</w:t>
      </w:r>
      <w:r w:rsidR="00536FBE">
        <w:rPr>
          <w:rFonts w:hint="eastAsia"/>
          <w:lang w:eastAsia="zh-TW"/>
        </w:rPr>
        <w:tab/>
      </w:r>
      <w:r w:rsidRPr="00FC1484">
        <w:t>任何人之行為或不行為，於發生當時依內國法及國際法均不成罪者，不為罪。刑罰不得重於犯罪時法律所規定。犯罪後之法律規定減科刑</w:t>
      </w:r>
      <w:r w:rsidRPr="00FC1484">
        <w:lastRenderedPageBreak/>
        <w:t>罰者，從有利於行為人之法律。</w:t>
      </w:r>
    </w:p>
    <w:p w:rsidR="00CF6634" w:rsidRPr="00FC1484" w:rsidRDefault="005A6884" w:rsidP="00EB7070">
      <w:pPr>
        <w:pStyle w:val="1---"/>
        <w:ind w:left="1690" w:hangingChars="704" w:hanging="1690"/>
      </w:pPr>
      <w:r>
        <w:rPr>
          <w:rFonts w:hint="eastAsia"/>
          <w:lang w:eastAsia="zh-TW"/>
        </w:rPr>
        <w:t xml:space="preserve">　　　　　</w:t>
      </w:r>
      <w:r w:rsidR="00CF6634" w:rsidRPr="00FC1484">
        <w:t>二、</w:t>
      </w:r>
      <w:r w:rsidR="00EB7070">
        <w:rPr>
          <w:rFonts w:hint="eastAsia"/>
          <w:lang w:eastAsia="zh-TW"/>
        </w:rPr>
        <w:tab/>
      </w:r>
      <w:r w:rsidR="00CF6634" w:rsidRPr="00FC1484">
        <w:t>任何人之行為或不行為，於發生當時依各國公認之一般法律原則為有罪者，其審判與刑罰不受本條規定之影響。</w:t>
      </w:r>
    </w:p>
    <w:p w:rsidR="00CF6634" w:rsidRPr="00FC1484" w:rsidRDefault="00CF6634" w:rsidP="00F87B67">
      <w:pPr>
        <w:pStyle w:val="1---"/>
        <w:ind w:firstLineChars="0" w:firstLine="0"/>
      </w:pPr>
      <w:r w:rsidRPr="00FC1484">
        <w:t>第十六條　人人在任何所在有被承認為法律人格之權利。</w:t>
      </w:r>
    </w:p>
    <w:p w:rsidR="00EB7070" w:rsidRDefault="00CF6634" w:rsidP="00EB7070">
      <w:pPr>
        <w:pStyle w:val="1---"/>
        <w:ind w:left="1690" w:hangingChars="704" w:hanging="1690"/>
        <w:rPr>
          <w:rFonts w:hint="eastAsia"/>
          <w:lang w:eastAsia="zh-TW"/>
        </w:rPr>
      </w:pPr>
      <w:r w:rsidRPr="00FC1484">
        <w:t>第十七條　一、</w:t>
      </w:r>
      <w:r w:rsidR="00536FBE">
        <w:rPr>
          <w:rFonts w:hint="eastAsia"/>
          <w:lang w:eastAsia="zh-TW"/>
        </w:rPr>
        <w:tab/>
      </w:r>
      <w:r w:rsidRPr="00FC1484">
        <w:t>任何人之私生活、家庭、住宅或通信，不得無理或非法侵擾，其名譽及信用，亦不得非法破壞。</w:t>
      </w:r>
    </w:p>
    <w:p w:rsidR="00CF6634" w:rsidRPr="00FC1484" w:rsidRDefault="005A6884" w:rsidP="00EB7070">
      <w:pPr>
        <w:pStyle w:val="1---"/>
        <w:ind w:left="1690" w:hangingChars="704" w:hanging="1690"/>
      </w:pPr>
      <w:r>
        <w:rPr>
          <w:rFonts w:hint="eastAsia"/>
          <w:lang w:eastAsia="zh-TW"/>
        </w:rPr>
        <w:t xml:space="preserve">　　　　　</w:t>
      </w:r>
      <w:r w:rsidR="00CF6634" w:rsidRPr="00FC1484">
        <w:t>二、</w:t>
      </w:r>
      <w:r w:rsidR="00EB7070">
        <w:rPr>
          <w:rFonts w:hint="eastAsia"/>
          <w:lang w:eastAsia="zh-TW"/>
        </w:rPr>
        <w:tab/>
      </w:r>
      <w:r w:rsidR="00CF6634" w:rsidRPr="00FC1484">
        <w:t>對於此種侵擾或破壞，人人有受法律保護之權利。</w:t>
      </w:r>
    </w:p>
    <w:p w:rsidR="001A539F" w:rsidRDefault="00CF6634" w:rsidP="001A539F">
      <w:pPr>
        <w:pStyle w:val="1---"/>
        <w:ind w:left="1690" w:hangingChars="704" w:hanging="1690"/>
        <w:rPr>
          <w:rFonts w:hint="eastAsia"/>
          <w:lang w:eastAsia="zh-TW"/>
        </w:rPr>
      </w:pPr>
      <w:r w:rsidRPr="00FC1484">
        <w:t>第十八條　一、</w:t>
      </w:r>
      <w:r w:rsidR="00536FBE">
        <w:rPr>
          <w:rFonts w:hint="eastAsia"/>
          <w:lang w:eastAsia="zh-TW"/>
        </w:rPr>
        <w:tab/>
      </w:r>
      <w:r w:rsidRPr="00FC1484">
        <w:t>人人有思想、信念及宗教之自由。此種權利包括保有或採奉自擇之宗教或信仰之自由，及單獨或集體、公開或私自以禮拜、戒律、躬行及講授表示其宗教或信仰之自由。</w:t>
      </w:r>
    </w:p>
    <w:p w:rsidR="001A539F" w:rsidRDefault="005A6884" w:rsidP="001A539F">
      <w:pPr>
        <w:pStyle w:val="1---"/>
        <w:ind w:left="1690" w:hangingChars="704" w:hanging="1690"/>
        <w:rPr>
          <w:rFonts w:hint="eastAsia"/>
          <w:lang w:eastAsia="zh-TW"/>
        </w:rPr>
      </w:pPr>
      <w:r>
        <w:rPr>
          <w:rFonts w:hint="eastAsia"/>
          <w:lang w:eastAsia="zh-TW"/>
        </w:rPr>
        <w:t xml:space="preserve">　　　　　</w:t>
      </w:r>
      <w:r w:rsidR="00CF6634" w:rsidRPr="00FC1484">
        <w:t>二、</w:t>
      </w:r>
      <w:r w:rsidR="001A539F">
        <w:rPr>
          <w:rFonts w:hint="eastAsia"/>
          <w:lang w:eastAsia="zh-TW"/>
        </w:rPr>
        <w:tab/>
      </w:r>
      <w:r w:rsidR="00CF6634" w:rsidRPr="00FC1484">
        <w:t>任何人所享保有或採奉自擇之宗教或信仰之自由，不得以脅迫侵害之。</w:t>
      </w:r>
    </w:p>
    <w:p w:rsidR="001A539F" w:rsidRDefault="005A6884" w:rsidP="001A539F">
      <w:pPr>
        <w:pStyle w:val="1---"/>
        <w:ind w:left="1690" w:hangingChars="704" w:hanging="1690"/>
        <w:rPr>
          <w:rFonts w:hint="eastAsia"/>
          <w:lang w:eastAsia="zh-TW"/>
        </w:rPr>
      </w:pPr>
      <w:r>
        <w:rPr>
          <w:rFonts w:hint="eastAsia"/>
          <w:lang w:eastAsia="zh-TW"/>
        </w:rPr>
        <w:t xml:space="preserve">　　　　　</w:t>
      </w:r>
      <w:r w:rsidR="00CF6634" w:rsidRPr="00FC1484">
        <w:t>三、</w:t>
      </w:r>
      <w:r w:rsidR="001A539F">
        <w:rPr>
          <w:rFonts w:hint="eastAsia"/>
          <w:lang w:eastAsia="zh-TW"/>
        </w:rPr>
        <w:tab/>
      </w:r>
      <w:r w:rsidR="00CF6634" w:rsidRPr="00FC1484">
        <w:t>人人表示其宗教或信仰之自由，非依法律，不受限制，此項限制以保障公共安全、秩序、衛生或風化或他人之基本權利自由所必要者為</w:t>
      </w:r>
      <w:r w:rsidR="002A63D9">
        <w:rPr>
          <w:rFonts w:hint="eastAsia"/>
          <w:lang w:eastAsia="zh-TW"/>
        </w:rPr>
        <w:t xml:space="preserve">　</w:t>
      </w:r>
      <w:r w:rsidR="00CF6634" w:rsidRPr="00FC1484">
        <w:t>限。</w:t>
      </w:r>
    </w:p>
    <w:p w:rsidR="00CF6634" w:rsidRPr="00FC1484" w:rsidRDefault="005A6884" w:rsidP="001A539F">
      <w:pPr>
        <w:pStyle w:val="1---"/>
        <w:ind w:left="1690" w:hangingChars="704" w:hanging="1690"/>
      </w:pPr>
      <w:r>
        <w:rPr>
          <w:rFonts w:hint="eastAsia"/>
          <w:lang w:eastAsia="zh-TW"/>
        </w:rPr>
        <w:t xml:space="preserve">　　　　　</w:t>
      </w:r>
      <w:r w:rsidR="00CF6634" w:rsidRPr="00FC1484">
        <w:t>四、</w:t>
      </w:r>
      <w:r w:rsidR="001A539F">
        <w:rPr>
          <w:rFonts w:hint="eastAsia"/>
          <w:lang w:eastAsia="zh-TW"/>
        </w:rPr>
        <w:tab/>
      </w:r>
      <w:r w:rsidR="00CF6634" w:rsidRPr="00FC1484">
        <w:t>本公約締約國承允尊重父母或法定監護人確保子女接受符合其本人信仰之宗教及道德教育之自由。</w:t>
      </w:r>
    </w:p>
    <w:p w:rsidR="001A539F" w:rsidRDefault="00CF6634" w:rsidP="001A539F">
      <w:pPr>
        <w:pStyle w:val="1---"/>
        <w:ind w:left="1690" w:hangingChars="704" w:hanging="1690"/>
        <w:rPr>
          <w:rFonts w:hint="eastAsia"/>
          <w:lang w:eastAsia="zh-TW"/>
        </w:rPr>
      </w:pPr>
      <w:r w:rsidRPr="00FC1484">
        <w:t>第十九條　一、</w:t>
      </w:r>
      <w:r w:rsidR="00536FBE">
        <w:rPr>
          <w:rFonts w:hint="eastAsia"/>
          <w:lang w:eastAsia="zh-TW"/>
        </w:rPr>
        <w:tab/>
      </w:r>
      <w:r w:rsidRPr="00FC1484">
        <w:t>人人有保持意見不受干預之權利。</w:t>
      </w:r>
    </w:p>
    <w:p w:rsidR="001A539F" w:rsidRDefault="005A6884" w:rsidP="001A539F">
      <w:pPr>
        <w:pStyle w:val="1---"/>
        <w:ind w:left="1690" w:hangingChars="704" w:hanging="1690"/>
        <w:rPr>
          <w:rFonts w:hint="eastAsia"/>
          <w:lang w:eastAsia="zh-TW"/>
        </w:rPr>
      </w:pPr>
      <w:r>
        <w:rPr>
          <w:rFonts w:hint="eastAsia"/>
          <w:lang w:eastAsia="zh-TW"/>
        </w:rPr>
        <w:t xml:space="preserve">　　　　　</w:t>
      </w:r>
      <w:r w:rsidR="00CF6634" w:rsidRPr="00FC1484">
        <w:t>二、</w:t>
      </w:r>
      <w:r w:rsidR="001A539F">
        <w:rPr>
          <w:rFonts w:hint="eastAsia"/>
          <w:lang w:eastAsia="zh-TW"/>
        </w:rPr>
        <w:tab/>
      </w:r>
      <w:r w:rsidR="00CF6634" w:rsidRPr="00FC1484">
        <w:t>人人有發表自由之權利；此種權利包括以語言</w:t>
      </w:r>
      <w:r w:rsidR="00CF6634" w:rsidRPr="00FC1484">
        <w:lastRenderedPageBreak/>
        <w:t>、文字或出版物、藝術或自己選擇之其他方式，不分國界，尋求、接受及傳播各種消息及思想之自由。</w:t>
      </w:r>
    </w:p>
    <w:p w:rsidR="001A539F" w:rsidRDefault="005A6884" w:rsidP="001A539F">
      <w:pPr>
        <w:pStyle w:val="1---"/>
        <w:ind w:left="1690" w:hangingChars="704" w:hanging="1690"/>
        <w:rPr>
          <w:rFonts w:hint="eastAsia"/>
          <w:lang w:eastAsia="zh-TW"/>
        </w:rPr>
      </w:pPr>
      <w:r>
        <w:rPr>
          <w:rFonts w:hint="eastAsia"/>
          <w:lang w:eastAsia="zh-TW"/>
        </w:rPr>
        <w:t xml:space="preserve">　　　　　</w:t>
      </w:r>
      <w:r w:rsidR="00CF6634" w:rsidRPr="00FC1484">
        <w:t>三、</w:t>
      </w:r>
      <w:r w:rsidR="001A539F">
        <w:rPr>
          <w:rFonts w:hint="eastAsia"/>
          <w:lang w:eastAsia="zh-TW"/>
        </w:rPr>
        <w:tab/>
      </w:r>
      <w:r w:rsidR="00CF6634" w:rsidRPr="00FC1484">
        <w:t>本條第二項所載權利之行使，附有特別責任及義務，故得予以某種限制，但此種限制以經法律規定，且為下列各項所必要者為限：</w:t>
      </w:r>
    </w:p>
    <w:p w:rsidR="001A539F" w:rsidRDefault="001A539F" w:rsidP="001A539F">
      <w:pPr>
        <w:pStyle w:val="1---"/>
        <w:ind w:left="2410" w:hangingChars="1004" w:hanging="2410"/>
        <w:rPr>
          <w:rFonts w:hint="eastAsia"/>
          <w:lang w:eastAsia="zh-TW"/>
        </w:rPr>
      </w:pPr>
      <w:r>
        <w:rPr>
          <w:rFonts w:hint="eastAsia"/>
          <w:lang w:eastAsia="zh-TW"/>
        </w:rPr>
        <w:t xml:space="preserve">　　　　　　　</w:t>
      </w:r>
      <w:r w:rsidR="00CF6634" w:rsidRPr="00FC1484">
        <w:t>（一）</w:t>
      </w:r>
      <w:r>
        <w:rPr>
          <w:rFonts w:hint="eastAsia"/>
          <w:lang w:eastAsia="zh-TW"/>
        </w:rPr>
        <w:tab/>
      </w:r>
      <w:r w:rsidR="00CF6634" w:rsidRPr="00FC1484">
        <w:t>尊重他人權利或名譽；</w:t>
      </w:r>
    </w:p>
    <w:p w:rsidR="00CF6634" w:rsidRPr="00FC1484" w:rsidRDefault="001A539F" w:rsidP="001A539F">
      <w:pPr>
        <w:pStyle w:val="1---"/>
        <w:ind w:left="2410" w:hangingChars="1004" w:hanging="2410"/>
      </w:pPr>
      <w:r>
        <w:rPr>
          <w:rFonts w:hint="eastAsia"/>
          <w:lang w:eastAsia="zh-TW"/>
        </w:rPr>
        <w:t xml:space="preserve">　　　　　　　</w:t>
      </w:r>
      <w:r w:rsidR="00CF6634" w:rsidRPr="00FC1484">
        <w:t>（二）</w:t>
      </w:r>
      <w:r>
        <w:rPr>
          <w:rFonts w:hint="eastAsia"/>
          <w:lang w:eastAsia="zh-TW"/>
        </w:rPr>
        <w:tab/>
      </w:r>
      <w:r w:rsidR="00CF6634" w:rsidRPr="001A539F">
        <w:rPr>
          <w:spacing w:val="-2"/>
        </w:rPr>
        <w:t>保障國家安全或公共秩序，或公共衛生或</w:t>
      </w:r>
      <w:r w:rsidR="00CF6634" w:rsidRPr="00FC1484">
        <w:t>風化。</w:t>
      </w:r>
    </w:p>
    <w:p w:rsidR="004321AA" w:rsidRDefault="00CF6634" w:rsidP="004321AA">
      <w:pPr>
        <w:pStyle w:val="1---"/>
        <w:ind w:left="1690" w:hangingChars="704" w:hanging="1690"/>
        <w:rPr>
          <w:rFonts w:hint="eastAsia"/>
          <w:lang w:eastAsia="zh-TW"/>
        </w:rPr>
      </w:pPr>
      <w:r w:rsidRPr="00FC1484">
        <w:t>第二十條　一、</w:t>
      </w:r>
      <w:r w:rsidR="00536FBE">
        <w:rPr>
          <w:rFonts w:hint="eastAsia"/>
          <w:lang w:eastAsia="zh-TW"/>
        </w:rPr>
        <w:tab/>
      </w:r>
      <w:r w:rsidRPr="00FC1484">
        <w:t>任何鼓吹戰爭之宣傳，應以法律禁止之。</w:t>
      </w:r>
    </w:p>
    <w:p w:rsidR="00CF6634" w:rsidRPr="00FC1484" w:rsidRDefault="005A6884" w:rsidP="004321AA">
      <w:pPr>
        <w:pStyle w:val="1---"/>
        <w:ind w:left="1690" w:hangingChars="704" w:hanging="1690"/>
      </w:pPr>
      <w:r>
        <w:rPr>
          <w:rFonts w:hint="eastAsia"/>
          <w:lang w:eastAsia="zh-TW"/>
        </w:rPr>
        <w:t xml:space="preserve">　　　　　</w:t>
      </w:r>
      <w:r w:rsidR="00CF6634" w:rsidRPr="00FC1484">
        <w:t>二、</w:t>
      </w:r>
      <w:r w:rsidR="004321AA">
        <w:rPr>
          <w:rFonts w:hint="eastAsia"/>
          <w:lang w:eastAsia="zh-TW"/>
        </w:rPr>
        <w:tab/>
      </w:r>
      <w:r w:rsidR="00CF6634" w:rsidRPr="00FC1484">
        <w:t>任何鼓吹民族、種族或宗教仇恨之主張，構成煽動歧視、敵視或強暴者，應以法律禁止之。</w:t>
      </w:r>
    </w:p>
    <w:p w:rsidR="00CF6634" w:rsidRPr="00FC1484" w:rsidRDefault="00CF6634" w:rsidP="009E0BBC">
      <w:pPr>
        <w:pStyle w:val="1---"/>
        <w:ind w:left="1464" w:hangingChars="610" w:hanging="1464"/>
      </w:pPr>
      <w:r w:rsidRPr="00FC1484">
        <w:t xml:space="preserve">第二十一條　</w:t>
      </w:r>
      <w:r w:rsidR="00191EAE">
        <w:rPr>
          <w:rFonts w:hint="eastAsia"/>
          <w:lang w:eastAsia="zh-TW"/>
        </w:rPr>
        <w:tab/>
      </w:r>
      <w:r w:rsidRPr="00FC1484">
        <w:t>和平集會之權利，應予確認。除依法律之規定，且為民主社會維護國家安全或公共安寧、公共秩序、維持公共衛生或風化、或保障他人權利自由所必要者外，不得限制此種權利之行使。</w:t>
      </w:r>
    </w:p>
    <w:p w:rsidR="004321AA" w:rsidRDefault="00CF6634" w:rsidP="004321AA">
      <w:pPr>
        <w:pStyle w:val="1---"/>
        <w:ind w:left="1944" w:hangingChars="810" w:hanging="1944"/>
        <w:rPr>
          <w:rFonts w:hint="eastAsia"/>
          <w:lang w:eastAsia="zh-TW"/>
        </w:rPr>
      </w:pPr>
      <w:r w:rsidRPr="00FC1484">
        <w:t>第二十二條　一、</w:t>
      </w:r>
      <w:r w:rsidR="004321AA">
        <w:rPr>
          <w:rFonts w:hint="eastAsia"/>
          <w:lang w:eastAsia="zh-TW"/>
        </w:rPr>
        <w:tab/>
      </w:r>
      <w:r w:rsidRPr="00FC1484">
        <w:t>人人有自由結社之權利，包括為保障其本身利益而組織及加入工會之權利。</w:t>
      </w:r>
    </w:p>
    <w:p w:rsidR="004321AA" w:rsidRDefault="004321AA" w:rsidP="004321AA">
      <w:pPr>
        <w:pStyle w:val="1---"/>
        <w:ind w:left="1944" w:hangingChars="810" w:hanging="1944"/>
        <w:rPr>
          <w:rFonts w:hint="eastAsia"/>
          <w:lang w:eastAsia="zh-TW"/>
        </w:rPr>
      </w:pPr>
      <w:r>
        <w:rPr>
          <w:rFonts w:hint="eastAsia"/>
          <w:lang w:eastAsia="zh-TW"/>
        </w:rPr>
        <w:t xml:space="preserve">　　　　　　</w:t>
      </w:r>
      <w:r w:rsidR="00CF6634" w:rsidRPr="00FC1484">
        <w:t>二、</w:t>
      </w:r>
      <w:r>
        <w:rPr>
          <w:rFonts w:hint="eastAsia"/>
          <w:lang w:eastAsia="zh-TW"/>
        </w:rPr>
        <w:tab/>
      </w:r>
      <w:r w:rsidR="00CF6634" w:rsidRPr="00FC1484">
        <w:t>除依法律之規定，且為民主社會維護國家安全或公共安寧、公共秩序、維持公共衛生或風化、或保障他人權利自由所必要者外，不得限制此種權利之行使。本條並不禁止對軍警人員行使此種權利，加以合法限制。</w:t>
      </w:r>
    </w:p>
    <w:p w:rsidR="004321AA" w:rsidRDefault="004321AA" w:rsidP="004321AA">
      <w:pPr>
        <w:pStyle w:val="1---"/>
        <w:ind w:left="1944" w:hangingChars="810" w:hanging="1944"/>
        <w:rPr>
          <w:rFonts w:hint="eastAsia"/>
          <w:lang w:eastAsia="zh-TW"/>
        </w:rPr>
      </w:pPr>
      <w:r>
        <w:rPr>
          <w:rFonts w:hint="eastAsia"/>
          <w:lang w:eastAsia="zh-TW"/>
        </w:rPr>
        <w:t xml:space="preserve">　　　　　　</w:t>
      </w:r>
      <w:r w:rsidR="00CF6634" w:rsidRPr="00FC1484">
        <w:t>三、</w:t>
      </w:r>
      <w:r>
        <w:rPr>
          <w:rFonts w:hint="eastAsia"/>
          <w:lang w:eastAsia="zh-TW"/>
        </w:rPr>
        <w:tab/>
      </w:r>
      <w:r w:rsidR="00CF6634" w:rsidRPr="00FC1484">
        <w:t>關於結社自由及保障組織權利之國際勞工組織一九四八年公約締約國，不得根據本條採</w:t>
      </w:r>
      <w:r w:rsidR="00CF6634" w:rsidRPr="00FC1484">
        <w:lastRenderedPageBreak/>
        <w:t>取立法措施或應用法律，妨礙該公約所規定之保證。</w:t>
      </w:r>
    </w:p>
    <w:p w:rsidR="004321AA" w:rsidRDefault="00CF6634" w:rsidP="009E0BBC">
      <w:pPr>
        <w:pStyle w:val="1---"/>
        <w:ind w:left="1944" w:hangingChars="810" w:hanging="1944"/>
        <w:rPr>
          <w:rFonts w:hint="eastAsia"/>
          <w:lang w:eastAsia="zh-TW"/>
        </w:rPr>
      </w:pPr>
      <w:r w:rsidRPr="00FC1484">
        <w:t>第二十三條　一、</w:t>
      </w:r>
      <w:r w:rsidR="004321AA">
        <w:rPr>
          <w:rFonts w:hint="eastAsia"/>
          <w:lang w:eastAsia="zh-TW"/>
        </w:rPr>
        <w:tab/>
      </w:r>
      <w:r w:rsidRPr="00FC1484">
        <w:t>家庭為社會之自然基本團體單位，應受社會及國家之保護。</w:t>
      </w:r>
    </w:p>
    <w:p w:rsidR="00CF6634" w:rsidRPr="00FC1484" w:rsidRDefault="004321AA" w:rsidP="004321AA">
      <w:pPr>
        <w:pStyle w:val="1---"/>
        <w:ind w:left="1944" w:hangingChars="810" w:hanging="1944"/>
      </w:pPr>
      <w:r>
        <w:rPr>
          <w:rFonts w:hint="eastAsia"/>
          <w:lang w:eastAsia="zh-TW"/>
        </w:rPr>
        <w:t xml:space="preserve">　　　　　　</w:t>
      </w:r>
      <w:r w:rsidR="00CF6634" w:rsidRPr="00FC1484">
        <w:t>二、</w:t>
      </w:r>
      <w:r>
        <w:rPr>
          <w:rFonts w:hint="eastAsia"/>
          <w:lang w:eastAsia="zh-TW"/>
        </w:rPr>
        <w:tab/>
      </w:r>
      <w:r w:rsidR="00CF6634" w:rsidRPr="00FC1484">
        <w:t>男女已達結婚年齡者，其結婚及成立家庭之權利應予確認。</w:t>
      </w:r>
    </w:p>
    <w:p w:rsidR="00CF6634" w:rsidRPr="00FC1484" w:rsidRDefault="004321AA" w:rsidP="004321AA">
      <w:pPr>
        <w:pStyle w:val="1---"/>
        <w:ind w:left="1944" w:hangingChars="810" w:hanging="1944"/>
      </w:pPr>
      <w:r>
        <w:rPr>
          <w:rFonts w:hint="eastAsia"/>
          <w:lang w:eastAsia="zh-TW"/>
        </w:rPr>
        <w:t xml:space="preserve">　　　　　　</w:t>
      </w:r>
      <w:r w:rsidR="00CF6634" w:rsidRPr="00FC1484">
        <w:t>三、</w:t>
      </w:r>
      <w:r>
        <w:rPr>
          <w:rFonts w:hint="eastAsia"/>
          <w:lang w:eastAsia="zh-TW"/>
        </w:rPr>
        <w:tab/>
      </w:r>
      <w:r w:rsidR="00CF6634" w:rsidRPr="00FC1484">
        <w:t>婚姻非經婚嫁雙方自由完全同意，不得締</w:t>
      </w:r>
      <w:r w:rsidR="002A63D9">
        <w:rPr>
          <w:rFonts w:hint="eastAsia"/>
          <w:lang w:eastAsia="zh-TW"/>
        </w:rPr>
        <w:t xml:space="preserve">　</w:t>
      </w:r>
      <w:r w:rsidR="00CF6634" w:rsidRPr="00FC1484">
        <w:t>結。</w:t>
      </w:r>
    </w:p>
    <w:p w:rsidR="00CF6634" w:rsidRPr="00FC1484" w:rsidRDefault="004321AA" w:rsidP="004321AA">
      <w:pPr>
        <w:pStyle w:val="1---"/>
        <w:ind w:left="1944" w:hangingChars="810" w:hanging="1944"/>
      </w:pPr>
      <w:r>
        <w:rPr>
          <w:rFonts w:hint="eastAsia"/>
          <w:lang w:eastAsia="zh-TW"/>
        </w:rPr>
        <w:t xml:space="preserve">　　　　　　</w:t>
      </w:r>
      <w:r w:rsidR="00CF6634" w:rsidRPr="00FC1484">
        <w:t>四、</w:t>
      </w:r>
      <w:r>
        <w:rPr>
          <w:rFonts w:hint="eastAsia"/>
          <w:lang w:eastAsia="zh-TW"/>
        </w:rPr>
        <w:tab/>
      </w:r>
      <w:r w:rsidR="00CF6634" w:rsidRPr="00FC1484">
        <w:t>本公約締約國應採取適當步驟，確保夫妻在婚姻方面，在婚姻關係存續期間，以及在婚姻關係消滅時，雙方權利責任平等。婚姻關係消滅時，應訂定辦法，對子女予以必要之保護。</w:t>
      </w:r>
    </w:p>
    <w:p w:rsidR="00CF6634" w:rsidRPr="00FC1484" w:rsidRDefault="00CF6634" w:rsidP="009E0BBC">
      <w:pPr>
        <w:pStyle w:val="1---"/>
        <w:ind w:left="1944" w:hangingChars="810" w:hanging="1944"/>
      </w:pPr>
      <w:r w:rsidRPr="00FC1484">
        <w:t>第二十四條　一、</w:t>
      </w:r>
      <w:r w:rsidR="009E0BBC">
        <w:rPr>
          <w:rFonts w:hint="eastAsia"/>
          <w:lang w:eastAsia="zh-TW"/>
        </w:rPr>
        <w:tab/>
      </w:r>
      <w:r w:rsidRPr="00FC1484">
        <w:t>所有兒童有權享受家庭、社會及國家為其未成</w:t>
      </w:r>
      <w:r w:rsidRPr="009E6303">
        <w:t>年身分給予之必需保護措施，不因種族、膚色</w:t>
      </w:r>
      <w:r w:rsidRPr="00FC1484">
        <w:t>、性別、語言、宗教、民族本源或社會階級、財產、或出生而受歧視。</w:t>
      </w:r>
    </w:p>
    <w:p w:rsidR="00CF6634" w:rsidRPr="00FC1484" w:rsidRDefault="009E0BBC" w:rsidP="009E0BBC">
      <w:pPr>
        <w:pStyle w:val="1---"/>
        <w:ind w:left="1944" w:hangingChars="810" w:hanging="1944"/>
      </w:pPr>
      <w:r>
        <w:rPr>
          <w:rFonts w:hint="eastAsia"/>
          <w:lang w:eastAsia="zh-TW"/>
        </w:rPr>
        <w:t xml:space="preserve">　　　　　　</w:t>
      </w:r>
      <w:r w:rsidR="00CF6634" w:rsidRPr="00FC1484">
        <w:t>二、</w:t>
      </w:r>
      <w:r>
        <w:rPr>
          <w:rFonts w:hint="eastAsia"/>
          <w:lang w:eastAsia="zh-TW"/>
        </w:rPr>
        <w:tab/>
      </w:r>
      <w:r w:rsidR="00CF6634" w:rsidRPr="00FC1484">
        <w:t>所有兒童出生後應立予登記，並取得名字。</w:t>
      </w:r>
    </w:p>
    <w:p w:rsidR="00CF6634" w:rsidRPr="00FC1484" w:rsidRDefault="009E0BBC" w:rsidP="009E0BBC">
      <w:pPr>
        <w:pStyle w:val="1---"/>
        <w:ind w:left="1944" w:hangingChars="810" w:hanging="1944"/>
      </w:pPr>
      <w:r>
        <w:rPr>
          <w:rFonts w:hint="eastAsia"/>
          <w:lang w:eastAsia="zh-TW"/>
        </w:rPr>
        <w:t xml:space="preserve">　　　　　　</w:t>
      </w:r>
      <w:r w:rsidR="00CF6634" w:rsidRPr="00FC1484">
        <w:t>三、</w:t>
      </w:r>
      <w:r>
        <w:rPr>
          <w:rFonts w:hint="eastAsia"/>
          <w:lang w:eastAsia="zh-TW"/>
        </w:rPr>
        <w:tab/>
      </w:r>
      <w:r w:rsidR="00CF6634" w:rsidRPr="00FC1484">
        <w:t>所有兒童有取得國籍之權。</w:t>
      </w:r>
    </w:p>
    <w:p w:rsidR="009E0BBC" w:rsidRDefault="00CF6634" w:rsidP="009E0BBC">
      <w:pPr>
        <w:pStyle w:val="1---"/>
        <w:ind w:left="1944" w:hangingChars="810" w:hanging="1944"/>
        <w:rPr>
          <w:rFonts w:hint="eastAsia"/>
          <w:lang w:eastAsia="zh-TW"/>
        </w:rPr>
      </w:pPr>
      <w:r w:rsidRPr="00FC1484">
        <w:t>第二十五條　一、</w:t>
      </w:r>
      <w:r w:rsidR="009E0BBC">
        <w:rPr>
          <w:rFonts w:hint="eastAsia"/>
          <w:lang w:eastAsia="zh-TW"/>
        </w:rPr>
        <w:tab/>
      </w:r>
      <w:r w:rsidRPr="00FC1484">
        <w:t>凡屬公民，無分第二條所列之任何區別，不受無理限制，均應有權利及機會：</w:t>
      </w:r>
    </w:p>
    <w:p w:rsidR="009E0BBC" w:rsidRDefault="009E0BBC" w:rsidP="009E0BBC">
      <w:pPr>
        <w:pStyle w:val="1---"/>
        <w:ind w:left="2424" w:hangingChars="1010" w:hanging="2424"/>
        <w:rPr>
          <w:rFonts w:hint="eastAsia"/>
          <w:lang w:eastAsia="zh-TW"/>
        </w:rPr>
      </w:pPr>
      <w:r>
        <w:rPr>
          <w:rFonts w:hint="eastAsia"/>
          <w:lang w:eastAsia="zh-TW"/>
        </w:rPr>
        <w:t xml:space="preserve">　　　　　　　</w:t>
      </w:r>
      <w:r w:rsidR="00CF6634" w:rsidRPr="00FC1484">
        <w:t>（一）</w:t>
      </w:r>
      <w:r>
        <w:rPr>
          <w:rFonts w:hint="eastAsia"/>
          <w:lang w:eastAsia="zh-TW"/>
        </w:rPr>
        <w:tab/>
      </w:r>
      <w:r w:rsidR="00CF6634" w:rsidRPr="00FC1484">
        <w:t>直接或經由自由選擇之代表參與政事；</w:t>
      </w:r>
    </w:p>
    <w:p w:rsidR="009E0BBC" w:rsidRDefault="009E0BBC" w:rsidP="009E0BBC">
      <w:pPr>
        <w:pStyle w:val="1---"/>
        <w:ind w:left="2424" w:hangingChars="1010" w:hanging="2424"/>
        <w:rPr>
          <w:rFonts w:hint="eastAsia"/>
          <w:lang w:eastAsia="zh-TW"/>
        </w:rPr>
      </w:pPr>
      <w:r>
        <w:rPr>
          <w:rFonts w:hint="eastAsia"/>
          <w:lang w:eastAsia="zh-TW"/>
        </w:rPr>
        <w:t xml:space="preserve">　　　　　　　</w:t>
      </w:r>
      <w:r w:rsidR="00CF6634" w:rsidRPr="00FC1484">
        <w:t>（二）</w:t>
      </w:r>
      <w:r>
        <w:rPr>
          <w:rFonts w:hint="eastAsia"/>
          <w:lang w:eastAsia="zh-TW"/>
        </w:rPr>
        <w:tab/>
      </w:r>
      <w:r w:rsidR="00CF6634" w:rsidRPr="00FC1484">
        <w:t>在真正、定期之選舉中投票及被選。選舉權必須普及而平等，選舉應以無記名投票法行之，以保證選民意志之自由表</w:t>
      </w:r>
      <w:r w:rsidR="00CF6634" w:rsidRPr="00FC1484">
        <w:lastRenderedPageBreak/>
        <w:t>現；</w:t>
      </w:r>
    </w:p>
    <w:p w:rsidR="00CF6634" w:rsidRPr="00FC1484" w:rsidRDefault="009E0BBC" w:rsidP="009E0BBC">
      <w:pPr>
        <w:pStyle w:val="1---"/>
        <w:ind w:left="2424" w:hangingChars="1010" w:hanging="2424"/>
      </w:pPr>
      <w:r>
        <w:rPr>
          <w:rFonts w:hint="eastAsia"/>
          <w:lang w:eastAsia="zh-TW"/>
        </w:rPr>
        <w:t xml:space="preserve">　　　　　　　</w:t>
      </w:r>
      <w:r w:rsidR="00CF6634" w:rsidRPr="00FC1484">
        <w:t>（三）</w:t>
      </w:r>
      <w:r>
        <w:rPr>
          <w:rFonts w:hint="eastAsia"/>
          <w:lang w:eastAsia="zh-TW"/>
        </w:rPr>
        <w:tab/>
      </w:r>
      <w:r w:rsidR="00CF6634" w:rsidRPr="00FC1484">
        <w:t>以一般平等之條件，服本國公職。</w:t>
      </w:r>
    </w:p>
    <w:p w:rsidR="00CF6634" w:rsidRPr="00FC1484" w:rsidRDefault="00CF6634" w:rsidP="009E0BBC">
      <w:pPr>
        <w:pStyle w:val="1---"/>
        <w:ind w:left="1464" w:hangingChars="610" w:hanging="1464"/>
      </w:pPr>
      <w:r w:rsidRPr="00FC1484">
        <w:t xml:space="preserve">第二十六條　</w:t>
      </w:r>
      <w:r w:rsidR="00191EAE">
        <w:rPr>
          <w:rFonts w:hint="eastAsia"/>
          <w:lang w:eastAsia="zh-TW"/>
        </w:rPr>
        <w:tab/>
      </w:r>
      <w:r w:rsidRPr="00FC1484">
        <w:t>人人在法律上一律平等，且應受法律平等保護，無所歧視。在此方面，法律應禁止任何歧視，並保證人人享受平等而有效之保護，以防因種族、膚色、性別、語言、宗教、政見或其他主張、民族本源或社會階級、財產、出生或其他身分而生之歧視。</w:t>
      </w:r>
    </w:p>
    <w:p w:rsidR="00CF6634" w:rsidRPr="00FC1484" w:rsidRDefault="00CF6634" w:rsidP="009E0BBC">
      <w:pPr>
        <w:pStyle w:val="1---"/>
        <w:ind w:left="1464" w:hangingChars="610" w:hanging="1464"/>
      </w:pPr>
      <w:r w:rsidRPr="00FC1484">
        <w:t xml:space="preserve">第二十七條　</w:t>
      </w:r>
      <w:r w:rsidR="00191EAE">
        <w:rPr>
          <w:rFonts w:hint="eastAsia"/>
          <w:lang w:eastAsia="zh-TW"/>
        </w:rPr>
        <w:tab/>
      </w:r>
      <w:r w:rsidRPr="00FC1484">
        <w:t>凡有種族、宗教或語言少數團體之國家，屬於此類少數團體之人，與團體中其他分子共同享受其固有文化、信奉躬行其固有宗教或使用其固有語言之權利，不得剝奪之。</w:t>
      </w:r>
    </w:p>
    <w:p w:rsidR="00CF6634" w:rsidRPr="00FC1484" w:rsidRDefault="00CF6634" w:rsidP="0041744C">
      <w:pPr>
        <w:pStyle w:val="affa"/>
        <w:rPr>
          <w:rFonts w:ascii="Times New Roman"/>
        </w:rPr>
      </w:pPr>
      <w:r w:rsidRPr="00FC1484">
        <w:rPr>
          <w:rFonts w:ascii="Times New Roman"/>
        </w:rPr>
        <w:t>第</w:t>
      </w:r>
      <w:r w:rsidR="00F87B67">
        <w:rPr>
          <w:rFonts w:ascii="Times New Roman" w:hint="eastAsia"/>
        </w:rPr>
        <w:t xml:space="preserve"> </w:t>
      </w:r>
      <w:r w:rsidRPr="00FC1484">
        <w:rPr>
          <w:rFonts w:ascii="Times New Roman"/>
        </w:rPr>
        <w:t>肆</w:t>
      </w:r>
      <w:r w:rsidR="00F87B67">
        <w:rPr>
          <w:rFonts w:ascii="Times New Roman" w:hint="eastAsia"/>
        </w:rPr>
        <w:t xml:space="preserve"> </w:t>
      </w:r>
      <w:r w:rsidRPr="00FC1484">
        <w:rPr>
          <w:rFonts w:ascii="Times New Roman"/>
        </w:rPr>
        <w:t>編</w:t>
      </w:r>
    </w:p>
    <w:p w:rsidR="00CF6634" w:rsidRPr="00FC1484" w:rsidRDefault="00CF6634" w:rsidP="009E0BBC">
      <w:pPr>
        <w:pStyle w:val="1---"/>
        <w:ind w:left="1944" w:hangingChars="810" w:hanging="1944"/>
      </w:pPr>
      <w:r w:rsidRPr="00FC1484">
        <w:t>第二十八條　一、</w:t>
      </w:r>
      <w:r w:rsidR="00DE2A1D">
        <w:rPr>
          <w:rFonts w:hint="eastAsia"/>
          <w:lang w:eastAsia="zh-TW"/>
        </w:rPr>
        <w:tab/>
      </w:r>
      <w:r w:rsidRPr="00FC1484">
        <w:t>茲設置人權事宜委員會（本公約下文簡稱委員會）委員十八人，執行以下規定之職務。</w:t>
      </w:r>
    </w:p>
    <w:p w:rsidR="00CF6634" w:rsidRPr="00FC1484" w:rsidRDefault="00DE2A1D" w:rsidP="009E0BBC">
      <w:pPr>
        <w:pStyle w:val="1---"/>
        <w:ind w:left="1944" w:hangingChars="810" w:hanging="1944"/>
      </w:pPr>
      <w:r>
        <w:rPr>
          <w:rFonts w:hint="eastAsia"/>
          <w:lang w:eastAsia="zh-TW"/>
        </w:rPr>
        <w:t xml:space="preserve">　　　　　　</w:t>
      </w:r>
      <w:r w:rsidR="00CF6634" w:rsidRPr="00FC1484">
        <w:t>二、</w:t>
      </w:r>
      <w:r>
        <w:rPr>
          <w:rFonts w:hint="eastAsia"/>
          <w:lang w:eastAsia="zh-TW"/>
        </w:rPr>
        <w:tab/>
      </w:r>
      <w:r w:rsidR="00CF6634" w:rsidRPr="00FC1484">
        <w:t>委員會委員應為本公約締約國國民，品格高尚且在人權問題方面聲譽素著之人士；同時並應計及宜選若干具有法律經驗之人士擔任委員。</w:t>
      </w:r>
    </w:p>
    <w:p w:rsidR="00CF6634" w:rsidRPr="00FC1484" w:rsidRDefault="00DE2A1D" w:rsidP="009E0BBC">
      <w:pPr>
        <w:pStyle w:val="1---"/>
        <w:ind w:left="1944" w:hangingChars="810" w:hanging="1944"/>
      </w:pPr>
      <w:r>
        <w:rPr>
          <w:rFonts w:hint="eastAsia"/>
          <w:lang w:eastAsia="zh-TW"/>
        </w:rPr>
        <w:t xml:space="preserve">　　　　　　</w:t>
      </w:r>
      <w:r w:rsidR="00CF6634" w:rsidRPr="00FC1484">
        <w:t>三、</w:t>
      </w:r>
      <w:r>
        <w:rPr>
          <w:rFonts w:hint="eastAsia"/>
          <w:lang w:eastAsia="zh-TW"/>
        </w:rPr>
        <w:tab/>
      </w:r>
      <w:r w:rsidR="00CF6634" w:rsidRPr="00FC1484">
        <w:t>委員會委員以個人資格當選任職。</w:t>
      </w:r>
    </w:p>
    <w:p w:rsidR="00CF6634" w:rsidRPr="00FC1484" w:rsidRDefault="00CF6634" w:rsidP="009E0BBC">
      <w:pPr>
        <w:pStyle w:val="1---"/>
        <w:ind w:left="1944" w:hangingChars="810" w:hanging="1944"/>
      </w:pPr>
      <w:r w:rsidRPr="00FC1484">
        <w:t>第二十九條　一、</w:t>
      </w:r>
      <w:r w:rsidR="00DE2A1D">
        <w:rPr>
          <w:rFonts w:hint="eastAsia"/>
          <w:lang w:eastAsia="zh-TW"/>
        </w:rPr>
        <w:tab/>
      </w:r>
      <w:r w:rsidRPr="00FC1484">
        <w:t>委員會之委員應自具備第二十八條所規定資格並經本公約締約國為此提名之人士名單中以無記名投票選舉之。</w:t>
      </w:r>
    </w:p>
    <w:p w:rsidR="00CF6634" w:rsidRPr="00FC1484" w:rsidRDefault="00DE2A1D" w:rsidP="009E0BBC">
      <w:pPr>
        <w:pStyle w:val="1---"/>
        <w:ind w:left="1944" w:hangingChars="810" w:hanging="1944"/>
      </w:pPr>
      <w:r>
        <w:rPr>
          <w:rFonts w:hint="eastAsia"/>
          <w:lang w:eastAsia="zh-TW"/>
        </w:rPr>
        <w:t xml:space="preserve">　　　　　　</w:t>
      </w:r>
      <w:r w:rsidR="00CF6634" w:rsidRPr="00FC1484">
        <w:t>二、</w:t>
      </w:r>
      <w:r>
        <w:rPr>
          <w:rFonts w:hint="eastAsia"/>
          <w:lang w:eastAsia="zh-TW"/>
        </w:rPr>
        <w:tab/>
      </w:r>
      <w:r w:rsidR="00CF6634" w:rsidRPr="00FC1484">
        <w:t>本公約各締約國提出人選不得多於二人，所</w:t>
      </w:r>
      <w:r w:rsidR="00CF6634" w:rsidRPr="00FC1484">
        <w:lastRenderedPageBreak/>
        <w:t>提人選應為提名國國民。</w:t>
      </w:r>
    </w:p>
    <w:p w:rsidR="00CF6634" w:rsidRPr="00FC1484" w:rsidRDefault="00DE2A1D" w:rsidP="009E0BBC">
      <w:pPr>
        <w:pStyle w:val="1---"/>
        <w:ind w:left="1944" w:hangingChars="810" w:hanging="1944"/>
      </w:pPr>
      <w:r>
        <w:rPr>
          <w:rFonts w:hint="eastAsia"/>
          <w:lang w:eastAsia="zh-TW"/>
        </w:rPr>
        <w:t xml:space="preserve">　　　　　　</w:t>
      </w:r>
      <w:r w:rsidR="00CF6634" w:rsidRPr="00FC1484">
        <w:t>三、</w:t>
      </w:r>
      <w:r>
        <w:rPr>
          <w:rFonts w:hint="eastAsia"/>
          <w:lang w:eastAsia="zh-TW"/>
        </w:rPr>
        <w:tab/>
      </w:r>
      <w:r w:rsidR="00CF6634" w:rsidRPr="00FC1484">
        <w:t>候選人選，得續予提名。</w:t>
      </w:r>
    </w:p>
    <w:p w:rsidR="00CF6634" w:rsidRPr="00FC1484" w:rsidRDefault="00CF6634" w:rsidP="009E0BBC">
      <w:pPr>
        <w:pStyle w:val="1---"/>
        <w:ind w:left="1944" w:hangingChars="810" w:hanging="1944"/>
      </w:pPr>
      <w:r w:rsidRPr="00FC1484">
        <w:t>第</w:t>
      </w:r>
      <w:r w:rsidR="002A63D9">
        <w:rPr>
          <w:rFonts w:hint="eastAsia"/>
          <w:lang w:eastAsia="zh-TW"/>
        </w:rPr>
        <w:t xml:space="preserve"> </w:t>
      </w:r>
      <w:r w:rsidRPr="00FC1484">
        <w:t>三十</w:t>
      </w:r>
      <w:r w:rsidR="002A63D9">
        <w:rPr>
          <w:rFonts w:hint="eastAsia"/>
          <w:lang w:eastAsia="zh-TW"/>
        </w:rPr>
        <w:t xml:space="preserve"> </w:t>
      </w:r>
      <w:r w:rsidRPr="00FC1484">
        <w:t>條　一、</w:t>
      </w:r>
      <w:r w:rsidR="00DE2A1D">
        <w:rPr>
          <w:rFonts w:hint="eastAsia"/>
          <w:lang w:eastAsia="zh-TW"/>
        </w:rPr>
        <w:tab/>
      </w:r>
      <w:r w:rsidRPr="00FC1484">
        <w:t>初次選舉至遲應於本公約開始生效後六個月內舉行。</w:t>
      </w:r>
    </w:p>
    <w:p w:rsidR="00CF6634" w:rsidRPr="00FC1484" w:rsidRDefault="00DE2A1D" w:rsidP="009E0BBC">
      <w:pPr>
        <w:pStyle w:val="1---"/>
        <w:ind w:left="1944" w:hangingChars="810" w:hanging="1944"/>
      </w:pPr>
      <w:r>
        <w:rPr>
          <w:rFonts w:hint="eastAsia"/>
          <w:lang w:eastAsia="zh-TW"/>
        </w:rPr>
        <w:t xml:space="preserve">　　　　　　</w:t>
      </w:r>
      <w:r w:rsidR="00CF6634" w:rsidRPr="00FC1484">
        <w:t>二、</w:t>
      </w:r>
      <w:r>
        <w:rPr>
          <w:rFonts w:hint="eastAsia"/>
          <w:lang w:eastAsia="zh-TW"/>
        </w:rPr>
        <w:tab/>
      </w:r>
      <w:r w:rsidR="00CF6634" w:rsidRPr="00FC1484">
        <w:t>除依據第三十四條規定宣告出缺而舉行之補缺選舉外，聯合國秘書長至遲應於委員會各次選舉日期四個月前以書面邀請本公約締約國於三個月內提出委員會委員候選人。</w:t>
      </w:r>
    </w:p>
    <w:p w:rsidR="00CF6634" w:rsidRPr="00FC1484" w:rsidRDefault="00DE2A1D" w:rsidP="009E0BBC">
      <w:pPr>
        <w:pStyle w:val="1---"/>
        <w:ind w:left="1944" w:hangingChars="810" w:hanging="1944"/>
      </w:pPr>
      <w:r>
        <w:rPr>
          <w:rFonts w:hint="eastAsia"/>
          <w:lang w:eastAsia="zh-TW"/>
        </w:rPr>
        <w:t xml:space="preserve">　　　　　　</w:t>
      </w:r>
      <w:r w:rsidR="00CF6634" w:rsidRPr="00FC1484">
        <w:t>三、</w:t>
      </w:r>
      <w:r>
        <w:rPr>
          <w:rFonts w:hint="eastAsia"/>
          <w:lang w:eastAsia="zh-TW"/>
        </w:rPr>
        <w:tab/>
      </w:r>
      <w:r w:rsidR="00CF6634" w:rsidRPr="00FC1484">
        <w:t>聯合國秘書長應就所提出之候選人，按照字母次序編製名單，標明推薦其候選之締約國，至遲於每次選舉日期一個月前，送達本公約締約國。</w:t>
      </w:r>
    </w:p>
    <w:p w:rsidR="00CF6634" w:rsidRPr="00FC1484" w:rsidRDefault="00DE2A1D" w:rsidP="009E0BBC">
      <w:pPr>
        <w:pStyle w:val="1---"/>
        <w:ind w:left="1944" w:hangingChars="810" w:hanging="1944"/>
      </w:pPr>
      <w:r>
        <w:rPr>
          <w:rFonts w:hint="eastAsia"/>
          <w:lang w:eastAsia="zh-TW"/>
        </w:rPr>
        <w:t xml:space="preserve">　　　　　　</w:t>
      </w:r>
      <w:r w:rsidR="00CF6634" w:rsidRPr="00FC1484">
        <w:t>四、</w:t>
      </w:r>
      <w:r>
        <w:rPr>
          <w:rFonts w:hint="eastAsia"/>
          <w:lang w:eastAsia="zh-TW"/>
        </w:rPr>
        <w:tab/>
      </w:r>
      <w:r w:rsidR="00CF6634" w:rsidRPr="00FC1484">
        <w:t>委員會委員之選舉應由聯合國秘書長在聯合國會所召集之締約國會議舉行之，該會議以締約國之三分之二出席為法定人數，候選人獲票最多且得出席及投票締約國代表絕對過半數票者當選為委員會委員。</w:t>
      </w:r>
    </w:p>
    <w:p w:rsidR="00CF6634" w:rsidRPr="00FC1484" w:rsidRDefault="00CF6634" w:rsidP="009E0BBC">
      <w:pPr>
        <w:pStyle w:val="1---"/>
        <w:ind w:left="1944" w:hangingChars="810" w:hanging="1944"/>
      </w:pPr>
      <w:r w:rsidRPr="00FC1484">
        <w:t>第三十一條　一、</w:t>
      </w:r>
      <w:r w:rsidR="00DE2A1D">
        <w:rPr>
          <w:rFonts w:hint="eastAsia"/>
          <w:lang w:eastAsia="zh-TW"/>
        </w:rPr>
        <w:tab/>
      </w:r>
      <w:r w:rsidRPr="009E6303">
        <w:t>委</w:t>
      </w:r>
      <w:r w:rsidRPr="00FC1484">
        <w:t>員會不得有委員一人以上為同一國家之國</w:t>
      </w:r>
      <w:r w:rsidRPr="009E6303">
        <w:t>民。</w:t>
      </w:r>
    </w:p>
    <w:p w:rsidR="00CF6634" w:rsidRPr="00FC1484" w:rsidRDefault="00DE2A1D" w:rsidP="009E0BBC">
      <w:pPr>
        <w:pStyle w:val="1---"/>
        <w:ind w:left="1944" w:hangingChars="810" w:hanging="1944"/>
      </w:pPr>
      <w:r>
        <w:rPr>
          <w:rFonts w:hint="eastAsia"/>
          <w:lang w:eastAsia="zh-TW"/>
        </w:rPr>
        <w:t xml:space="preserve">　　　　　　</w:t>
      </w:r>
      <w:r w:rsidR="00CF6634" w:rsidRPr="00FC1484">
        <w:t>二、</w:t>
      </w:r>
      <w:r>
        <w:rPr>
          <w:rFonts w:hint="eastAsia"/>
          <w:lang w:eastAsia="zh-TW"/>
        </w:rPr>
        <w:tab/>
      </w:r>
      <w:r w:rsidR="00CF6634" w:rsidRPr="00FC1484">
        <w:t>選舉委員會委員時應計及地域公勻分配及確能代表世界不同文化及各主要法系之原則。</w:t>
      </w:r>
    </w:p>
    <w:p w:rsidR="00CF6634" w:rsidRPr="00FC1484" w:rsidRDefault="00CF6634" w:rsidP="009E0BBC">
      <w:pPr>
        <w:pStyle w:val="1---"/>
        <w:ind w:left="1944" w:hangingChars="810" w:hanging="1944"/>
      </w:pPr>
      <w:r w:rsidRPr="00FC1484">
        <w:t>第三十二條　一、</w:t>
      </w:r>
      <w:r w:rsidR="00DE2A1D">
        <w:rPr>
          <w:rFonts w:hint="eastAsia"/>
          <w:lang w:eastAsia="zh-TW"/>
        </w:rPr>
        <w:tab/>
      </w:r>
      <w:r w:rsidRPr="009E6303">
        <w:t>委員會委員任期四年。續經提名者連選得連任</w:t>
      </w:r>
      <w:r w:rsidRPr="00FC1484">
        <w:t>。但第一次選出之委員中九人任期應為二年；任期二年之委員九人，應於第一次選舉完畢後，立由第三十條第四項所稱會議之主</w:t>
      </w:r>
      <w:r w:rsidRPr="00FC1484">
        <w:lastRenderedPageBreak/>
        <w:t>席，以抽籤方法決定之。</w:t>
      </w:r>
    </w:p>
    <w:p w:rsidR="00CF6634" w:rsidRPr="00FC1484" w:rsidRDefault="00DE2A1D" w:rsidP="009E0BBC">
      <w:pPr>
        <w:pStyle w:val="1---"/>
        <w:ind w:left="1944" w:hangingChars="810" w:hanging="1944"/>
      </w:pPr>
      <w:r>
        <w:rPr>
          <w:rFonts w:hint="eastAsia"/>
          <w:lang w:eastAsia="zh-TW"/>
        </w:rPr>
        <w:t xml:space="preserve">　　　　　　</w:t>
      </w:r>
      <w:r w:rsidR="00CF6634" w:rsidRPr="00FC1484">
        <w:t>二、</w:t>
      </w:r>
      <w:r>
        <w:rPr>
          <w:rFonts w:hint="eastAsia"/>
          <w:lang w:eastAsia="zh-TW"/>
        </w:rPr>
        <w:tab/>
      </w:r>
      <w:r w:rsidR="00CF6634" w:rsidRPr="00FC1484">
        <w:t>委員會委員任滿時之改選，應依照本公約本編以上各條舉行之。</w:t>
      </w:r>
    </w:p>
    <w:p w:rsidR="00CF6634" w:rsidRPr="00FC1484" w:rsidRDefault="00CF6634" w:rsidP="009E0BBC">
      <w:pPr>
        <w:pStyle w:val="1---"/>
        <w:ind w:left="1944" w:hangingChars="810" w:hanging="1944"/>
      </w:pPr>
      <w:r w:rsidRPr="00FC1484">
        <w:t>第三十三條　一、</w:t>
      </w:r>
      <w:r w:rsidR="00DE2A1D">
        <w:rPr>
          <w:rFonts w:hint="eastAsia"/>
          <w:lang w:eastAsia="zh-TW"/>
        </w:rPr>
        <w:tab/>
      </w:r>
      <w:r w:rsidRPr="00FC1484">
        <w:t>委員會某一委員倘經其他委員一致認為由於暫</w:t>
      </w:r>
      <w:r w:rsidRPr="009E6303">
        <w:t>時缺席以外之其他原因，業已停止執行職務時</w:t>
      </w:r>
      <w:r w:rsidRPr="00FC1484">
        <w:t>，委員會主席應通知聯合國秘書長，由其宣告該委員出缺。</w:t>
      </w:r>
    </w:p>
    <w:p w:rsidR="00CF6634" w:rsidRPr="00FC1484" w:rsidRDefault="00DE2A1D" w:rsidP="009E0BBC">
      <w:pPr>
        <w:pStyle w:val="1---"/>
        <w:ind w:left="1944" w:hangingChars="810" w:hanging="1944"/>
      </w:pPr>
      <w:r>
        <w:rPr>
          <w:rFonts w:hint="eastAsia"/>
          <w:lang w:eastAsia="zh-TW"/>
        </w:rPr>
        <w:t xml:space="preserve">　　　　　　</w:t>
      </w:r>
      <w:r w:rsidR="00CF6634" w:rsidRPr="00FC1484">
        <w:t>二、</w:t>
      </w:r>
      <w:r>
        <w:rPr>
          <w:rFonts w:hint="eastAsia"/>
          <w:lang w:eastAsia="zh-TW"/>
        </w:rPr>
        <w:tab/>
      </w:r>
      <w:r w:rsidR="00CF6634" w:rsidRPr="00FC1484">
        <w:t>委員會委員死亡或辭職時，委員會主席應即通知聯合國秘書長，由其宣告該委員自死亡或辭職生效之日起出缺。</w:t>
      </w:r>
    </w:p>
    <w:p w:rsidR="00CF6634" w:rsidRPr="00FC1484" w:rsidRDefault="00CF6634" w:rsidP="009E0BBC">
      <w:pPr>
        <w:pStyle w:val="1---"/>
        <w:ind w:left="1944" w:hangingChars="810" w:hanging="1944"/>
      </w:pPr>
      <w:r w:rsidRPr="00FC1484">
        <w:t>第三十四條　一、</w:t>
      </w:r>
      <w:r w:rsidR="00DE2A1D">
        <w:rPr>
          <w:rFonts w:hint="eastAsia"/>
          <w:lang w:eastAsia="zh-TW"/>
        </w:rPr>
        <w:tab/>
      </w:r>
      <w:r w:rsidRPr="009E6303">
        <w:t>遇有第三十三條所稱情形宣告出缺，且須行補選之委員任期不在宣告出缺後六個月內屆滿者</w:t>
      </w:r>
      <w:r w:rsidRPr="00FC1484">
        <w:t>，聯合國秘書長應通知本公約各締約國，各締約國得於兩個月內依照第二十九條提出候選人，以備補缺。</w:t>
      </w:r>
    </w:p>
    <w:p w:rsidR="00CF6634" w:rsidRPr="00FC1484" w:rsidRDefault="00DE2A1D" w:rsidP="009E0BBC">
      <w:pPr>
        <w:pStyle w:val="1---"/>
        <w:ind w:left="1944" w:hangingChars="810" w:hanging="1944"/>
      </w:pPr>
      <w:r>
        <w:rPr>
          <w:rFonts w:hint="eastAsia"/>
          <w:lang w:eastAsia="zh-TW"/>
        </w:rPr>
        <w:t xml:space="preserve">　　　　　　</w:t>
      </w:r>
      <w:r w:rsidR="00CF6634" w:rsidRPr="00FC1484">
        <w:t>二、</w:t>
      </w:r>
      <w:r>
        <w:rPr>
          <w:rFonts w:hint="eastAsia"/>
          <w:lang w:eastAsia="zh-TW"/>
        </w:rPr>
        <w:tab/>
      </w:r>
      <w:r w:rsidR="00CF6634" w:rsidRPr="00FC1484">
        <w:t>聯合國秘書長應就所提出之候選人，按照字母次序編製名單，送達本公約締約國。補缺選舉應於編送名單後依照本公約本編有關規定舉行之。</w:t>
      </w:r>
    </w:p>
    <w:p w:rsidR="00CF6634" w:rsidRPr="00FC1484" w:rsidRDefault="00DE2A1D" w:rsidP="009E0BBC">
      <w:pPr>
        <w:pStyle w:val="1---"/>
        <w:ind w:left="1944" w:hangingChars="810" w:hanging="1944"/>
      </w:pPr>
      <w:r>
        <w:rPr>
          <w:rFonts w:hint="eastAsia"/>
          <w:lang w:eastAsia="zh-TW"/>
        </w:rPr>
        <w:t xml:space="preserve">　　　　　　</w:t>
      </w:r>
      <w:r w:rsidR="00CF6634" w:rsidRPr="00FC1484">
        <w:t>三、</w:t>
      </w:r>
      <w:r>
        <w:rPr>
          <w:rFonts w:hint="eastAsia"/>
          <w:lang w:eastAsia="zh-TW"/>
        </w:rPr>
        <w:tab/>
      </w:r>
      <w:r w:rsidR="00CF6634" w:rsidRPr="00FC1484">
        <w:t>委員會委員之當選遞補依第三十三條規定宣告之懸缺者，應任職至依該條規定出缺之委員會委員任期屆滿時為止。</w:t>
      </w:r>
    </w:p>
    <w:p w:rsidR="002A63D9" w:rsidRDefault="00CF6634" w:rsidP="00DE2A1D">
      <w:pPr>
        <w:pStyle w:val="1---"/>
        <w:ind w:left="1464" w:hangingChars="610" w:hanging="1464"/>
        <w:rPr>
          <w:lang w:eastAsia="zh-TW"/>
        </w:rPr>
      </w:pPr>
      <w:r w:rsidRPr="00FC1484">
        <w:t xml:space="preserve">第三十五條　</w:t>
      </w:r>
      <w:r w:rsidR="00191EAE">
        <w:rPr>
          <w:rFonts w:hint="eastAsia"/>
          <w:lang w:eastAsia="zh-TW"/>
        </w:rPr>
        <w:tab/>
      </w:r>
      <w:r w:rsidRPr="00FC1484">
        <w:t>委員會委員經聯合國大會核准，自聯合國資金項下支取報酬，其待遇及條件由大會參酌委員會所負重大責任定之。</w:t>
      </w:r>
    </w:p>
    <w:p w:rsidR="00CF6634" w:rsidRPr="00FC1484" w:rsidRDefault="00CF6634" w:rsidP="00DE2A1D">
      <w:pPr>
        <w:pStyle w:val="1---"/>
        <w:ind w:left="1464" w:hangingChars="610" w:hanging="1464"/>
      </w:pPr>
      <w:r w:rsidRPr="00FC1484">
        <w:lastRenderedPageBreak/>
        <w:t xml:space="preserve">第三十六條　</w:t>
      </w:r>
      <w:r w:rsidR="00191EAE">
        <w:rPr>
          <w:rFonts w:hint="eastAsia"/>
          <w:lang w:eastAsia="zh-TW"/>
        </w:rPr>
        <w:tab/>
      </w:r>
      <w:r w:rsidRPr="00FC1484">
        <w:t>聯合國秘書長應供給委員會必要之辦事人員及便利，俾得有效執行本公約所規定之職務。</w:t>
      </w:r>
    </w:p>
    <w:p w:rsidR="00CF6634" w:rsidRPr="00FC1484" w:rsidRDefault="00CF6634" w:rsidP="009E0BBC">
      <w:pPr>
        <w:pStyle w:val="1---"/>
        <w:ind w:left="1944" w:hangingChars="810" w:hanging="1944"/>
      </w:pPr>
      <w:r w:rsidRPr="00FC1484">
        <w:t>第三十七條　一、</w:t>
      </w:r>
      <w:r w:rsidR="00DE2A1D">
        <w:rPr>
          <w:rFonts w:hint="eastAsia"/>
          <w:lang w:eastAsia="zh-TW"/>
        </w:rPr>
        <w:tab/>
      </w:r>
      <w:r w:rsidRPr="00FC1484">
        <w:t>委員會首次會議由聯合國秘書長在聯合國會所召集之。</w:t>
      </w:r>
    </w:p>
    <w:p w:rsidR="002A63D9" w:rsidRDefault="00DE2A1D" w:rsidP="009E0BBC">
      <w:pPr>
        <w:pStyle w:val="1---"/>
        <w:ind w:left="1944" w:hangingChars="810" w:hanging="1944"/>
        <w:rPr>
          <w:lang w:eastAsia="zh-TW"/>
        </w:rPr>
      </w:pPr>
      <w:r>
        <w:rPr>
          <w:rFonts w:hint="eastAsia"/>
          <w:lang w:eastAsia="zh-TW"/>
        </w:rPr>
        <w:t xml:space="preserve">　　　　　　</w:t>
      </w:r>
      <w:r w:rsidR="00CF6634" w:rsidRPr="00FC1484">
        <w:t>二、</w:t>
      </w:r>
      <w:r>
        <w:rPr>
          <w:rFonts w:hint="eastAsia"/>
          <w:lang w:eastAsia="zh-TW"/>
        </w:rPr>
        <w:tab/>
      </w:r>
      <w:r w:rsidR="00CF6634" w:rsidRPr="00FC1484">
        <w:t>委員會舉行首次會議後，遇委員會議事規則規定之情形召開會議。</w:t>
      </w:r>
    </w:p>
    <w:p w:rsidR="00CF6634" w:rsidRPr="00FC1484" w:rsidRDefault="00DE2A1D" w:rsidP="009E0BBC">
      <w:pPr>
        <w:pStyle w:val="1---"/>
        <w:ind w:left="1944" w:hangingChars="810" w:hanging="1944"/>
      </w:pPr>
      <w:r>
        <w:rPr>
          <w:rFonts w:hint="eastAsia"/>
          <w:lang w:eastAsia="zh-TW"/>
        </w:rPr>
        <w:t xml:space="preserve">　　　　　　</w:t>
      </w:r>
      <w:r w:rsidR="00CF6634" w:rsidRPr="00FC1484">
        <w:t>三、</w:t>
      </w:r>
      <w:r>
        <w:rPr>
          <w:rFonts w:hint="eastAsia"/>
          <w:lang w:eastAsia="zh-TW"/>
        </w:rPr>
        <w:tab/>
      </w:r>
      <w:r w:rsidR="00CF6634" w:rsidRPr="00FC1484">
        <w:t>委員會會議通常應在聯合國會所或日內瓦聯合國辦事處舉行之。</w:t>
      </w:r>
    </w:p>
    <w:p w:rsidR="00CF6634" w:rsidRPr="00FC1484" w:rsidRDefault="00CF6634" w:rsidP="00DE2A1D">
      <w:pPr>
        <w:pStyle w:val="1---"/>
        <w:ind w:left="1464" w:hangingChars="610" w:hanging="1464"/>
      </w:pPr>
      <w:r w:rsidRPr="00FC1484">
        <w:t xml:space="preserve">第三十八條　</w:t>
      </w:r>
      <w:r w:rsidR="00191EAE">
        <w:rPr>
          <w:rFonts w:hint="eastAsia"/>
          <w:lang w:eastAsia="zh-TW"/>
        </w:rPr>
        <w:tab/>
      </w:r>
      <w:r w:rsidRPr="00FC1484">
        <w:t>委員會每一委員就職時，應在委員會公開集會中鄭重宣言，必當秉公竭誠，執行職務。</w:t>
      </w:r>
    </w:p>
    <w:p w:rsidR="00CF6634" w:rsidRPr="00FC1484" w:rsidRDefault="00CF6634" w:rsidP="009E0BBC">
      <w:pPr>
        <w:pStyle w:val="1---"/>
        <w:ind w:left="1944" w:hangingChars="810" w:hanging="1944"/>
      </w:pPr>
      <w:r w:rsidRPr="00FC1484">
        <w:t>第三十九條　一、</w:t>
      </w:r>
      <w:r w:rsidR="00DE2A1D">
        <w:rPr>
          <w:rFonts w:hint="eastAsia"/>
          <w:lang w:eastAsia="zh-TW"/>
        </w:rPr>
        <w:tab/>
      </w:r>
      <w:r w:rsidRPr="00FC1484">
        <w:t>委員會應自行選舉其職員，任期二年，連選得連任。</w:t>
      </w:r>
    </w:p>
    <w:p w:rsidR="00DE2A1D" w:rsidRDefault="00DE2A1D" w:rsidP="009A55E1">
      <w:pPr>
        <w:pStyle w:val="1---"/>
        <w:ind w:left="1944" w:hangingChars="810" w:hanging="1944"/>
        <w:rPr>
          <w:rFonts w:hint="eastAsia"/>
          <w:lang w:eastAsia="zh-TW"/>
        </w:rPr>
      </w:pPr>
      <w:r>
        <w:rPr>
          <w:rFonts w:hint="eastAsia"/>
          <w:lang w:eastAsia="zh-TW"/>
        </w:rPr>
        <w:t xml:space="preserve">　　　　　　</w:t>
      </w:r>
      <w:r w:rsidR="00CF6634" w:rsidRPr="00FC1484">
        <w:t>二、</w:t>
      </w:r>
      <w:r>
        <w:rPr>
          <w:rFonts w:hint="eastAsia"/>
          <w:lang w:eastAsia="zh-TW"/>
        </w:rPr>
        <w:tab/>
      </w:r>
      <w:r w:rsidR="00CF6634" w:rsidRPr="00FC1484">
        <w:t>委員會應自行制定議事規則，其中應有下列規定：</w:t>
      </w:r>
    </w:p>
    <w:p w:rsidR="00DE2A1D" w:rsidRDefault="00DE2A1D" w:rsidP="00DE2A1D">
      <w:pPr>
        <w:pStyle w:val="1---"/>
        <w:ind w:left="2664" w:hangingChars="1110" w:hanging="2664"/>
        <w:rPr>
          <w:rFonts w:hint="eastAsia"/>
          <w:lang w:eastAsia="zh-TW"/>
        </w:rPr>
      </w:pPr>
      <w:r>
        <w:rPr>
          <w:rFonts w:hint="eastAsia"/>
          <w:lang w:eastAsia="zh-TW"/>
        </w:rPr>
        <w:t xml:space="preserve">　　　　　　　　</w:t>
      </w:r>
      <w:r w:rsidR="00CF6634" w:rsidRPr="00FC1484">
        <w:t>（一）</w:t>
      </w:r>
      <w:r>
        <w:rPr>
          <w:rFonts w:hint="eastAsia"/>
          <w:lang w:eastAsia="zh-TW"/>
        </w:rPr>
        <w:tab/>
      </w:r>
      <w:r w:rsidR="00CF6634" w:rsidRPr="00FC1484">
        <w:t>委員十二人構成法定人數；</w:t>
      </w:r>
    </w:p>
    <w:p w:rsidR="00CF6634" w:rsidRPr="00FC1484" w:rsidRDefault="00DE2A1D" w:rsidP="001B78BB">
      <w:pPr>
        <w:pStyle w:val="1---"/>
        <w:ind w:left="2664" w:hangingChars="1110" w:hanging="2664"/>
      </w:pPr>
      <w:r>
        <w:rPr>
          <w:rFonts w:hint="eastAsia"/>
          <w:lang w:eastAsia="zh-TW"/>
        </w:rPr>
        <w:t xml:space="preserve">　　　　　　　　</w:t>
      </w:r>
      <w:r w:rsidR="00CF6634" w:rsidRPr="00FC1484">
        <w:t>（二）</w:t>
      </w:r>
      <w:r>
        <w:rPr>
          <w:rFonts w:hint="eastAsia"/>
          <w:lang w:eastAsia="zh-TW"/>
        </w:rPr>
        <w:tab/>
      </w:r>
      <w:r w:rsidR="00CF6634" w:rsidRPr="00FC1484">
        <w:t>委員會之決議以出席委員過半數之同意為之。</w:t>
      </w:r>
    </w:p>
    <w:p w:rsidR="00CF6634" w:rsidRPr="00FC1484" w:rsidRDefault="00CF6634" w:rsidP="001B78BB">
      <w:pPr>
        <w:pStyle w:val="1---"/>
        <w:ind w:left="1944" w:hangingChars="810" w:hanging="1944"/>
      </w:pPr>
      <w:r w:rsidRPr="00FC1484">
        <w:t>第</w:t>
      </w:r>
      <w:r w:rsidR="002A63D9">
        <w:rPr>
          <w:rFonts w:hint="eastAsia"/>
          <w:lang w:eastAsia="zh-TW"/>
        </w:rPr>
        <w:t xml:space="preserve"> </w:t>
      </w:r>
      <w:r w:rsidRPr="00FC1484">
        <w:t>四十</w:t>
      </w:r>
      <w:r w:rsidR="002A63D9">
        <w:rPr>
          <w:rFonts w:hint="eastAsia"/>
          <w:lang w:eastAsia="zh-TW"/>
        </w:rPr>
        <w:t xml:space="preserve"> </w:t>
      </w:r>
      <w:r w:rsidRPr="00FC1484">
        <w:t>條　一、</w:t>
      </w:r>
      <w:r w:rsidR="00DE2A1D">
        <w:rPr>
          <w:rFonts w:hint="eastAsia"/>
          <w:lang w:eastAsia="zh-TW"/>
        </w:rPr>
        <w:tab/>
      </w:r>
      <w:r w:rsidRPr="00FC1484">
        <w:t>本公約締約國承允依照下列規定，各就其實施本公約所確認權利而採取之措施，及在享受各種權利方面所獲之進展，提具報告書：</w:t>
      </w:r>
    </w:p>
    <w:p w:rsidR="00CF6634" w:rsidRPr="00FC1484" w:rsidRDefault="009A55E1" w:rsidP="00DE2A1D">
      <w:pPr>
        <w:pStyle w:val="1---"/>
        <w:ind w:left="2664" w:hangingChars="1110" w:hanging="2664"/>
      </w:pPr>
      <w:r>
        <w:rPr>
          <w:rFonts w:hint="eastAsia"/>
          <w:lang w:eastAsia="zh-TW"/>
        </w:rPr>
        <w:t xml:space="preserve">　　　　　　　　</w:t>
      </w:r>
      <w:r w:rsidR="00CF6634" w:rsidRPr="00FC1484">
        <w:t>（一）本公約對關係締約國生效後一年內；</w:t>
      </w:r>
    </w:p>
    <w:p w:rsidR="00CF6634" w:rsidRPr="00FC1484" w:rsidRDefault="009A55E1" w:rsidP="00DE2A1D">
      <w:pPr>
        <w:pStyle w:val="1---"/>
        <w:ind w:left="2664" w:hangingChars="1110" w:hanging="2664"/>
      </w:pPr>
      <w:r>
        <w:rPr>
          <w:rFonts w:hint="eastAsia"/>
          <w:lang w:eastAsia="zh-TW"/>
        </w:rPr>
        <w:t xml:space="preserve">　　　　　　　　</w:t>
      </w:r>
      <w:r w:rsidR="00CF6634" w:rsidRPr="00FC1484">
        <w:t>（二）其後遇委員會提出請求時。</w:t>
      </w:r>
    </w:p>
    <w:p w:rsidR="001B78BB" w:rsidRDefault="009A55E1" w:rsidP="001B78BB">
      <w:pPr>
        <w:pStyle w:val="1---"/>
        <w:ind w:left="1944" w:hangingChars="810" w:hanging="1944"/>
        <w:rPr>
          <w:rFonts w:hint="eastAsia"/>
          <w:lang w:eastAsia="zh-TW"/>
        </w:rPr>
      </w:pPr>
      <w:r>
        <w:rPr>
          <w:rFonts w:hint="eastAsia"/>
          <w:lang w:eastAsia="zh-TW"/>
        </w:rPr>
        <w:t xml:space="preserve">　　　　　　</w:t>
      </w:r>
      <w:r w:rsidR="00CF6634" w:rsidRPr="00FC1484">
        <w:t>二、</w:t>
      </w:r>
      <w:r>
        <w:rPr>
          <w:rFonts w:hint="eastAsia"/>
          <w:lang w:eastAsia="zh-TW"/>
        </w:rPr>
        <w:tab/>
      </w:r>
      <w:r w:rsidR="00CF6634" w:rsidRPr="00FC1484">
        <w:t>所有報告書應交由聯合國秘書長轉送委員會審議。如有任何因素及困難影響本公約之實施，報告書應予說明。</w:t>
      </w:r>
    </w:p>
    <w:p w:rsidR="001B78BB" w:rsidRDefault="001B78BB" w:rsidP="001B78BB">
      <w:pPr>
        <w:pStyle w:val="1---"/>
        <w:ind w:left="1944" w:hangingChars="810" w:hanging="1944"/>
        <w:rPr>
          <w:rFonts w:hint="eastAsia"/>
          <w:lang w:eastAsia="zh-TW"/>
        </w:rPr>
      </w:pPr>
      <w:r>
        <w:rPr>
          <w:rFonts w:hint="eastAsia"/>
          <w:lang w:eastAsia="zh-TW"/>
        </w:rPr>
        <w:lastRenderedPageBreak/>
        <w:t xml:space="preserve">　　　　　　</w:t>
      </w:r>
      <w:r w:rsidR="00CF6634" w:rsidRPr="00FC1484">
        <w:t>三、</w:t>
      </w:r>
      <w:r>
        <w:rPr>
          <w:rFonts w:hint="eastAsia"/>
          <w:lang w:eastAsia="zh-TW"/>
        </w:rPr>
        <w:tab/>
      </w:r>
      <w:r w:rsidR="00CF6634" w:rsidRPr="00FC1484">
        <w:t>聯合國秘書長與委員會商洽後得將報告書中屬於關係專門機關職權範圍之部分副本轉送各該專門機關。</w:t>
      </w:r>
    </w:p>
    <w:p w:rsidR="001B78BB" w:rsidRDefault="001B78BB" w:rsidP="001B78BB">
      <w:pPr>
        <w:pStyle w:val="1---"/>
        <w:ind w:left="1944" w:hangingChars="810" w:hanging="1944"/>
        <w:rPr>
          <w:rFonts w:hint="eastAsia"/>
          <w:lang w:eastAsia="zh-TW"/>
        </w:rPr>
      </w:pPr>
      <w:r>
        <w:rPr>
          <w:rFonts w:hint="eastAsia"/>
          <w:lang w:eastAsia="zh-TW"/>
        </w:rPr>
        <w:t xml:space="preserve">　　　　　　</w:t>
      </w:r>
      <w:r w:rsidR="00CF6634" w:rsidRPr="00FC1484">
        <w:t>四、</w:t>
      </w:r>
      <w:r>
        <w:rPr>
          <w:rFonts w:hint="eastAsia"/>
          <w:lang w:eastAsia="zh-TW"/>
        </w:rPr>
        <w:tab/>
      </w:r>
      <w:r w:rsidR="00CF6634" w:rsidRPr="00FC1484">
        <w:t>委員會應研究本公約締約國提出之報告書。委員會應向締約國提送其報告書及其認為適當之一般評議。委員會亦得將此等評議連同其自本公約締約國收到之報告書副本轉送經濟暨社會理事會。</w:t>
      </w:r>
    </w:p>
    <w:p w:rsidR="00CF6634" w:rsidRPr="00FC1484" w:rsidRDefault="001B78BB" w:rsidP="001B78BB">
      <w:pPr>
        <w:pStyle w:val="1---"/>
        <w:ind w:left="1944" w:hangingChars="810" w:hanging="1944"/>
      </w:pPr>
      <w:r>
        <w:rPr>
          <w:rFonts w:hint="eastAsia"/>
          <w:lang w:eastAsia="zh-TW"/>
        </w:rPr>
        <w:t xml:space="preserve">　　　　　　</w:t>
      </w:r>
      <w:r w:rsidR="00CF6634" w:rsidRPr="00FC1484">
        <w:t>五、</w:t>
      </w:r>
      <w:r>
        <w:rPr>
          <w:rFonts w:hint="eastAsia"/>
          <w:lang w:eastAsia="zh-TW"/>
        </w:rPr>
        <w:tab/>
      </w:r>
      <w:r w:rsidR="00CF6634" w:rsidRPr="00FC1484">
        <w:t>本公約締約國得就可能依據本條第四項規定提出之任何評議向委員會提出意見。</w:t>
      </w:r>
    </w:p>
    <w:p w:rsidR="00CF6634" w:rsidRPr="00FC1484" w:rsidRDefault="00CF6634" w:rsidP="001B78BB">
      <w:pPr>
        <w:pStyle w:val="1---"/>
        <w:ind w:left="1944" w:hangingChars="810" w:hanging="1944"/>
      </w:pPr>
      <w:r w:rsidRPr="00FC1484">
        <w:t>第四十一條　一、</w:t>
      </w:r>
      <w:r w:rsidR="001B78BB">
        <w:rPr>
          <w:rFonts w:hint="eastAsia"/>
          <w:lang w:eastAsia="zh-TW"/>
        </w:rPr>
        <w:tab/>
      </w:r>
      <w:r w:rsidRPr="00FC1484">
        <w:t>本公約締約國得依據本條規定，隨時聲明承認委員會有權接受並審議一締約國指稱另一締約國不履行本公約義務之來文。依本條規定而遞送之來文，必須為曾聲明其本身承認委員會有權之締約國所提出方得予以接受並審查。如來文關涉未作此種聲明之締約國，委員會不得接受之。依照本條規定接受之來文應照下開程序處理：</w:t>
      </w:r>
    </w:p>
    <w:p w:rsidR="00CF6634" w:rsidRPr="00FC1484" w:rsidRDefault="001B78BB" w:rsidP="001B78BB">
      <w:pPr>
        <w:pStyle w:val="1---"/>
        <w:ind w:left="2664" w:hangingChars="1110" w:hanging="2664"/>
      </w:pPr>
      <w:r>
        <w:rPr>
          <w:rFonts w:hint="eastAsia"/>
          <w:lang w:eastAsia="zh-TW"/>
        </w:rPr>
        <w:t xml:space="preserve">　　　　　　　　</w:t>
      </w:r>
      <w:r w:rsidR="00CF6634" w:rsidRPr="00FC1484">
        <w:t>（一）</w:t>
      </w:r>
      <w:r>
        <w:rPr>
          <w:rFonts w:hint="eastAsia"/>
          <w:lang w:eastAsia="zh-TW"/>
        </w:rPr>
        <w:tab/>
      </w:r>
      <w:r w:rsidR="00CF6634" w:rsidRPr="00FC1484">
        <w:t>如本公約某一締約國認為另一締約國未實施本公約條款，得書面提請該締約國注意。受請國應於收到此項來文三個月內，向遞送來文之國家書面提出解釋或任何其他聲明，以闡明此事，其中應在可能及適當範圍內，載明有關此事之本國處理辦法，及業經採</w:t>
      </w:r>
      <w:r w:rsidR="00CF6634" w:rsidRPr="00FC1484">
        <w:lastRenderedPageBreak/>
        <w:t>取或正在決定或可資援用之救濟辦</w:t>
      </w:r>
      <w:r>
        <w:rPr>
          <w:rFonts w:hint="eastAsia"/>
          <w:lang w:eastAsia="zh-TW"/>
        </w:rPr>
        <w:t xml:space="preserve">　</w:t>
      </w:r>
      <w:r w:rsidR="00CF6634" w:rsidRPr="00FC1484">
        <w:t>法。</w:t>
      </w:r>
    </w:p>
    <w:p w:rsidR="00CF6634" w:rsidRPr="00FC1484" w:rsidRDefault="001B78BB" w:rsidP="001B78BB">
      <w:pPr>
        <w:pStyle w:val="1---"/>
        <w:ind w:left="2664" w:hangingChars="1110" w:hanging="2664"/>
      </w:pPr>
      <w:r>
        <w:rPr>
          <w:rFonts w:hint="eastAsia"/>
          <w:lang w:eastAsia="zh-TW"/>
        </w:rPr>
        <w:t xml:space="preserve">　　　　　　　　</w:t>
      </w:r>
      <w:r w:rsidR="00CF6634" w:rsidRPr="00FC1484">
        <w:t>（二）</w:t>
      </w:r>
      <w:r>
        <w:rPr>
          <w:rFonts w:hint="eastAsia"/>
          <w:lang w:eastAsia="zh-TW"/>
        </w:rPr>
        <w:tab/>
      </w:r>
      <w:r w:rsidR="00CF6634" w:rsidRPr="00FC1484">
        <w:rPr>
          <w:spacing w:val="4"/>
        </w:rPr>
        <w:t>如在受請國收到第一件來文後六個月內，問題</w:t>
      </w:r>
      <w:r w:rsidR="00CF6634" w:rsidRPr="00FC1484">
        <w:t>仍未獲關係締約國雙方滿意之調整，當事國任何一方均有權通知委員會及其他一方，將事件提交委員會。</w:t>
      </w:r>
    </w:p>
    <w:p w:rsidR="00CF6634" w:rsidRPr="00FC1484" w:rsidRDefault="001B78BB" w:rsidP="001B78BB">
      <w:pPr>
        <w:pStyle w:val="1---"/>
        <w:ind w:left="2664" w:hangingChars="1110" w:hanging="2664"/>
      </w:pPr>
      <w:r>
        <w:rPr>
          <w:rFonts w:hint="eastAsia"/>
          <w:lang w:eastAsia="zh-TW"/>
        </w:rPr>
        <w:t xml:space="preserve">　　　　　　　　</w:t>
      </w:r>
      <w:r w:rsidR="00CF6634" w:rsidRPr="00FC1484">
        <w:t>（三）</w:t>
      </w:r>
      <w:r>
        <w:rPr>
          <w:rFonts w:hint="eastAsia"/>
          <w:lang w:eastAsia="zh-TW"/>
        </w:rPr>
        <w:tab/>
      </w:r>
      <w:r w:rsidR="00CF6634" w:rsidRPr="00FC1484">
        <w:t>委員會對於提請處理之事件，應於查明對此事件可以運用之國內救濟辦法悉已援用無遺後，依照公認之國際法原則處理之。但如救濟辦法之實施有不合理之拖延，則不在此限。</w:t>
      </w:r>
    </w:p>
    <w:p w:rsidR="00CF6634" w:rsidRPr="00FC1484" w:rsidRDefault="001B78BB" w:rsidP="001B78BB">
      <w:pPr>
        <w:pStyle w:val="1---"/>
        <w:ind w:left="2664" w:hangingChars="1110" w:hanging="2664"/>
      </w:pPr>
      <w:r>
        <w:rPr>
          <w:rFonts w:hint="eastAsia"/>
          <w:lang w:eastAsia="zh-TW"/>
        </w:rPr>
        <w:t xml:space="preserve">　　　　　　　　</w:t>
      </w:r>
      <w:r w:rsidR="00CF6634" w:rsidRPr="00FC1484">
        <w:t>（四）</w:t>
      </w:r>
      <w:r>
        <w:rPr>
          <w:rFonts w:hint="eastAsia"/>
          <w:lang w:eastAsia="zh-TW"/>
        </w:rPr>
        <w:tab/>
      </w:r>
      <w:r w:rsidR="00CF6634" w:rsidRPr="00FC1484">
        <w:t>委員會審查本條所稱之來文時應舉行不公開會議。</w:t>
      </w:r>
    </w:p>
    <w:p w:rsidR="00CF6634" w:rsidRPr="00FC1484" w:rsidRDefault="001B78BB" w:rsidP="001B78BB">
      <w:pPr>
        <w:pStyle w:val="1---"/>
        <w:ind w:left="2664" w:hangingChars="1110" w:hanging="2664"/>
      </w:pPr>
      <w:r>
        <w:rPr>
          <w:rFonts w:hint="eastAsia"/>
          <w:lang w:eastAsia="zh-TW"/>
        </w:rPr>
        <w:t xml:space="preserve">　　　　　　　　</w:t>
      </w:r>
      <w:r w:rsidR="00CF6634" w:rsidRPr="00FC1484">
        <w:t>（五）</w:t>
      </w:r>
      <w:r>
        <w:rPr>
          <w:rFonts w:hint="eastAsia"/>
          <w:lang w:eastAsia="zh-TW"/>
        </w:rPr>
        <w:tab/>
      </w:r>
      <w:r w:rsidR="00CF6634" w:rsidRPr="00FC1484">
        <w:t>以不牴觸（三）款之規定為限，委員會應斡旋關係締約國俾以尊重本公約所確認之人權及基本自由為基礎，友善解決事件。</w:t>
      </w:r>
    </w:p>
    <w:p w:rsidR="00CF6634" w:rsidRPr="00FC1484" w:rsidRDefault="001B78BB" w:rsidP="001B78BB">
      <w:pPr>
        <w:pStyle w:val="1---"/>
        <w:ind w:left="2664" w:hangingChars="1110" w:hanging="2664"/>
      </w:pPr>
      <w:r>
        <w:rPr>
          <w:rFonts w:hint="eastAsia"/>
          <w:lang w:eastAsia="zh-TW"/>
        </w:rPr>
        <w:t xml:space="preserve">　　　　　　　　</w:t>
      </w:r>
      <w:r w:rsidR="00CF6634" w:rsidRPr="00FC1484">
        <w:t>（六）</w:t>
      </w:r>
      <w:r>
        <w:rPr>
          <w:rFonts w:hint="eastAsia"/>
          <w:lang w:eastAsia="zh-TW"/>
        </w:rPr>
        <w:tab/>
      </w:r>
      <w:r w:rsidR="00CF6634" w:rsidRPr="00FC1484">
        <w:t>委員會對於提請處理之任何事件，得請（二）款所稱之關係締約國提供任何有關情報。</w:t>
      </w:r>
    </w:p>
    <w:p w:rsidR="00CF6634" w:rsidRPr="00FC1484" w:rsidRDefault="001B78BB" w:rsidP="001B78BB">
      <w:pPr>
        <w:pStyle w:val="1---"/>
        <w:ind w:left="2664" w:hangingChars="1110" w:hanging="2664"/>
      </w:pPr>
      <w:r>
        <w:rPr>
          <w:rFonts w:hint="eastAsia"/>
          <w:lang w:eastAsia="zh-TW"/>
        </w:rPr>
        <w:t xml:space="preserve">　　　　　　　　</w:t>
      </w:r>
      <w:r w:rsidR="00CF6634" w:rsidRPr="00FC1484">
        <w:t>（七）</w:t>
      </w:r>
      <w:r>
        <w:rPr>
          <w:rFonts w:hint="eastAsia"/>
          <w:lang w:eastAsia="zh-TW"/>
        </w:rPr>
        <w:tab/>
      </w:r>
      <w:r w:rsidR="00CF6634" w:rsidRPr="00FC1484">
        <w:t>（二）款所稱關係締約國有權於委員會審議</w:t>
      </w:r>
      <w:r w:rsidR="00CF6634" w:rsidRPr="00596F16">
        <w:t>此事件時出席並提出口頭及／或書面陳述。</w:t>
      </w:r>
    </w:p>
    <w:p w:rsidR="002A63D9" w:rsidRDefault="001B78BB" w:rsidP="001B78BB">
      <w:pPr>
        <w:pStyle w:val="1---"/>
        <w:ind w:left="2664" w:hangingChars="1110" w:hanging="2664"/>
        <w:rPr>
          <w:lang w:eastAsia="zh-TW"/>
        </w:rPr>
      </w:pPr>
      <w:r>
        <w:rPr>
          <w:rFonts w:hint="eastAsia"/>
          <w:lang w:eastAsia="zh-TW"/>
        </w:rPr>
        <w:t xml:space="preserve">　　　　　　　　</w:t>
      </w:r>
      <w:r w:rsidR="00CF6634" w:rsidRPr="00FC1484">
        <w:t>（八）</w:t>
      </w:r>
      <w:r>
        <w:rPr>
          <w:rFonts w:hint="eastAsia"/>
          <w:lang w:eastAsia="zh-TW"/>
        </w:rPr>
        <w:tab/>
      </w:r>
      <w:r w:rsidR="00CF6634" w:rsidRPr="00FC1484">
        <w:t>委員會應於接獲依（二）款所規定通</w:t>
      </w:r>
      <w:r w:rsidR="00CF6634" w:rsidRPr="00FC1484">
        <w:lastRenderedPageBreak/>
        <w:t>知之日起十二個月內提出報告書：</w:t>
      </w:r>
    </w:p>
    <w:p w:rsidR="001B78BB" w:rsidRDefault="00CF6634" w:rsidP="00191EAE">
      <w:pPr>
        <w:pStyle w:val="1---"/>
        <w:ind w:leftChars="1100" w:left="3264" w:hangingChars="260" w:hanging="624"/>
        <w:rPr>
          <w:rFonts w:hint="eastAsia"/>
          <w:lang w:eastAsia="zh-TW"/>
        </w:rPr>
      </w:pPr>
      <w:r w:rsidRPr="00FC1484">
        <w:t>（</w:t>
      </w:r>
      <w:r w:rsidRPr="00FC1484">
        <w:t>1</w:t>
      </w:r>
      <w:r w:rsidRPr="00FC1484">
        <w:t>）</w:t>
      </w:r>
      <w:r w:rsidR="00191EAE">
        <w:rPr>
          <w:rFonts w:hint="eastAsia"/>
          <w:lang w:eastAsia="zh-TW"/>
        </w:rPr>
        <w:tab/>
      </w:r>
      <w:r w:rsidRPr="00FC1484">
        <w:rPr>
          <w:spacing w:val="-8"/>
        </w:rPr>
        <w:t>如已達成（五）款規定之解決辦</w:t>
      </w:r>
      <w:r w:rsidR="00191EAE">
        <w:rPr>
          <w:rFonts w:hint="eastAsia"/>
          <w:spacing w:val="-8"/>
          <w:lang w:eastAsia="zh-TW"/>
        </w:rPr>
        <w:t xml:space="preserve">　</w:t>
      </w:r>
      <w:r w:rsidRPr="00FC1484">
        <w:rPr>
          <w:spacing w:val="-8"/>
        </w:rPr>
        <w:t>法</w:t>
      </w:r>
      <w:r w:rsidRPr="00FC1484">
        <w:t>，委員會報告書應以扼要敘述事實及所達成之解決辦法為限。</w:t>
      </w:r>
    </w:p>
    <w:p w:rsidR="00CF6634" w:rsidRPr="00FC1484" w:rsidRDefault="00CF6634" w:rsidP="00191EAE">
      <w:pPr>
        <w:pStyle w:val="1---"/>
        <w:ind w:leftChars="1100" w:left="3264" w:hangingChars="260" w:hanging="624"/>
      </w:pPr>
      <w:r w:rsidRPr="00FC1484">
        <w:t>（</w:t>
      </w:r>
      <w:r w:rsidRPr="00FC1484">
        <w:t>2</w:t>
      </w:r>
      <w:r w:rsidRPr="00FC1484">
        <w:t>）</w:t>
      </w:r>
      <w:r w:rsidR="00191EAE">
        <w:rPr>
          <w:rFonts w:hint="eastAsia"/>
          <w:lang w:eastAsia="zh-TW"/>
        </w:rPr>
        <w:tab/>
      </w:r>
      <w:r w:rsidRPr="001B78BB">
        <w:rPr>
          <w:spacing w:val="-8"/>
        </w:rPr>
        <w:t>如未達成（五）款規定之解決辦</w:t>
      </w:r>
      <w:r w:rsidR="00191EAE">
        <w:rPr>
          <w:rFonts w:hint="eastAsia"/>
          <w:spacing w:val="-8"/>
          <w:lang w:eastAsia="zh-TW"/>
        </w:rPr>
        <w:t xml:space="preserve">　</w:t>
      </w:r>
      <w:r w:rsidRPr="001B78BB">
        <w:rPr>
          <w:spacing w:val="-8"/>
        </w:rPr>
        <w:t>法</w:t>
      </w:r>
      <w:r w:rsidRPr="00FC1484">
        <w:t>，委員會報告書應以扼要敘述事實為限；關係締約國提出之書面陳述及口頭陳述紀錄應附載於報告書內。</w:t>
      </w:r>
    </w:p>
    <w:p w:rsidR="00CF6634" w:rsidRPr="00FC1484" w:rsidRDefault="002A63D9" w:rsidP="002A63D9">
      <w:pPr>
        <w:pStyle w:val="1---"/>
        <w:ind w:leftChars="600" w:left="1920" w:hangingChars="200" w:hanging="480"/>
      </w:pPr>
      <w:r>
        <w:rPr>
          <w:rFonts w:hint="eastAsia"/>
          <w:lang w:eastAsia="zh-TW"/>
        </w:rPr>
        <w:t xml:space="preserve">　　</w:t>
      </w:r>
      <w:r w:rsidR="00CF6634" w:rsidRPr="00FC1484">
        <w:t>關於每一事件，委員會應將報告書送達各關係締約國。</w:t>
      </w:r>
    </w:p>
    <w:p w:rsidR="00CF6634" w:rsidRPr="00FC1484" w:rsidRDefault="00CF6634" w:rsidP="00637406">
      <w:pPr>
        <w:pStyle w:val="1---"/>
        <w:ind w:leftChars="600" w:left="1944" w:hangingChars="210" w:hanging="504"/>
      </w:pPr>
      <w:r w:rsidRPr="00FC1484">
        <w:t>二、</w:t>
      </w:r>
      <w:r w:rsidR="00637406">
        <w:rPr>
          <w:rFonts w:hint="eastAsia"/>
          <w:lang w:eastAsia="zh-TW"/>
        </w:rPr>
        <w:tab/>
      </w:r>
      <w:r w:rsidRPr="00FC1484">
        <w:t>本條之規定應於本公約十締約國發表本條第一項所稱之聲明後生效。此種聲明應由締約國交存聯合國秘書長，由秘書長將聲明副本轉送其他締約國。締約國得隨時通知秘書長撤回聲明。此種撤回不得影響對業經依照本條規定遞送之來文中所提事件之審議；秘書長接得撤回通知後，除非關係締約國另作新聲明，該國再有來文時不予接受。</w:t>
      </w:r>
    </w:p>
    <w:p w:rsidR="00637406" w:rsidRDefault="00CF6634" w:rsidP="00637406">
      <w:pPr>
        <w:pStyle w:val="1---"/>
        <w:ind w:left="2664" w:hangingChars="1110" w:hanging="2664"/>
        <w:rPr>
          <w:rFonts w:hint="eastAsia"/>
          <w:lang w:eastAsia="zh-TW"/>
        </w:rPr>
      </w:pPr>
      <w:r w:rsidRPr="00FC1484">
        <w:t>第四十二條　一、（一）</w:t>
      </w:r>
      <w:r w:rsidR="00637406">
        <w:rPr>
          <w:rFonts w:hint="eastAsia"/>
          <w:lang w:eastAsia="zh-TW"/>
        </w:rPr>
        <w:tab/>
      </w:r>
      <w:r w:rsidRPr="00FC1484">
        <w:t>如依第四十一條之規定提請委員會處理</w:t>
      </w:r>
      <w:r w:rsidRPr="00A37759">
        <w:t>之事件未能獲得關係締約國滿意之解決</w:t>
      </w:r>
      <w:r w:rsidRPr="00FC1484">
        <w:t>，委員會得經關係締約國事先同意，指派一專設和解委員會（下文簡稱和委會）。和委會應為關係締約國斡旋，俾以尊重本公約為基礎，和睦</w:t>
      </w:r>
      <w:r w:rsidRPr="00FC1484">
        <w:lastRenderedPageBreak/>
        <w:t>解決問題；</w:t>
      </w:r>
    </w:p>
    <w:p w:rsidR="00CF6634" w:rsidRPr="00FC1484" w:rsidRDefault="00637406" w:rsidP="00637406">
      <w:pPr>
        <w:pStyle w:val="1---"/>
        <w:ind w:left="2664" w:hangingChars="1110" w:hanging="2664"/>
      </w:pPr>
      <w:r>
        <w:rPr>
          <w:rFonts w:hint="eastAsia"/>
          <w:lang w:eastAsia="zh-TW"/>
        </w:rPr>
        <w:t xml:space="preserve">　　　　　　　　</w:t>
      </w:r>
      <w:r w:rsidR="00CF6634" w:rsidRPr="00FC1484">
        <w:t>（二）</w:t>
      </w:r>
      <w:r>
        <w:rPr>
          <w:rFonts w:hint="eastAsia"/>
          <w:lang w:eastAsia="zh-TW"/>
        </w:rPr>
        <w:tab/>
      </w:r>
      <w:r w:rsidR="00CF6634" w:rsidRPr="00FC1484">
        <w:t>和委會由關係締約國接受之委員五人組成之。如關係締約國於三個月內對和委會組成之全部或一部未能達成協議，未得協議之和委會委員應由委員會用無記名投票法</w:t>
      </w:r>
      <w:r w:rsidR="00CF6634" w:rsidRPr="00FC1484">
        <w:rPr>
          <w:spacing w:val="2"/>
        </w:rPr>
        <w:t>以三分之二之多數自其本身委員中選出之。</w:t>
      </w:r>
    </w:p>
    <w:p w:rsidR="00CF6634" w:rsidRPr="00FC1484" w:rsidRDefault="00CF6634" w:rsidP="00637406">
      <w:pPr>
        <w:pStyle w:val="1---"/>
        <w:ind w:leftChars="600" w:left="1944" w:hangingChars="210" w:hanging="504"/>
      </w:pPr>
      <w:r w:rsidRPr="00FC1484">
        <w:t>二、</w:t>
      </w:r>
      <w:r w:rsidR="00637406">
        <w:rPr>
          <w:rFonts w:hint="eastAsia"/>
          <w:lang w:eastAsia="zh-TW"/>
        </w:rPr>
        <w:tab/>
      </w:r>
      <w:r w:rsidRPr="00FC1484">
        <w:t>和委會委員以個人資格任職。委員不得為關係締約國之國民，或為非本公約締約國之國民，或未依第四十一條規定發表聲明之締約國國民。</w:t>
      </w:r>
    </w:p>
    <w:p w:rsidR="00CF6634" w:rsidRPr="00FC1484" w:rsidRDefault="00CF6634" w:rsidP="00637406">
      <w:pPr>
        <w:pStyle w:val="1---"/>
        <w:ind w:leftChars="600" w:left="1944" w:hangingChars="210" w:hanging="504"/>
      </w:pPr>
      <w:r w:rsidRPr="00FC1484">
        <w:t>三、</w:t>
      </w:r>
      <w:r w:rsidR="00637406">
        <w:rPr>
          <w:rFonts w:hint="eastAsia"/>
          <w:lang w:eastAsia="zh-TW"/>
        </w:rPr>
        <w:tab/>
      </w:r>
      <w:r w:rsidRPr="00FC1484">
        <w:t>和委會應自行選舉主席及制定議事規則。</w:t>
      </w:r>
    </w:p>
    <w:p w:rsidR="00CF6634" w:rsidRPr="00FC1484" w:rsidRDefault="00CF6634" w:rsidP="00637406">
      <w:pPr>
        <w:pStyle w:val="1---"/>
        <w:ind w:leftChars="600" w:left="1944" w:hangingChars="210" w:hanging="504"/>
      </w:pPr>
      <w:r w:rsidRPr="00FC1484">
        <w:t>四、</w:t>
      </w:r>
      <w:r w:rsidR="00637406">
        <w:rPr>
          <w:rFonts w:hint="eastAsia"/>
          <w:lang w:eastAsia="zh-TW"/>
        </w:rPr>
        <w:tab/>
      </w:r>
      <w:r w:rsidRPr="00FC1484">
        <w:t>和委會會議通常應在聯合國會所或日內瓦聯合國辦事處舉行，但亦得於和委會諮商聯合國秘書長及關係締約國決定之其他方便地點舉行。</w:t>
      </w:r>
    </w:p>
    <w:p w:rsidR="00CF6634" w:rsidRPr="00FC1484" w:rsidRDefault="00CF6634" w:rsidP="00637406">
      <w:pPr>
        <w:pStyle w:val="1---"/>
        <w:ind w:leftChars="600" w:left="1944" w:hangingChars="210" w:hanging="504"/>
      </w:pPr>
      <w:r w:rsidRPr="00FC1484">
        <w:t>五、</w:t>
      </w:r>
      <w:r w:rsidR="00637406">
        <w:rPr>
          <w:rFonts w:hint="eastAsia"/>
          <w:lang w:eastAsia="zh-TW"/>
        </w:rPr>
        <w:tab/>
      </w:r>
      <w:r w:rsidRPr="00FC1484">
        <w:t>依第三十六條設置之秘書處應亦為依本條指派之和委會服務。</w:t>
      </w:r>
    </w:p>
    <w:p w:rsidR="00CF6634" w:rsidRPr="00FC1484" w:rsidRDefault="00CF6634" w:rsidP="00637406">
      <w:pPr>
        <w:pStyle w:val="1---"/>
        <w:ind w:leftChars="600" w:left="1944" w:hangingChars="210" w:hanging="504"/>
      </w:pPr>
      <w:r w:rsidRPr="00FC1484">
        <w:t>六、</w:t>
      </w:r>
      <w:r w:rsidR="00637406">
        <w:rPr>
          <w:rFonts w:hint="eastAsia"/>
          <w:lang w:eastAsia="zh-TW"/>
        </w:rPr>
        <w:tab/>
      </w:r>
      <w:r w:rsidRPr="00FC1484">
        <w:t>委員會所蒐集整理之情報，應提送和委會，和委會亦得請關係締約國提供任何其他有關情報。</w:t>
      </w:r>
    </w:p>
    <w:p w:rsidR="00CF6634" w:rsidRPr="00FC1484" w:rsidRDefault="00CF6634" w:rsidP="00637406">
      <w:pPr>
        <w:pStyle w:val="1---"/>
        <w:ind w:leftChars="600" w:left="1944" w:hangingChars="210" w:hanging="504"/>
      </w:pPr>
      <w:r w:rsidRPr="00FC1484">
        <w:t>七、</w:t>
      </w:r>
      <w:r w:rsidR="00637406">
        <w:rPr>
          <w:rFonts w:hint="eastAsia"/>
          <w:lang w:eastAsia="zh-TW"/>
        </w:rPr>
        <w:tab/>
      </w:r>
      <w:r w:rsidRPr="00FC1484">
        <w:t>和委會於詳盡審議案件後，無論如何應於受理該案件十二個月</w:t>
      </w:r>
      <w:r w:rsidRPr="00A37759">
        <w:t>內，向委員會主席提出報告書</w:t>
      </w:r>
      <w:r w:rsidRPr="00FC1484">
        <w:t>，轉送關係締約國：</w:t>
      </w:r>
    </w:p>
    <w:p w:rsidR="00CF6634" w:rsidRPr="00FC1484" w:rsidRDefault="00CF6634" w:rsidP="00637406">
      <w:pPr>
        <w:pStyle w:val="1---"/>
        <w:ind w:leftChars="800" w:left="2664" w:hangingChars="310" w:hanging="744"/>
      </w:pPr>
      <w:r w:rsidRPr="00FC1484">
        <w:t>（一）</w:t>
      </w:r>
      <w:r w:rsidR="00637406">
        <w:rPr>
          <w:rFonts w:hint="eastAsia"/>
          <w:lang w:eastAsia="zh-TW"/>
        </w:rPr>
        <w:tab/>
      </w:r>
      <w:r w:rsidRPr="00FC1484">
        <w:t>和委會如未能於十二個月內完成案件</w:t>
      </w:r>
      <w:r w:rsidRPr="00FC1484">
        <w:lastRenderedPageBreak/>
        <w:t>之審議，其報告書應以扼要說明審議案件之情形為限；</w:t>
      </w:r>
    </w:p>
    <w:p w:rsidR="00637406" w:rsidRDefault="00CF6634" w:rsidP="00637406">
      <w:pPr>
        <w:pStyle w:val="1---"/>
        <w:ind w:leftChars="800" w:left="2664" w:hangingChars="310" w:hanging="744"/>
        <w:rPr>
          <w:rFonts w:hint="eastAsia"/>
          <w:lang w:eastAsia="zh-TW"/>
        </w:rPr>
      </w:pPr>
      <w:r w:rsidRPr="00FC1484">
        <w:t>（二）</w:t>
      </w:r>
      <w:r w:rsidR="00637406">
        <w:rPr>
          <w:rFonts w:hint="eastAsia"/>
          <w:lang w:eastAsia="zh-TW"/>
        </w:rPr>
        <w:tab/>
      </w:r>
      <w:r w:rsidRPr="00FC1484">
        <w:t>和委會如能達成以尊重本公約所確認之人權為基礎之和睦解決問題辦法，其報告書應以扼要說明事實及所達成之解決辦法為限；</w:t>
      </w:r>
    </w:p>
    <w:p w:rsidR="00637406" w:rsidRDefault="00CF6634" w:rsidP="00637406">
      <w:pPr>
        <w:pStyle w:val="1---"/>
        <w:ind w:leftChars="800" w:left="2664" w:hangingChars="310" w:hanging="744"/>
        <w:rPr>
          <w:rFonts w:hint="eastAsia"/>
          <w:lang w:eastAsia="zh-TW"/>
        </w:rPr>
      </w:pPr>
      <w:r w:rsidRPr="00FC1484">
        <w:t>（三）</w:t>
      </w:r>
      <w:r w:rsidR="00637406">
        <w:rPr>
          <w:rFonts w:hint="eastAsia"/>
          <w:lang w:eastAsia="zh-TW"/>
        </w:rPr>
        <w:tab/>
      </w:r>
      <w:r w:rsidRPr="00FC1484">
        <w:t>如未能達成（二）款規定之解決辦法，和委會報告書應載有其對於關係締約國爭執事件之一切有關事實問題之結論，以及對於事件和睦解決各種可能性之意見。此項報告書應亦載有關係締約國提出之書面陳述及所作口頭陳述之紀錄；</w:t>
      </w:r>
    </w:p>
    <w:p w:rsidR="00CF6634" w:rsidRPr="00FC1484" w:rsidRDefault="00CF6634" w:rsidP="00637406">
      <w:pPr>
        <w:pStyle w:val="1---"/>
        <w:ind w:leftChars="800" w:left="2664" w:hangingChars="310" w:hanging="744"/>
      </w:pPr>
      <w:r w:rsidRPr="00FC1484">
        <w:t>（四）</w:t>
      </w:r>
      <w:r w:rsidR="00637406">
        <w:rPr>
          <w:rFonts w:hint="eastAsia"/>
          <w:lang w:eastAsia="zh-TW"/>
        </w:rPr>
        <w:tab/>
      </w:r>
      <w:r w:rsidRPr="00FC1484">
        <w:t>和委會報告書如係依（三）款之規定提出，關係締約國應於收到報告書後三個月內通</w:t>
      </w:r>
      <w:r w:rsidRPr="00A37759">
        <w:t>知委員會主席願否接受和委會報告書內容。</w:t>
      </w:r>
    </w:p>
    <w:p w:rsidR="00CF6634" w:rsidRPr="00FC1484" w:rsidRDefault="00CF6634" w:rsidP="00637406">
      <w:pPr>
        <w:pStyle w:val="1---"/>
        <w:ind w:leftChars="600" w:left="1944" w:hangingChars="210" w:hanging="504"/>
      </w:pPr>
      <w:r w:rsidRPr="00FC1484">
        <w:t>八、</w:t>
      </w:r>
      <w:r w:rsidR="00637406">
        <w:rPr>
          <w:rFonts w:hint="eastAsia"/>
          <w:lang w:eastAsia="zh-TW"/>
        </w:rPr>
        <w:tab/>
      </w:r>
      <w:r w:rsidRPr="00FC1484">
        <w:t>本條規定不影響委員會依第四十一條所負之責任。</w:t>
      </w:r>
    </w:p>
    <w:p w:rsidR="00CF6634" w:rsidRPr="00FC1484" w:rsidRDefault="00CF6634" w:rsidP="00637406">
      <w:pPr>
        <w:pStyle w:val="1---"/>
        <w:ind w:leftChars="600" w:left="1944" w:hangingChars="210" w:hanging="504"/>
      </w:pPr>
      <w:r w:rsidRPr="00FC1484">
        <w:t>九、</w:t>
      </w:r>
      <w:r w:rsidR="00637406">
        <w:rPr>
          <w:rFonts w:hint="eastAsia"/>
          <w:lang w:eastAsia="zh-TW"/>
        </w:rPr>
        <w:tab/>
      </w:r>
      <w:r w:rsidRPr="00FC1484">
        <w:t>關係締約國應依照聯合國秘書長所提概算，平均負擔和委會委員之一切費用。</w:t>
      </w:r>
    </w:p>
    <w:p w:rsidR="00CF6634" w:rsidRPr="00FC1484" w:rsidRDefault="00CF6634" w:rsidP="00637406">
      <w:pPr>
        <w:pStyle w:val="1---"/>
        <w:ind w:leftChars="600" w:left="1944" w:hangingChars="210" w:hanging="504"/>
      </w:pPr>
      <w:r w:rsidRPr="00FC1484">
        <w:t>十、</w:t>
      </w:r>
      <w:r w:rsidR="00637406">
        <w:rPr>
          <w:rFonts w:hint="eastAsia"/>
          <w:lang w:eastAsia="zh-TW"/>
        </w:rPr>
        <w:tab/>
      </w:r>
      <w:r w:rsidRPr="00FC1484">
        <w:t>聯合國秘書長有權於必要時在關係締約國依本條第九項償還用款之前，支付和委會委員之費用。</w:t>
      </w:r>
    </w:p>
    <w:p w:rsidR="00CF6634" w:rsidRPr="00FC1484" w:rsidRDefault="00CF6634" w:rsidP="00637406">
      <w:pPr>
        <w:pStyle w:val="1---"/>
        <w:ind w:left="1464" w:hangingChars="610" w:hanging="1464"/>
      </w:pPr>
      <w:r w:rsidRPr="00FC1484">
        <w:t xml:space="preserve">第四十三條　</w:t>
      </w:r>
      <w:r w:rsidR="00637406">
        <w:rPr>
          <w:rFonts w:hint="eastAsia"/>
          <w:lang w:eastAsia="zh-TW"/>
        </w:rPr>
        <w:tab/>
      </w:r>
      <w:r w:rsidRPr="00FC1484">
        <w:t>委員會委員，以及依第四十二條可能指派之專設</w:t>
      </w:r>
      <w:r w:rsidRPr="00FC1484">
        <w:lastRenderedPageBreak/>
        <w:t>和解委員會委員，應有權享受聯合國特權豁免公約內</w:t>
      </w:r>
      <w:r w:rsidRPr="00A37759">
        <w:t>有關各款為因聯合國公務出差之專家所規定之便利</w:t>
      </w:r>
      <w:r w:rsidRPr="00FC1484">
        <w:t>、特權與豁免。</w:t>
      </w:r>
    </w:p>
    <w:p w:rsidR="00CF6634" w:rsidRPr="00FC1484" w:rsidRDefault="00CF6634" w:rsidP="00637406">
      <w:pPr>
        <w:pStyle w:val="1---"/>
        <w:ind w:left="1464" w:hangingChars="610" w:hanging="1464"/>
      </w:pPr>
      <w:r w:rsidRPr="00FC1484">
        <w:t xml:space="preserve">第四十四條　</w:t>
      </w:r>
      <w:r w:rsidR="00637406">
        <w:rPr>
          <w:rFonts w:hint="eastAsia"/>
          <w:lang w:eastAsia="zh-TW"/>
        </w:rPr>
        <w:tab/>
      </w:r>
      <w:r w:rsidRPr="00FC1484">
        <w:t>本公約實施條款之適用不得妨礙聯合國及各專門機關之組織約章及公約在人權方面所訂之程序，或根據此等約章及公約所訂之程序，亦不得阻止本公約各締約國依照彼此間現行之一般或特別國際協定，採用其他程序解決爭端。</w:t>
      </w:r>
    </w:p>
    <w:p w:rsidR="00CF6634" w:rsidRPr="00FC1484" w:rsidRDefault="00CF6634" w:rsidP="00637406">
      <w:pPr>
        <w:pStyle w:val="1---"/>
        <w:ind w:left="1464" w:hangingChars="610" w:hanging="1464"/>
      </w:pPr>
      <w:r w:rsidRPr="00FC1484">
        <w:t xml:space="preserve">第四十五條　</w:t>
      </w:r>
      <w:r w:rsidR="00637406">
        <w:rPr>
          <w:rFonts w:hint="eastAsia"/>
          <w:lang w:eastAsia="zh-TW"/>
        </w:rPr>
        <w:tab/>
      </w:r>
      <w:r w:rsidRPr="00FC1484">
        <w:t>委員會應經由經濟暨社會理事會向聯合國大會提送常年工作報告書。</w:t>
      </w:r>
    </w:p>
    <w:p w:rsidR="00CF6634" w:rsidRPr="00FC1484" w:rsidRDefault="00CF6634" w:rsidP="0041744C">
      <w:pPr>
        <w:pStyle w:val="affa"/>
        <w:rPr>
          <w:rFonts w:ascii="Times New Roman"/>
        </w:rPr>
      </w:pPr>
      <w:r w:rsidRPr="00FC1484">
        <w:rPr>
          <w:rFonts w:ascii="Times New Roman"/>
        </w:rPr>
        <w:t>第</w:t>
      </w:r>
      <w:r w:rsidR="00F87B67">
        <w:rPr>
          <w:rFonts w:ascii="Times New Roman" w:hint="eastAsia"/>
        </w:rPr>
        <w:t xml:space="preserve"> </w:t>
      </w:r>
      <w:r w:rsidRPr="00FC1484">
        <w:rPr>
          <w:rFonts w:ascii="Times New Roman"/>
        </w:rPr>
        <w:t>伍</w:t>
      </w:r>
      <w:r w:rsidR="00F87B67">
        <w:rPr>
          <w:rFonts w:ascii="Times New Roman" w:hint="eastAsia"/>
        </w:rPr>
        <w:t xml:space="preserve"> </w:t>
      </w:r>
      <w:r w:rsidRPr="00FC1484">
        <w:rPr>
          <w:rFonts w:ascii="Times New Roman"/>
        </w:rPr>
        <w:t>編</w:t>
      </w:r>
    </w:p>
    <w:p w:rsidR="00CF6634" w:rsidRPr="00FC1484" w:rsidRDefault="00CF6634" w:rsidP="00637406">
      <w:pPr>
        <w:pStyle w:val="1---"/>
        <w:ind w:left="1464" w:hangingChars="610" w:hanging="1464"/>
      </w:pPr>
      <w:r w:rsidRPr="00FC1484">
        <w:t xml:space="preserve">第四十六條　</w:t>
      </w:r>
      <w:r w:rsidR="00637406">
        <w:rPr>
          <w:rFonts w:hint="eastAsia"/>
          <w:lang w:eastAsia="zh-TW"/>
        </w:rPr>
        <w:tab/>
      </w:r>
      <w:r w:rsidRPr="00FC1484">
        <w:t>本公約之解釋，不得影響聯合國憲章及各專門機關組織法內規定聯合國各機關及各專門機關分別對本公約所處理各種事項所負責任之規定。</w:t>
      </w:r>
    </w:p>
    <w:p w:rsidR="00CF6634" w:rsidRPr="00FC1484" w:rsidRDefault="00CF6634" w:rsidP="00637406">
      <w:pPr>
        <w:pStyle w:val="1---"/>
        <w:ind w:left="1464" w:hangingChars="610" w:hanging="1464"/>
      </w:pPr>
      <w:r w:rsidRPr="00FC1484">
        <w:t xml:space="preserve">第四十七條　</w:t>
      </w:r>
      <w:r w:rsidR="00637406">
        <w:rPr>
          <w:rFonts w:hint="eastAsia"/>
          <w:lang w:eastAsia="zh-TW"/>
        </w:rPr>
        <w:tab/>
      </w:r>
      <w:r w:rsidRPr="00FC1484">
        <w:t>本公約之解釋，不得損害所有民族充分與自由享受及利用其天然財富與資源之天賦權利。</w:t>
      </w:r>
    </w:p>
    <w:p w:rsidR="00CF6634" w:rsidRPr="00FC1484" w:rsidRDefault="00CF6634" w:rsidP="0041744C">
      <w:pPr>
        <w:pStyle w:val="affa"/>
        <w:rPr>
          <w:rFonts w:ascii="Times New Roman"/>
        </w:rPr>
      </w:pPr>
      <w:r w:rsidRPr="00FC1484">
        <w:rPr>
          <w:rFonts w:ascii="Times New Roman"/>
        </w:rPr>
        <w:t>第</w:t>
      </w:r>
      <w:r w:rsidR="00F87B67">
        <w:rPr>
          <w:rFonts w:ascii="Times New Roman" w:hint="eastAsia"/>
        </w:rPr>
        <w:t xml:space="preserve"> </w:t>
      </w:r>
      <w:r w:rsidRPr="00FC1484">
        <w:rPr>
          <w:rFonts w:ascii="Times New Roman"/>
        </w:rPr>
        <w:t>陸</w:t>
      </w:r>
      <w:r w:rsidR="00F87B67">
        <w:rPr>
          <w:rFonts w:ascii="Times New Roman" w:hint="eastAsia"/>
        </w:rPr>
        <w:t xml:space="preserve"> </w:t>
      </w:r>
      <w:r w:rsidRPr="00FC1484">
        <w:rPr>
          <w:rFonts w:ascii="Times New Roman"/>
        </w:rPr>
        <w:t>編</w:t>
      </w:r>
    </w:p>
    <w:p w:rsidR="00CF6634" w:rsidRPr="00FC1484" w:rsidRDefault="00CF6634" w:rsidP="00637406">
      <w:pPr>
        <w:pStyle w:val="1---"/>
        <w:ind w:left="1944" w:hangingChars="810" w:hanging="1944"/>
      </w:pPr>
      <w:r w:rsidRPr="00FC1484">
        <w:t>第四十八條　一、</w:t>
      </w:r>
      <w:r w:rsidR="00637406">
        <w:rPr>
          <w:rFonts w:hint="eastAsia"/>
          <w:lang w:eastAsia="zh-TW"/>
        </w:rPr>
        <w:tab/>
      </w:r>
      <w:r w:rsidRPr="00A37759">
        <w:t>本公約聽由聯合國會員國或其專門機關會員國</w:t>
      </w:r>
      <w:r w:rsidRPr="00FC1484">
        <w:t>、國際法院規約當事國及經聯合國大會邀請為本公約締約國之任何其他國家簽署。</w:t>
      </w:r>
    </w:p>
    <w:p w:rsidR="00CF6634" w:rsidRPr="00FC1484" w:rsidRDefault="00CF6634" w:rsidP="00637406">
      <w:pPr>
        <w:pStyle w:val="1---"/>
        <w:ind w:leftChars="600" w:left="1944" w:hangingChars="210" w:hanging="504"/>
      </w:pPr>
      <w:r w:rsidRPr="00FC1484">
        <w:t>二、</w:t>
      </w:r>
      <w:r w:rsidR="00637406">
        <w:rPr>
          <w:rFonts w:hint="eastAsia"/>
          <w:lang w:eastAsia="zh-TW"/>
        </w:rPr>
        <w:tab/>
      </w:r>
      <w:r w:rsidRPr="00FC1484">
        <w:t>本公約須經批准。批准書應送交聯合國秘書長存放。</w:t>
      </w:r>
    </w:p>
    <w:p w:rsidR="00CF6634" w:rsidRPr="00FC1484" w:rsidRDefault="00CF6634" w:rsidP="00637406">
      <w:pPr>
        <w:pStyle w:val="1---"/>
        <w:ind w:leftChars="600" w:left="1944" w:hangingChars="210" w:hanging="504"/>
      </w:pPr>
      <w:r w:rsidRPr="00FC1484">
        <w:t>三、</w:t>
      </w:r>
      <w:r w:rsidR="00637406">
        <w:rPr>
          <w:rFonts w:hint="eastAsia"/>
          <w:lang w:eastAsia="zh-TW"/>
        </w:rPr>
        <w:tab/>
      </w:r>
      <w:r w:rsidRPr="00FC1484">
        <w:t>本公約聽由本條第一項所稱之任何國家加</w:t>
      </w:r>
      <w:r w:rsidR="002A63D9">
        <w:rPr>
          <w:rFonts w:hint="eastAsia"/>
          <w:lang w:eastAsia="zh-TW"/>
        </w:rPr>
        <w:t xml:space="preserve">　</w:t>
      </w:r>
      <w:r w:rsidRPr="00FC1484">
        <w:lastRenderedPageBreak/>
        <w:t>入。</w:t>
      </w:r>
    </w:p>
    <w:p w:rsidR="00CF6634" w:rsidRPr="00FC1484" w:rsidRDefault="00CF6634" w:rsidP="00637406">
      <w:pPr>
        <w:pStyle w:val="1---"/>
        <w:ind w:leftChars="600" w:left="1944" w:hangingChars="210" w:hanging="504"/>
      </w:pPr>
      <w:r w:rsidRPr="00FC1484">
        <w:t>四、</w:t>
      </w:r>
      <w:r w:rsidR="00637406">
        <w:rPr>
          <w:rFonts w:hint="eastAsia"/>
          <w:lang w:eastAsia="zh-TW"/>
        </w:rPr>
        <w:tab/>
      </w:r>
      <w:r w:rsidRPr="00FC1484">
        <w:t>加入應以加入書交存聯合國秘書長為之。</w:t>
      </w:r>
    </w:p>
    <w:p w:rsidR="00CF6634" w:rsidRPr="00FC1484" w:rsidRDefault="00CF6634" w:rsidP="00637406">
      <w:pPr>
        <w:pStyle w:val="1---"/>
        <w:ind w:leftChars="600" w:left="1944" w:hangingChars="210" w:hanging="504"/>
      </w:pPr>
      <w:r w:rsidRPr="00FC1484">
        <w:t>五、</w:t>
      </w:r>
      <w:r w:rsidR="00637406">
        <w:rPr>
          <w:rFonts w:hint="eastAsia"/>
          <w:lang w:eastAsia="zh-TW"/>
        </w:rPr>
        <w:tab/>
      </w:r>
      <w:r w:rsidRPr="00FC1484">
        <w:t>聯合國秘書長應將每一批准書或加入書之交存，通知已經簽署或加入本公約之所有國</w:t>
      </w:r>
      <w:r w:rsidR="002A63D9">
        <w:rPr>
          <w:rFonts w:hint="eastAsia"/>
          <w:lang w:eastAsia="zh-TW"/>
        </w:rPr>
        <w:t xml:space="preserve">　</w:t>
      </w:r>
      <w:r w:rsidRPr="00FC1484">
        <w:t>家。</w:t>
      </w:r>
    </w:p>
    <w:p w:rsidR="00CF6634" w:rsidRPr="00FC1484" w:rsidRDefault="00CF6634" w:rsidP="00637406">
      <w:pPr>
        <w:pStyle w:val="1---"/>
        <w:ind w:left="1944" w:hangingChars="810" w:hanging="1944"/>
      </w:pPr>
      <w:r w:rsidRPr="00FC1484">
        <w:t>第四十九條　一、</w:t>
      </w:r>
      <w:r w:rsidR="00637406">
        <w:rPr>
          <w:rFonts w:hint="eastAsia"/>
          <w:lang w:eastAsia="zh-TW"/>
        </w:rPr>
        <w:tab/>
      </w:r>
      <w:r w:rsidRPr="00FC1484">
        <w:t>本公約應自第三十五件批准書或加入書送交聯合國秘書長存放之日起三個月後發生效</w:t>
      </w:r>
      <w:r w:rsidR="002A63D9">
        <w:rPr>
          <w:rFonts w:hint="eastAsia"/>
          <w:lang w:eastAsia="zh-TW"/>
        </w:rPr>
        <w:t xml:space="preserve">　</w:t>
      </w:r>
      <w:r w:rsidRPr="00FC1484">
        <w:t>力。</w:t>
      </w:r>
    </w:p>
    <w:p w:rsidR="00CF6634" w:rsidRPr="00FC1484" w:rsidRDefault="00CF6634" w:rsidP="00637406">
      <w:pPr>
        <w:pStyle w:val="1---"/>
        <w:ind w:leftChars="600" w:left="1944" w:hangingChars="210" w:hanging="504"/>
      </w:pPr>
      <w:r w:rsidRPr="00FC1484">
        <w:t>二、</w:t>
      </w:r>
      <w:r w:rsidR="00637406">
        <w:rPr>
          <w:rFonts w:hint="eastAsia"/>
          <w:lang w:eastAsia="zh-TW"/>
        </w:rPr>
        <w:tab/>
      </w:r>
      <w:r w:rsidRPr="00FC1484">
        <w:t>對於在第三十五件批准書或加入書交存後批准或加入本公約之國家，本公約應自該國交存批准書或加入書之日起三個月後發生效</w:t>
      </w:r>
      <w:r w:rsidR="002A63D9">
        <w:rPr>
          <w:rFonts w:hint="eastAsia"/>
          <w:lang w:eastAsia="zh-TW"/>
        </w:rPr>
        <w:t xml:space="preserve">　</w:t>
      </w:r>
      <w:r w:rsidRPr="00FC1484">
        <w:t>力。</w:t>
      </w:r>
    </w:p>
    <w:p w:rsidR="00CF6634" w:rsidRPr="00FC1484" w:rsidRDefault="00CF6634" w:rsidP="00637406">
      <w:pPr>
        <w:pStyle w:val="1---"/>
        <w:ind w:left="1464" w:hangingChars="610" w:hanging="1464"/>
      </w:pPr>
      <w:r w:rsidRPr="00FC1484">
        <w:t>第</w:t>
      </w:r>
      <w:r w:rsidR="009D563D">
        <w:rPr>
          <w:rFonts w:hint="eastAsia"/>
          <w:lang w:eastAsia="zh-TW"/>
        </w:rPr>
        <w:t xml:space="preserve"> </w:t>
      </w:r>
      <w:r w:rsidRPr="00FC1484">
        <w:t>五十</w:t>
      </w:r>
      <w:r w:rsidR="009D563D">
        <w:rPr>
          <w:rFonts w:hint="eastAsia"/>
          <w:lang w:eastAsia="zh-TW"/>
        </w:rPr>
        <w:t xml:space="preserve"> </w:t>
      </w:r>
      <w:r w:rsidRPr="00FC1484">
        <w:t xml:space="preserve">條　</w:t>
      </w:r>
      <w:r w:rsidR="00637406">
        <w:rPr>
          <w:rFonts w:hint="eastAsia"/>
          <w:lang w:eastAsia="zh-TW"/>
        </w:rPr>
        <w:tab/>
      </w:r>
      <w:r w:rsidRPr="00FC1484">
        <w:t>本公約各項規定應一律適用於聯邦國家之全部領土，並無限制或例外。</w:t>
      </w:r>
    </w:p>
    <w:p w:rsidR="00CF6634" w:rsidRPr="00FC1484" w:rsidRDefault="00CF6634" w:rsidP="00637406">
      <w:pPr>
        <w:pStyle w:val="1---"/>
        <w:ind w:left="1944" w:hangingChars="810" w:hanging="1944"/>
      </w:pPr>
      <w:r w:rsidRPr="00FC1484">
        <w:t>第五十一條　一、</w:t>
      </w:r>
      <w:r w:rsidR="00637406">
        <w:rPr>
          <w:rFonts w:hint="eastAsia"/>
          <w:lang w:eastAsia="zh-TW"/>
        </w:rPr>
        <w:tab/>
      </w:r>
      <w:r w:rsidRPr="00FC1484">
        <w:t>本公約締約國得提議修改本公約，將修正案提交聯合國秘書長。秘書長應將提議之修正案分送本公約各締約國，並請其通知是否贊成召開締約國會議，以審議並表決所提議案。如締約國三分之一以上贊成召開會議，秘書長應以聯合國名義召集之。經出席會議並投票之締約國</w:t>
      </w:r>
      <w:r w:rsidRPr="00A37759">
        <w:t>過半數通過之修正案，應提請聯合國大會核可。</w:t>
      </w:r>
    </w:p>
    <w:p w:rsidR="00CF6634" w:rsidRPr="00FC1484" w:rsidRDefault="00CF6634" w:rsidP="00637406">
      <w:pPr>
        <w:pStyle w:val="1---"/>
        <w:ind w:leftChars="600" w:left="1944" w:hangingChars="210" w:hanging="504"/>
      </w:pPr>
      <w:r w:rsidRPr="00FC1484">
        <w:t>二、</w:t>
      </w:r>
      <w:r w:rsidR="00637406">
        <w:rPr>
          <w:rFonts w:hint="eastAsia"/>
          <w:lang w:eastAsia="zh-TW"/>
        </w:rPr>
        <w:tab/>
      </w:r>
      <w:r w:rsidRPr="00FC1484">
        <w:t>修正案經聯合國大會核可，並經本公約締約國三分之二各依本國憲法程序接受後，即發生效力。</w:t>
      </w:r>
    </w:p>
    <w:p w:rsidR="00CF6634" w:rsidRPr="00FC1484" w:rsidRDefault="00CF6634" w:rsidP="00637406">
      <w:pPr>
        <w:pStyle w:val="1---"/>
        <w:ind w:leftChars="600" w:left="1944" w:hangingChars="210" w:hanging="504"/>
      </w:pPr>
      <w:r w:rsidRPr="00FC1484">
        <w:lastRenderedPageBreak/>
        <w:t>三、</w:t>
      </w:r>
      <w:r w:rsidR="00637406">
        <w:rPr>
          <w:rFonts w:hint="eastAsia"/>
          <w:lang w:eastAsia="zh-TW"/>
        </w:rPr>
        <w:tab/>
      </w:r>
      <w:r w:rsidRPr="00FC1484">
        <w:t>修正案生效後，對接受此種修正之締約國具有拘束力；其他締約國仍受本公約原訂條款及其前此所接受修正案之拘束。</w:t>
      </w:r>
    </w:p>
    <w:p w:rsidR="00CF6634" w:rsidRPr="00FC1484" w:rsidRDefault="00CF6634" w:rsidP="00637406">
      <w:pPr>
        <w:pStyle w:val="1---"/>
        <w:ind w:left="1464" w:hangingChars="610" w:hanging="1464"/>
      </w:pPr>
      <w:r w:rsidRPr="00FC1484">
        <w:t xml:space="preserve">第五十二條　</w:t>
      </w:r>
      <w:r w:rsidR="00637406">
        <w:rPr>
          <w:rFonts w:hint="eastAsia"/>
          <w:lang w:eastAsia="zh-TW"/>
        </w:rPr>
        <w:tab/>
      </w:r>
      <w:r w:rsidRPr="00FC1484">
        <w:t>除第四十八條第五項規定之通知外，聯合國秘書長應將下列事項通知同條第一項所稱之所有國</w:t>
      </w:r>
      <w:r w:rsidR="002A63D9">
        <w:rPr>
          <w:rFonts w:hint="eastAsia"/>
          <w:lang w:eastAsia="zh-TW"/>
        </w:rPr>
        <w:t xml:space="preserve">　</w:t>
      </w:r>
      <w:r w:rsidRPr="00FC1484">
        <w:t>家：</w:t>
      </w:r>
    </w:p>
    <w:p w:rsidR="002A63D9" w:rsidRDefault="00CF6634" w:rsidP="00637406">
      <w:pPr>
        <w:pStyle w:val="1---"/>
        <w:ind w:leftChars="600" w:left="2184" w:hangingChars="310" w:hanging="744"/>
        <w:rPr>
          <w:lang w:eastAsia="zh-TW"/>
        </w:rPr>
      </w:pPr>
      <w:r w:rsidRPr="00FC1484">
        <w:t>（一）</w:t>
      </w:r>
      <w:r w:rsidR="00637406">
        <w:rPr>
          <w:rFonts w:hint="eastAsia"/>
          <w:lang w:eastAsia="zh-TW"/>
        </w:rPr>
        <w:tab/>
      </w:r>
      <w:r w:rsidRPr="00FC1484">
        <w:t>依第四十八條所為之簽署、批准及加入；</w:t>
      </w:r>
    </w:p>
    <w:p w:rsidR="00CF6634" w:rsidRPr="00FC1484" w:rsidRDefault="00CF6634" w:rsidP="00637406">
      <w:pPr>
        <w:pStyle w:val="1---"/>
        <w:ind w:leftChars="600" w:left="2184" w:hangingChars="310" w:hanging="744"/>
      </w:pPr>
      <w:r w:rsidRPr="00FC1484">
        <w:t>（二）</w:t>
      </w:r>
      <w:r w:rsidR="00637406">
        <w:rPr>
          <w:rFonts w:hint="eastAsia"/>
          <w:lang w:eastAsia="zh-TW"/>
        </w:rPr>
        <w:tab/>
      </w:r>
      <w:r w:rsidRPr="00FC1484">
        <w:t>依第四十九條本公約發生效力之日期，及依第五十一條任何修正案發生效力之日</w:t>
      </w:r>
      <w:r w:rsidR="002A63D9">
        <w:rPr>
          <w:rFonts w:hint="eastAsia"/>
          <w:lang w:eastAsia="zh-TW"/>
        </w:rPr>
        <w:t xml:space="preserve">　</w:t>
      </w:r>
      <w:r w:rsidRPr="00FC1484">
        <w:t>期。</w:t>
      </w:r>
    </w:p>
    <w:p w:rsidR="00CF6634" w:rsidRPr="00FC1484" w:rsidRDefault="00CF6634" w:rsidP="00637406">
      <w:pPr>
        <w:pStyle w:val="1---"/>
        <w:ind w:left="1944" w:hangingChars="810" w:hanging="1944"/>
      </w:pPr>
      <w:r w:rsidRPr="00FC1484">
        <w:t>第五十三條　一、</w:t>
      </w:r>
      <w:r w:rsidR="00637406">
        <w:rPr>
          <w:rFonts w:hint="eastAsia"/>
          <w:lang w:eastAsia="zh-TW"/>
        </w:rPr>
        <w:tab/>
      </w:r>
      <w:r w:rsidRPr="00FC1484">
        <w:t>本公約應交存聯合國檔庫，其中、英、法、俄及西文各本同一作準。</w:t>
      </w:r>
    </w:p>
    <w:p w:rsidR="00CF6634" w:rsidRPr="00FC1484" w:rsidRDefault="00CF6634" w:rsidP="00637406">
      <w:pPr>
        <w:pStyle w:val="1---"/>
        <w:ind w:leftChars="600" w:left="1944" w:hangingChars="210" w:hanging="504"/>
      </w:pPr>
      <w:r w:rsidRPr="00FC1484">
        <w:t>二、</w:t>
      </w:r>
      <w:r w:rsidR="00637406">
        <w:rPr>
          <w:rFonts w:hint="eastAsia"/>
          <w:lang w:eastAsia="zh-TW"/>
        </w:rPr>
        <w:tab/>
      </w:r>
      <w:r w:rsidRPr="00FC1484">
        <w:t>聯合國秘書長應將本公約正式副本分送第四十八條所稱之所有國家。</w:t>
      </w:r>
    </w:p>
    <w:p w:rsidR="00CF6634" w:rsidRDefault="00536FBE" w:rsidP="00F87B67">
      <w:pPr>
        <w:pStyle w:val="1---"/>
        <w:ind w:firstLineChars="0" w:firstLine="0"/>
        <w:rPr>
          <w:lang w:eastAsia="zh-TW"/>
        </w:rPr>
      </w:pPr>
      <w:r>
        <w:rPr>
          <w:rFonts w:hint="eastAsia"/>
          <w:lang w:eastAsia="zh-TW"/>
        </w:rPr>
        <w:t xml:space="preserve">　　</w:t>
      </w:r>
      <w:r w:rsidR="00CF6634" w:rsidRPr="00FC1484">
        <w:t>為此，下列各代表秉其本國政府正式授予之權，謹簽字於自一九六六年十二月十九日起得由各國在紐約簽署之本公約，以昭信守。</w:t>
      </w:r>
    </w:p>
    <w:p w:rsidR="00AE0398" w:rsidRPr="00FC1484" w:rsidRDefault="00AE0398" w:rsidP="00274413">
      <w:pPr>
        <w:pStyle w:val="1---"/>
        <w:spacing w:before="180" w:after="180"/>
        <w:ind w:firstLine="480"/>
        <w:rPr>
          <w:lang w:eastAsia="zh-TW"/>
        </w:rPr>
      </w:pPr>
    </w:p>
    <w:p w:rsidR="00CF6634" w:rsidRPr="00FC1484" w:rsidRDefault="00CF6634" w:rsidP="00274413">
      <w:pPr>
        <w:pStyle w:val="1---"/>
        <w:spacing w:before="180" w:after="180"/>
        <w:ind w:firstLine="480"/>
        <w:sectPr w:rsidR="00CF6634" w:rsidRPr="00FC1484" w:rsidSect="00F56F3E">
          <w:headerReference w:type="default" r:id="rId36"/>
          <w:pgSz w:w="8392" w:h="11907" w:code="11"/>
          <w:pgMar w:top="1701" w:right="794" w:bottom="1134" w:left="964" w:header="624" w:footer="397" w:gutter="0"/>
          <w:cols w:space="425"/>
          <w:docGrid w:type="lines" w:linePitch="360" w:charSpace="4127"/>
        </w:sectPr>
      </w:pPr>
    </w:p>
    <w:p w:rsidR="00A372EF" w:rsidRDefault="00A372EF" w:rsidP="00A372EF">
      <w:pPr>
        <w:pStyle w:val="11--0"/>
        <w:spacing w:beforeLines="0" w:before="0" w:afterLines="0" w:after="0" w:line="240" w:lineRule="auto"/>
        <w:rPr>
          <w:rFonts w:ascii="細明體" w:eastAsia="細明體" w:hAnsi="細明體" w:cs="細明體"/>
        </w:rPr>
      </w:pPr>
      <w:bookmarkStart w:id="717" w:name="_Toc445886132"/>
      <w:bookmarkStart w:id="718" w:name="_Toc445976762"/>
      <w:bookmarkStart w:id="719" w:name="_Toc446064155"/>
      <w:bookmarkStart w:id="720" w:name="_Toc457568233"/>
      <w:bookmarkStart w:id="721" w:name="_Toc508113027"/>
      <w:bookmarkStart w:id="722" w:name="_Toc535228442"/>
      <w:bookmarkStart w:id="723" w:name="_Toc4058854"/>
      <w:r w:rsidRPr="00D240A1">
        <w:lastRenderedPageBreak/>
        <w:t>附錄</w:t>
      </w:r>
      <w:r w:rsidRPr="00A372EF">
        <w:rPr>
          <w:rFonts w:hAnsi="細明體" w:cs="細明體" w:hint="eastAsia"/>
        </w:rPr>
        <w:t>五</w:t>
      </w:r>
      <w:r w:rsidRPr="00D240A1">
        <w:rPr>
          <w:rFonts w:ascii="細明體" w:eastAsia="細明體" w:hAnsi="細明體" w:cs="細明體" w:hint="eastAsia"/>
        </w:rPr>
        <w:t xml:space="preserve">　</w:t>
      </w:r>
    </w:p>
    <w:p w:rsidR="00A372EF" w:rsidRPr="00BC7E18" w:rsidRDefault="00A372EF" w:rsidP="00A372EF">
      <w:pPr>
        <w:pStyle w:val="11--"/>
        <w:ind w:firstLineChars="0" w:firstLine="0"/>
        <w:jc w:val="center"/>
        <w:rPr>
          <w:rFonts w:eastAsia="華康粗明體"/>
          <w:sz w:val="28"/>
        </w:rPr>
      </w:pPr>
      <w:r w:rsidRPr="00BC7E18">
        <w:rPr>
          <w:rFonts w:eastAsia="華康粗明體"/>
          <w:sz w:val="28"/>
        </w:rPr>
        <w:t>經濟社會文化權利國際公約</w:t>
      </w:r>
    </w:p>
    <w:p w:rsidR="00A372EF" w:rsidRDefault="00A372EF" w:rsidP="00A372EF">
      <w:pPr>
        <w:pStyle w:val="11--"/>
        <w:ind w:firstLineChars="0" w:firstLine="0"/>
        <w:jc w:val="center"/>
        <w:rPr>
          <w:rFonts w:eastAsia="華康粗明體"/>
          <w:sz w:val="28"/>
          <w:lang w:eastAsia="zh-TW"/>
        </w:rPr>
      </w:pPr>
      <w:r w:rsidRPr="00BC7E18">
        <w:rPr>
          <w:rFonts w:eastAsia="華康粗明體"/>
          <w:sz w:val="28"/>
        </w:rPr>
        <w:t xml:space="preserve">International Covenant on Economic, </w:t>
      </w:r>
    </w:p>
    <w:p w:rsidR="00A372EF" w:rsidRPr="00BC7E18" w:rsidRDefault="00A372EF" w:rsidP="00A372EF">
      <w:pPr>
        <w:pStyle w:val="11--"/>
        <w:ind w:firstLineChars="0" w:firstLine="0"/>
        <w:jc w:val="center"/>
        <w:rPr>
          <w:rFonts w:eastAsia="華康粗明體"/>
          <w:sz w:val="28"/>
        </w:rPr>
      </w:pPr>
      <w:r w:rsidRPr="00BC7E18">
        <w:rPr>
          <w:rFonts w:eastAsia="華康粗明體"/>
          <w:sz w:val="28"/>
        </w:rPr>
        <w:t>Social and Cultural Rights</w:t>
      </w:r>
    </w:p>
    <w:p w:rsidR="00A372EF" w:rsidRPr="00BC7E18" w:rsidRDefault="00A372EF" w:rsidP="00A372EF">
      <w:pPr>
        <w:pStyle w:val="11--"/>
        <w:ind w:firstLineChars="0" w:firstLine="0"/>
        <w:jc w:val="center"/>
        <w:rPr>
          <w:rFonts w:eastAsia="華康粗明體"/>
          <w:sz w:val="28"/>
        </w:rPr>
      </w:pPr>
      <w:r w:rsidRPr="00BC7E18">
        <w:rPr>
          <w:rFonts w:eastAsia="華康粗明體"/>
          <w:sz w:val="28"/>
        </w:rPr>
        <w:t>聯合國大會</w:t>
      </w:r>
      <w:r w:rsidRPr="00BC7E18">
        <w:rPr>
          <w:rFonts w:eastAsia="華康粗明體"/>
          <w:sz w:val="28"/>
        </w:rPr>
        <w:t>1966</w:t>
      </w:r>
      <w:r w:rsidRPr="00BC7E18">
        <w:rPr>
          <w:rFonts w:eastAsia="華康粗明體"/>
          <w:sz w:val="28"/>
        </w:rPr>
        <w:t>年</w:t>
      </w:r>
      <w:r w:rsidRPr="00BC7E18">
        <w:rPr>
          <w:rFonts w:eastAsia="華康粗明體"/>
          <w:sz w:val="28"/>
        </w:rPr>
        <w:t>12</w:t>
      </w:r>
      <w:r w:rsidRPr="00BC7E18">
        <w:rPr>
          <w:rFonts w:eastAsia="華康粗明體"/>
          <w:sz w:val="28"/>
        </w:rPr>
        <w:t>月</w:t>
      </w:r>
      <w:r w:rsidRPr="00BC7E18">
        <w:rPr>
          <w:rFonts w:eastAsia="華康粗明體"/>
          <w:sz w:val="28"/>
        </w:rPr>
        <w:t>16</w:t>
      </w:r>
      <w:r w:rsidRPr="00BC7E18">
        <w:rPr>
          <w:rFonts w:eastAsia="華康粗明體"/>
          <w:sz w:val="28"/>
        </w:rPr>
        <w:t>日通過</w:t>
      </w:r>
    </w:p>
    <w:p w:rsidR="00A372EF" w:rsidRDefault="00A372EF" w:rsidP="00A372EF">
      <w:pPr>
        <w:pStyle w:val="11--"/>
        <w:ind w:firstLineChars="0" w:firstLine="0"/>
        <w:jc w:val="center"/>
        <w:rPr>
          <w:rFonts w:eastAsia="華康粗明體"/>
          <w:sz w:val="28"/>
          <w:lang w:eastAsia="zh-TW"/>
        </w:rPr>
      </w:pPr>
      <w:r w:rsidRPr="00BC7E18">
        <w:rPr>
          <w:rFonts w:eastAsia="華康粗明體"/>
          <w:sz w:val="28"/>
        </w:rPr>
        <w:t>1976</w:t>
      </w:r>
      <w:r w:rsidRPr="00BC7E18">
        <w:rPr>
          <w:rFonts w:eastAsia="華康粗明體"/>
          <w:sz w:val="28"/>
          <w:lang w:eastAsia="zh-TW"/>
        </w:rPr>
        <w:t>年</w:t>
      </w:r>
      <w:r w:rsidRPr="00BC7E18">
        <w:rPr>
          <w:rFonts w:eastAsia="華康粗明體"/>
          <w:sz w:val="28"/>
        </w:rPr>
        <w:t>1</w:t>
      </w:r>
      <w:r w:rsidRPr="00BC7E18">
        <w:rPr>
          <w:rFonts w:eastAsia="華康粗明體"/>
          <w:sz w:val="28"/>
        </w:rPr>
        <w:t>月</w:t>
      </w:r>
      <w:r w:rsidRPr="00BC7E18">
        <w:rPr>
          <w:rFonts w:eastAsia="華康粗明體"/>
          <w:sz w:val="28"/>
        </w:rPr>
        <w:t>3</w:t>
      </w:r>
      <w:r w:rsidRPr="00BC7E18">
        <w:rPr>
          <w:rFonts w:eastAsia="華康粗明體"/>
          <w:sz w:val="28"/>
        </w:rPr>
        <w:t>日生效</w:t>
      </w:r>
    </w:p>
    <w:p w:rsidR="00A372EF" w:rsidRPr="00BC7E18" w:rsidRDefault="00A372EF" w:rsidP="00A372EF">
      <w:pPr>
        <w:pStyle w:val="11--"/>
        <w:ind w:firstLineChars="0" w:firstLine="0"/>
        <w:jc w:val="center"/>
        <w:rPr>
          <w:rFonts w:eastAsia="華康粗明體"/>
          <w:sz w:val="28"/>
          <w:lang w:eastAsia="zh-TW"/>
        </w:rPr>
      </w:pPr>
    </w:p>
    <w:p w:rsidR="00CF6634" w:rsidRPr="00FC1484" w:rsidRDefault="00CF6634" w:rsidP="00CF6634">
      <w:pPr>
        <w:pStyle w:val="affa"/>
        <w:spacing w:before="190" w:after="190"/>
        <w:rPr>
          <w:rFonts w:ascii="Times New Roman"/>
        </w:rPr>
      </w:pPr>
      <w:bookmarkStart w:id="724" w:name="_Toc443463638"/>
      <w:bookmarkStart w:id="725" w:name="_Toc445899419"/>
      <w:bookmarkStart w:id="726" w:name="_Toc450738911"/>
      <w:bookmarkStart w:id="727" w:name="_Toc450743335"/>
      <w:bookmarkStart w:id="728" w:name="_Toc452130893"/>
      <w:bookmarkStart w:id="729" w:name="_Toc453165841"/>
      <w:bookmarkEnd w:id="717"/>
      <w:bookmarkEnd w:id="718"/>
      <w:bookmarkEnd w:id="719"/>
      <w:bookmarkEnd w:id="720"/>
      <w:bookmarkEnd w:id="721"/>
      <w:bookmarkEnd w:id="722"/>
      <w:bookmarkEnd w:id="723"/>
      <w:r w:rsidRPr="00FC1484">
        <w:rPr>
          <w:rFonts w:ascii="Times New Roman"/>
        </w:rPr>
        <w:t>前</w:t>
      </w:r>
      <w:r w:rsidR="00A372EF">
        <w:rPr>
          <w:rFonts w:ascii="Times New Roman" w:hint="eastAsia"/>
        </w:rPr>
        <w:t xml:space="preserve">　</w:t>
      </w:r>
      <w:r w:rsidRPr="00FC1484">
        <w:rPr>
          <w:rFonts w:ascii="Times New Roman"/>
        </w:rPr>
        <w:t>文</w:t>
      </w:r>
    </w:p>
    <w:p w:rsidR="00CF6634" w:rsidRPr="00FC1484" w:rsidRDefault="00CF6634" w:rsidP="00274413">
      <w:pPr>
        <w:pStyle w:val="1---"/>
        <w:spacing w:after="190"/>
        <w:ind w:firstLine="496"/>
      </w:pPr>
      <w:r w:rsidRPr="00FC1484">
        <w:rPr>
          <w:spacing w:val="4"/>
        </w:rPr>
        <w:t>本公約締約國，鑒於依據聯合國憲章揭示之原則，人類一家</w:t>
      </w:r>
      <w:r w:rsidRPr="00FC1484">
        <w:t>，對於人人天賦尊嚴，及其平等而且不可割讓權利之確認，實係世界自由、正義與和平之基礎；確認此種權利源於天賦人格尊嚴；確認依據世界人權宣言之昭示，唯有創造環境，使人人除享有公民及政治權利而外，並得享受經濟社會文化權利，始克實現自由人類享受無所恐懼不虞匱乏之理想。鑒於聯合國憲章之規定，各國負有義務，必須促進人權及自由之普遍尊重及遵守；明認個人對他人及對其隸屬之社會，負有義務，故職責所在，必須力求本公約所確認各種權利之促進及遵守，爰議定條款如下：</w:t>
      </w:r>
    </w:p>
    <w:p w:rsidR="00CF6634" w:rsidRPr="00FC1484" w:rsidRDefault="00CF6634" w:rsidP="00CF6634">
      <w:pPr>
        <w:pStyle w:val="affa"/>
        <w:spacing w:before="190" w:after="190"/>
        <w:rPr>
          <w:rFonts w:ascii="Times New Roman"/>
        </w:rPr>
      </w:pPr>
      <w:r w:rsidRPr="00FC1484">
        <w:rPr>
          <w:rFonts w:ascii="Times New Roman"/>
        </w:rPr>
        <w:t>第</w:t>
      </w:r>
      <w:r w:rsidR="00A60757">
        <w:rPr>
          <w:rFonts w:ascii="Times New Roman" w:hint="eastAsia"/>
        </w:rPr>
        <w:t xml:space="preserve"> </w:t>
      </w:r>
      <w:r w:rsidRPr="00FC1484">
        <w:rPr>
          <w:rFonts w:ascii="Times New Roman"/>
        </w:rPr>
        <w:t>壹</w:t>
      </w:r>
      <w:r w:rsidR="00A60757">
        <w:rPr>
          <w:rFonts w:ascii="Times New Roman" w:hint="eastAsia"/>
        </w:rPr>
        <w:t xml:space="preserve"> </w:t>
      </w:r>
      <w:r w:rsidRPr="00FC1484">
        <w:rPr>
          <w:rFonts w:ascii="Times New Roman"/>
        </w:rPr>
        <w:t>編</w:t>
      </w:r>
    </w:p>
    <w:p w:rsidR="00CF6634" w:rsidRPr="00FC1484" w:rsidRDefault="00CF6634" w:rsidP="00A52BA8">
      <w:pPr>
        <w:pStyle w:val="1---"/>
        <w:ind w:left="1464" w:hangingChars="610" w:hanging="1464"/>
      </w:pPr>
      <w:r w:rsidRPr="00FC1484">
        <w:t>第一條　一、</w:t>
      </w:r>
      <w:r w:rsidR="00256C80">
        <w:rPr>
          <w:rFonts w:hint="eastAsia"/>
          <w:lang w:eastAsia="zh-TW"/>
        </w:rPr>
        <w:tab/>
      </w:r>
      <w:r w:rsidRPr="00FC1484">
        <w:t>所有民族均享有自決權，根據此種權利，自由決定其政治地位及自由從事其經濟、社會與文化之</w:t>
      </w:r>
      <w:r w:rsidRPr="00FC1484">
        <w:lastRenderedPageBreak/>
        <w:t>發展。</w:t>
      </w:r>
    </w:p>
    <w:p w:rsidR="00CF6634" w:rsidRPr="00FC1484" w:rsidRDefault="00CF6634" w:rsidP="00D02416">
      <w:pPr>
        <w:pStyle w:val="1---"/>
        <w:ind w:leftChars="400" w:left="1445" w:hangingChars="202" w:hanging="485"/>
      </w:pPr>
      <w:r w:rsidRPr="00FC1484">
        <w:t>二、</w:t>
      </w:r>
      <w:r w:rsidR="00D02416">
        <w:rPr>
          <w:rFonts w:hint="eastAsia"/>
          <w:lang w:eastAsia="zh-TW"/>
        </w:rPr>
        <w:tab/>
      </w:r>
      <w:r w:rsidRPr="00FC1484">
        <w:t>所有民族得為本身之目的，自由處置其天然財富及資源，但不得妨害因基於互惠原則之國際經濟合作及因國際法而生之任何義務。無論在何種情形下，民族之生計，不容剝奪。</w:t>
      </w:r>
    </w:p>
    <w:p w:rsidR="00CF6634" w:rsidRPr="00FC1484" w:rsidRDefault="00CF6634" w:rsidP="00D02416">
      <w:pPr>
        <w:pStyle w:val="1---"/>
        <w:ind w:leftChars="400" w:left="1445" w:hangingChars="202" w:hanging="485"/>
      </w:pPr>
      <w:r w:rsidRPr="00FC1484">
        <w:t>三、</w:t>
      </w:r>
      <w:r w:rsidR="00D02416">
        <w:rPr>
          <w:rFonts w:hint="eastAsia"/>
          <w:lang w:eastAsia="zh-TW"/>
        </w:rPr>
        <w:tab/>
      </w:r>
      <w:r w:rsidRPr="00FC1484">
        <w:t>本公約締約國包括負責管理非自治及託管領土之國家在內，均應遵照聯合國憲章規定，促進自決權之實現並尊重此種權利。</w:t>
      </w:r>
    </w:p>
    <w:p w:rsidR="00CF6634" w:rsidRPr="00FC1484" w:rsidRDefault="00CF6634" w:rsidP="00CF6634">
      <w:pPr>
        <w:pStyle w:val="affa"/>
        <w:spacing w:before="190" w:after="190"/>
        <w:rPr>
          <w:rFonts w:ascii="Times New Roman"/>
        </w:rPr>
      </w:pPr>
      <w:r w:rsidRPr="00FC1484">
        <w:rPr>
          <w:rFonts w:ascii="Times New Roman"/>
        </w:rPr>
        <w:t>第</w:t>
      </w:r>
      <w:r w:rsidR="009E4D29">
        <w:rPr>
          <w:rFonts w:ascii="Times New Roman" w:hint="eastAsia"/>
        </w:rPr>
        <w:t xml:space="preserve"> </w:t>
      </w:r>
      <w:r w:rsidRPr="00FC1484">
        <w:rPr>
          <w:rFonts w:ascii="Times New Roman"/>
        </w:rPr>
        <w:t>貳</w:t>
      </w:r>
      <w:r w:rsidR="009E4D29">
        <w:rPr>
          <w:rFonts w:ascii="Times New Roman" w:hint="eastAsia"/>
        </w:rPr>
        <w:t xml:space="preserve"> </w:t>
      </w:r>
      <w:r w:rsidRPr="00FC1484">
        <w:rPr>
          <w:rFonts w:ascii="Times New Roman"/>
        </w:rPr>
        <w:t>編</w:t>
      </w:r>
    </w:p>
    <w:p w:rsidR="00CF6634" w:rsidRPr="00FC1484" w:rsidRDefault="00CF6634" w:rsidP="00A52BA8">
      <w:pPr>
        <w:pStyle w:val="1---"/>
        <w:ind w:left="1464" w:hangingChars="610" w:hanging="1464"/>
      </w:pPr>
      <w:r w:rsidRPr="00FC1484">
        <w:t>第二條　一、</w:t>
      </w:r>
      <w:r w:rsidR="00D02416">
        <w:rPr>
          <w:rFonts w:hint="eastAsia"/>
          <w:lang w:eastAsia="zh-TW"/>
        </w:rPr>
        <w:tab/>
      </w:r>
      <w:r w:rsidRPr="00FC1484">
        <w:t>本公約締約國承允盡其資源能力所及，各自並藉國際協助與合作，特別在經濟與技術方面之協助與合作採取種種步驟，務期以所有適當方法，尤其包括通過立法措施，逐漸使本公約所確認之各種權利完全實現。</w:t>
      </w:r>
    </w:p>
    <w:p w:rsidR="00CF6634" w:rsidRPr="00FC1484" w:rsidRDefault="00CF6634" w:rsidP="00D02416">
      <w:pPr>
        <w:pStyle w:val="1---"/>
        <w:ind w:leftChars="400" w:left="1445" w:hangingChars="202" w:hanging="485"/>
      </w:pPr>
      <w:r w:rsidRPr="00FC1484">
        <w:t>二、</w:t>
      </w:r>
      <w:r w:rsidR="00D02416">
        <w:rPr>
          <w:rFonts w:hint="eastAsia"/>
          <w:lang w:eastAsia="zh-TW"/>
        </w:rPr>
        <w:tab/>
      </w:r>
      <w:r w:rsidRPr="00FC1484">
        <w:t>本公約締約國承允保證人人行使本公約所載之各種權利，不因種族、膚色、性別、語言、宗教、政見或其他主張、民族本源或社會階級、財產、出生或其他身分等等而受歧視。</w:t>
      </w:r>
    </w:p>
    <w:p w:rsidR="00CF6634" w:rsidRPr="00FC1484" w:rsidRDefault="00CF6634" w:rsidP="00A26703">
      <w:pPr>
        <w:pStyle w:val="1---"/>
        <w:ind w:leftChars="400" w:left="1445" w:hangingChars="202" w:hanging="485"/>
      </w:pPr>
      <w:r w:rsidRPr="00FC1484">
        <w:t>三、</w:t>
      </w:r>
      <w:r w:rsidR="00D02416">
        <w:rPr>
          <w:rFonts w:hint="eastAsia"/>
          <w:lang w:eastAsia="zh-TW"/>
        </w:rPr>
        <w:tab/>
      </w:r>
      <w:r w:rsidRPr="00FC1484">
        <w:t>發展中國家在適當顧及人權及國民經濟之情形下，得決定保證非本國國民享受本公約所確認經濟權利之程度。</w:t>
      </w:r>
    </w:p>
    <w:p w:rsidR="00CF6634" w:rsidRPr="00FC1484" w:rsidRDefault="00CF6634" w:rsidP="00A60757">
      <w:pPr>
        <w:pStyle w:val="1---"/>
        <w:ind w:left="991" w:hangingChars="413" w:hanging="991"/>
      </w:pPr>
      <w:r w:rsidRPr="00FC1484">
        <w:t xml:space="preserve">第三條　</w:t>
      </w:r>
      <w:r w:rsidR="00232768">
        <w:rPr>
          <w:rFonts w:hint="eastAsia"/>
          <w:lang w:eastAsia="zh-TW"/>
        </w:rPr>
        <w:tab/>
      </w:r>
      <w:r w:rsidRPr="00FC1484">
        <w:t>本公約締約國承允確保本公約所載一切經濟社會文化權利之享受，男女權利一律平等。</w:t>
      </w:r>
    </w:p>
    <w:p w:rsidR="00CF6634" w:rsidRPr="00FC1484" w:rsidRDefault="00CF6634" w:rsidP="00A60757">
      <w:pPr>
        <w:pStyle w:val="1---"/>
        <w:ind w:left="991" w:hangingChars="413" w:hanging="991"/>
      </w:pPr>
      <w:r w:rsidRPr="00FC1484">
        <w:t xml:space="preserve">第四條　</w:t>
      </w:r>
      <w:r w:rsidR="00232768">
        <w:rPr>
          <w:rFonts w:hint="eastAsia"/>
          <w:lang w:eastAsia="zh-TW"/>
        </w:rPr>
        <w:tab/>
      </w:r>
      <w:r w:rsidRPr="00FC1484">
        <w:t>本公約締約國確認人民享受國家遵照本公約規定所賦</w:t>
      </w:r>
      <w:r w:rsidRPr="00FC1484">
        <w:lastRenderedPageBreak/>
        <w:t>予之權利時，國家對此類權利僅得加以法律明定之限</w:t>
      </w:r>
      <w:r w:rsidRPr="00A37759">
        <w:t>制，又其所定限制以與此類權利之性質不相牴觸為準</w:t>
      </w:r>
      <w:r w:rsidRPr="00FC1484">
        <w:t>，且加以限制之唯一目的應在增進民主社會之公共福利。</w:t>
      </w:r>
    </w:p>
    <w:p w:rsidR="00CF6634" w:rsidRPr="00FC1484" w:rsidRDefault="00CF6634" w:rsidP="00A52BA8">
      <w:pPr>
        <w:pStyle w:val="1---"/>
        <w:ind w:left="1464" w:hangingChars="610" w:hanging="1464"/>
      </w:pPr>
      <w:r w:rsidRPr="00FC1484">
        <w:t>第五條　一、</w:t>
      </w:r>
      <w:r w:rsidR="00D02416">
        <w:rPr>
          <w:rFonts w:hint="eastAsia"/>
          <w:lang w:eastAsia="zh-TW"/>
        </w:rPr>
        <w:tab/>
      </w:r>
      <w:r w:rsidRPr="00FC1484">
        <w:t>本公約條文不得解釋為國家、團體或個人有權從事活動或實行行為，破壞本公約確認之任何權利或自由，或限制此種權利或自由逾越本公約規定之程度。</w:t>
      </w:r>
    </w:p>
    <w:p w:rsidR="00CF6634" w:rsidRPr="00FC1484" w:rsidRDefault="00CF6634" w:rsidP="00A26703">
      <w:pPr>
        <w:pStyle w:val="1---"/>
        <w:ind w:leftChars="400" w:left="1445" w:hangingChars="202" w:hanging="485"/>
      </w:pPr>
      <w:r w:rsidRPr="00FC1484">
        <w:t>二、</w:t>
      </w:r>
      <w:r w:rsidR="00D02416">
        <w:rPr>
          <w:rFonts w:hint="eastAsia"/>
          <w:lang w:eastAsia="zh-TW"/>
        </w:rPr>
        <w:tab/>
      </w:r>
      <w:r w:rsidRPr="00FC1484">
        <w:t>任何國家內依法律、公約、條例或習俗而承認或存在之任何基本人權，不得藉口本公約未予確認或確認之範圍較狹，而加以限制或減免義務。</w:t>
      </w:r>
    </w:p>
    <w:p w:rsidR="00CF6634" w:rsidRPr="00FC1484" w:rsidRDefault="00CF6634" w:rsidP="00CF6634">
      <w:pPr>
        <w:pStyle w:val="affa"/>
        <w:spacing w:before="190" w:after="190"/>
        <w:rPr>
          <w:rFonts w:ascii="Times New Roman"/>
        </w:rPr>
      </w:pPr>
      <w:r w:rsidRPr="00FC1484">
        <w:rPr>
          <w:rFonts w:ascii="Times New Roman"/>
        </w:rPr>
        <w:t>第</w:t>
      </w:r>
      <w:r w:rsidR="009E4D29">
        <w:rPr>
          <w:rFonts w:ascii="Times New Roman" w:hint="eastAsia"/>
        </w:rPr>
        <w:t xml:space="preserve"> </w:t>
      </w:r>
      <w:r w:rsidR="00656B20">
        <w:rPr>
          <w:rFonts w:ascii="Times New Roman" w:hint="eastAsia"/>
        </w:rPr>
        <w:t>參</w:t>
      </w:r>
      <w:r w:rsidR="00656B20">
        <w:rPr>
          <w:rFonts w:ascii="Times New Roman" w:hint="eastAsia"/>
        </w:rPr>
        <w:t xml:space="preserve"> </w:t>
      </w:r>
      <w:r w:rsidRPr="00FC1484">
        <w:rPr>
          <w:rFonts w:ascii="Times New Roman"/>
        </w:rPr>
        <w:t>編</w:t>
      </w:r>
    </w:p>
    <w:p w:rsidR="00CF6634" w:rsidRPr="00FC1484" w:rsidRDefault="00CF6634" w:rsidP="00A52BA8">
      <w:pPr>
        <w:pStyle w:val="1---"/>
        <w:ind w:left="1464" w:hangingChars="610" w:hanging="1464"/>
      </w:pPr>
      <w:r w:rsidRPr="00FC1484">
        <w:t>第六條　一、</w:t>
      </w:r>
      <w:r w:rsidR="00D02416">
        <w:rPr>
          <w:rFonts w:hint="eastAsia"/>
          <w:lang w:eastAsia="zh-TW"/>
        </w:rPr>
        <w:tab/>
      </w:r>
      <w:r w:rsidRPr="00FC1484">
        <w:t>本公約締約國確認人人有工作之權利，包括人人應有機會憑本人自由選擇或接受之工作謀生之權利，並將採取適當步驟保障之。</w:t>
      </w:r>
    </w:p>
    <w:p w:rsidR="00CF6634" w:rsidRPr="00FC1484" w:rsidRDefault="00CF6634" w:rsidP="00A26703">
      <w:pPr>
        <w:pStyle w:val="1---"/>
        <w:ind w:leftChars="400" w:left="1445" w:hangingChars="202" w:hanging="485"/>
      </w:pPr>
      <w:r w:rsidRPr="00FC1484">
        <w:t>二、</w:t>
      </w:r>
      <w:r w:rsidR="00D02416">
        <w:rPr>
          <w:rFonts w:hint="eastAsia"/>
          <w:lang w:eastAsia="zh-TW"/>
        </w:rPr>
        <w:tab/>
      </w:r>
      <w:r w:rsidRPr="00FC1484">
        <w:t>本公約締約國為求完全實現此種權利而須採取之步驟，應包括技術與職業指導及訓練方案、政策與方法，以便在保障個人基本政治與經濟自由之條件下，造成經濟、社會及文化之穩步發展以及充分之生產性就業。</w:t>
      </w:r>
    </w:p>
    <w:p w:rsidR="00CF6634" w:rsidRPr="00FC1484" w:rsidRDefault="00CF6634" w:rsidP="00A60757">
      <w:pPr>
        <w:pStyle w:val="1---"/>
        <w:ind w:left="991" w:hangingChars="413" w:hanging="991"/>
      </w:pPr>
      <w:r w:rsidRPr="00FC1484">
        <w:t xml:space="preserve">第七條　</w:t>
      </w:r>
      <w:r w:rsidR="00232768">
        <w:rPr>
          <w:rFonts w:hint="eastAsia"/>
          <w:lang w:eastAsia="zh-TW"/>
        </w:rPr>
        <w:tab/>
      </w:r>
      <w:r w:rsidRPr="00FC1484">
        <w:t>本公約締約國確認人人有權享受公平與良好之工作條件，尤須確保：</w:t>
      </w:r>
    </w:p>
    <w:p w:rsidR="00D02416" w:rsidRDefault="00CF6634" w:rsidP="00D02416">
      <w:pPr>
        <w:pStyle w:val="1---"/>
        <w:ind w:leftChars="400" w:left="1445" w:hangingChars="202" w:hanging="485"/>
        <w:rPr>
          <w:lang w:eastAsia="zh-TW"/>
        </w:rPr>
      </w:pPr>
      <w:r w:rsidRPr="00FC1484">
        <w:t>（一）所有工作者之報酬使其最低限度均能：</w:t>
      </w:r>
    </w:p>
    <w:p w:rsidR="00D02416" w:rsidRDefault="00CF6634" w:rsidP="00D02416">
      <w:pPr>
        <w:pStyle w:val="1---"/>
        <w:ind w:leftChars="700" w:left="2280" w:hangingChars="250" w:hanging="600"/>
        <w:rPr>
          <w:lang w:eastAsia="zh-TW"/>
        </w:rPr>
      </w:pPr>
      <w:r w:rsidRPr="00FC1484">
        <w:t>（</w:t>
      </w:r>
      <w:r w:rsidRPr="00FC1484">
        <w:t>1</w:t>
      </w:r>
      <w:r w:rsidRPr="00FC1484">
        <w:t>）獲得公允之工資，工作價值相等者享受同</w:t>
      </w:r>
      <w:r w:rsidRPr="00FC1484">
        <w:lastRenderedPageBreak/>
        <w:t>等報酬，不得有任何區別，尤須保證婦女之工作條件不得次於男子，且應同工同</w:t>
      </w:r>
      <w:r w:rsidR="003D0711">
        <w:rPr>
          <w:rFonts w:hint="eastAsia"/>
          <w:lang w:eastAsia="zh-TW"/>
        </w:rPr>
        <w:t xml:space="preserve">　</w:t>
      </w:r>
      <w:r w:rsidRPr="00FC1484">
        <w:t>酬；</w:t>
      </w:r>
    </w:p>
    <w:p w:rsidR="00CF6634" w:rsidRPr="00FC1484" w:rsidRDefault="00CF6634" w:rsidP="00D02416">
      <w:pPr>
        <w:pStyle w:val="1---"/>
        <w:ind w:leftChars="700" w:left="2280" w:hangingChars="250" w:hanging="600"/>
      </w:pPr>
      <w:r w:rsidRPr="00FC1484">
        <w:t>（</w:t>
      </w:r>
      <w:r w:rsidRPr="00FC1484">
        <w:t>2</w:t>
      </w:r>
      <w:r w:rsidRPr="00FC1484">
        <w:t>）維持本人及家屬符合本公約規定之合理生活水平；</w:t>
      </w:r>
    </w:p>
    <w:p w:rsidR="00CF6634" w:rsidRPr="00FC1484" w:rsidRDefault="00CF6634" w:rsidP="00A52BA8">
      <w:pPr>
        <w:pStyle w:val="1---"/>
        <w:ind w:leftChars="400" w:left="1704" w:hangingChars="310" w:hanging="744"/>
      </w:pPr>
      <w:r w:rsidRPr="00FC1484">
        <w:t>（二）</w:t>
      </w:r>
      <w:r w:rsidR="00A52BA8">
        <w:rPr>
          <w:rFonts w:hint="eastAsia"/>
          <w:lang w:eastAsia="zh-TW"/>
        </w:rPr>
        <w:tab/>
      </w:r>
      <w:r w:rsidRPr="00FC1484">
        <w:t>安全衛生之工作環境；</w:t>
      </w:r>
    </w:p>
    <w:p w:rsidR="00D02416" w:rsidRDefault="00CF6634" w:rsidP="00A52BA8">
      <w:pPr>
        <w:pStyle w:val="1---"/>
        <w:ind w:leftChars="400" w:left="1704" w:hangingChars="310" w:hanging="744"/>
        <w:rPr>
          <w:lang w:eastAsia="zh-TW"/>
        </w:rPr>
      </w:pPr>
      <w:r w:rsidRPr="00FC1484">
        <w:t>（三）</w:t>
      </w:r>
      <w:r w:rsidR="00A52BA8">
        <w:rPr>
          <w:rFonts w:hint="eastAsia"/>
          <w:lang w:eastAsia="zh-TW"/>
        </w:rPr>
        <w:tab/>
      </w:r>
      <w:r w:rsidRPr="00FC1484">
        <w:t>人人有平等機會於所就職業升至適當之較高等級，不受年資才能以外其他考慮之限制；</w:t>
      </w:r>
    </w:p>
    <w:p w:rsidR="00CF6634" w:rsidRPr="00FC1484" w:rsidRDefault="00CF6634" w:rsidP="00A52BA8">
      <w:pPr>
        <w:pStyle w:val="1---"/>
        <w:ind w:leftChars="400" w:left="1704" w:hangingChars="310" w:hanging="744"/>
      </w:pPr>
      <w:r w:rsidRPr="00FC1484">
        <w:t>（四）</w:t>
      </w:r>
      <w:r w:rsidR="00A52BA8">
        <w:rPr>
          <w:rFonts w:hint="eastAsia"/>
          <w:lang w:eastAsia="zh-TW"/>
        </w:rPr>
        <w:tab/>
      </w:r>
      <w:r w:rsidRPr="00FC1484">
        <w:t>休息、閒暇、工作時間之合理限制與照給薪資之定期休假，公共假日亦須給酬。</w:t>
      </w:r>
    </w:p>
    <w:p w:rsidR="00CF6634" w:rsidRPr="00FC1484" w:rsidRDefault="00CF6634" w:rsidP="00256C80">
      <w:pPr>
        <w:pStyle w:val="1---"/>
        <w:ind w:left="1500" w:hangingChars="625" w:hanging="1500"/>
      </w:pPr>
      <w:r w:rsidRPr="00FC1484">
        <w:t>第八條　一、本公約締約國承允確保：</w:t>
      </w:r>
    </w:p>
    <w:p w:rsidR="00CF6634" w:rsidRPr="00FC1484" w:rsidRDefault="00CF6634" w:rsidP="00D02416">
      <w:pPr>
        <w:pStyle w:val="1---"/>
        <w:ind w:leftChars="600" w:left="2174" w:hangingChars="306" w:hanging="734"/>
      </w:pPr>
      <w:r w:rsidRPr="00FC1484">
        <w:t>（一）</w:t>
      </w:r>
      <w:r w:rsidR="00D02416">
        <w:rPr>
          <w:rFonts w:hint="eastAsia"/>
          <w:lang w:eastAsia="zh-TW"/>
        </w:rPr>
        <w:tab/>
      </w:r>
      <w:r w:rsidRPr="00FC1484">
        <w:t>人人有權為促進及保障其經濟及社會利益而組織工會及加入其自身選擇之工會，僅</w:t>
      </w:r>
      <w:r w:rsidRPr="00FC1484">
        <w:rPr>
          <w:spacing w:val="-6"/>
        </w:rPr>
        <w:t>受關係組織規章之限制。除依法律之規定</w:t>
      </w:r>
      <w:r w:rsidRPr="00FC1484">
        <w:t>，且為民主社會維護國家安全或公共秩序、或保障他人權利自由所必要者外，不得限制此項權利之行使；</w:t>
      </w:r>
    </w:p>
    <w:p w:rsidR="00CF6634" w:rsidRPr="00FC1484" w:rsidRDefault="00CF6634" w:rsidP="00D02416">
      <w:pPr>
        <w:pStyle w:val="1---"/>
        <w:ind w:leftChars="600" w:left="2174" w:hangingChars="306" w:hanging="734"/>
      </w:pPr>
      <w:r w:rsidRPr="00FC1484">
        <w:t>（二）</w:t>
      </w:r>
      <w:r w:rsidR="00D02416">
        <w:rPr>
          <w:rFonts w:hint="eastAsia"/>
          <w:lang w:eastAsia="zh-TW"/>
        </w:rPr>
        <w:tab/>
      </w:r>
      <w:r w:rsidRPr="00FC1484">
        <w:t>工會有權成立全國聯合會或同盟，後者有權組織或參加國際工會組織；</w:t>
      </w:r>
    </w:p>
    <w:p w:rsidR="00CF6634" w:rsidRPr="00FC1484" w:rsidRDefault="00CF6634" w:rsidP="00A52BA8">
      <w:pPr>
        <w:pStyle w:val="1---"/>
        <w:ind w:leftChars="600" w:left="2174" w:hangingChars="306" w:hanging="734"/>
      </w:pPr>
      <w:r w:rsidRPr="00FC1484">
        <w:t>（三）</w:t>
      </w:r>
      <w:r w:rsidR="00D02416">
        <w:rPr>
          <w:rFonts w:hint="eastAsia"/>
          <w:lang w:eastAsia="zh-TW"/>
        </w:rPr>
        <w:tab/>
      </w:r>
      <w:r w:rsidRPr="00DB331A">
        <w:t>工會有權自由行使職權，除依法律之規定</w:t>
      </w:r>
      <w:r w:rsidRPr="00FC1484">
        <w:t>，且為民主社會維護國家安全或公共秩序、或保障他人權利自由所必要者外，不得限制此種權利之行使；</w:t>
      </w:r>
    </w:p>
    <w:p w:rsidR="00CF6634" w:rsidRPr="00FC1484" w:rsidRDefault="00CF6634" w:rsidP="00D02416">
      <w:pPr>
        <w:pStyle w:val="1---"/>
        <w:ind w:leftChars="600" w:left="2174" w:hangingChars="306" w:hanging="734"/>
      </w:pPr>
      <w:r w:rsidRPr="00FC1484">
        <w:t>（四）</w:t>
      </w:r>
      <w:r w:rsidR="00D02416">
        <w:rPr>
          <w:rFonts w:hint="eastAsia"/>
          <w:lang w:eastAsia="zh-TW"/>
        </w:rPr>
        <w:tab/>
      </w:r>
      <w:r w:rsidRPr="00FC1484">
        <w:t>罷工權利，但以其行使符合國家法律為</w:t>
      </w:r>
      <w:r w:rsidR="00D02416">
        <w:rPr>
          <w:rFonts w:hint="eastAsia"/>
          <w:lang w:eastAsia="zh-TW"/>
        </w:rPr>
        <w:t xml:space="preserve">  </w:t>
      </w:r>
      <w:r w:rsidRPr="00FC1484">
        <w:t>限。</w:t>
      </w:r>
    </w:p>
    <w:p w:rsidR="00CF6634" w:rsidRPr="00FC1484" w:rsidRDefault="00CF6634" w:rsidP="00A26703">
      <w:pPr>
        <w:pStyle w:val="1---"/>
        <w:ind w:leftChars="400" w:left="1445" w:hangingChars="202" w:hanging="485"/>
      </w:pPr>
      <w:r w:rsidRPr="00FC1484">
        <w:lastRenderedPageBreak/>
        <w:t>二、</w:t>
      </w:r>
      <w:r w:rsidR="00D02416">
        <w:rPr>
          <w:rFonts w:hint="eastAsia"/>
          <w:lang w:eastAsia="zh-TW"/>
        </w:rPr>
        <w:tab/>
      </w:r>
      <w:r w:rsidRPr="00FC1484">
        <w:t>本條並不禁止對軍警或國家行政機關人員行使此種權利，加以合法限制。</w:t>
      </w:r>
    </w:p>
    <w:p w:rsidR="00CF6634" w:rsidRPr="00FC1484" w:rsidRDefault="00CF6634" w:rsidP="00A26703">
      <w:pPr>
        <w:pStyle w:val="1---"/>
        <w:ind w:leftChars="400" w:left="1445" w:hangingChars="202" w:hanging="485"/>
      </w:pPr>
      <w:r w:rsidRPr="00FC1484">
        <w:t>三、</w:t>
      </w:r>
      <w:r w:rsidR="00D02416">
        <w:rPr>
          <w:rFonts w:hint="eastAsia"/>
          <w:lang w:eastAsia="zh-TW"/>
        </w:rPr>
        <w:tab/>
      </w:r>
      <w:r w:rsidRPr="00FC1484">
        <w:t>關於結社自由及保障組織權利之國際勞工組織一九四八年公約締約國，不得依據本條採取立法措施或應用法律，妨礙該公約所規定之保證。</w:t>
      </w:r>
    </w:p>
    <w:p w:rsidR="00CF6634" w:rsidRPr="00FC1484" w:rsidRDefault="00CF6634" w:rsidP="00274413">
      <w:pPr>
        <w:pStyle w:val="1---"/>
        <w:spacing w:after="190"/>
        <w:ind w:left="991" w:hangingChars="413" w:hanging="991"/>
      </w:pPr>
      <w:r w:rsidRPr="00FC1484">
        <w:t xml:space="preserve">第九條　</w:t>
      </w:r>
      <w:r w:rsidR="00232768">
        <w:rPr>
          <w:rFonts w:hint="eastAsia"/>
          <w:lang w:eastAsia="zh-TW"/>
        </w:rPr>
        <w:tab/>
      </w:r>
      <w:r w:rsidRPr="00FC1484">
        <w:t>本公約締約國確認人人有權享受社會保障，包括社會保險。</w:t>
      </w:r>
    </w:p>
    <w:p w:rsidR="00CF6634" w:rsidRPr="00FC1484" w:rsidRDefault="00CF6634" w:rsidP="00A60757">
      <w:pPr>
        <w:pStyle w:val="1---"/>
        <w:ind w:left="991" w:hangingChars="413" w:hanging="991"/>
      </w:pPr>
      <w:r w:rsidRPr="00FC1484">
        <w:t>第十條　本公約締約國確認：</w:t>
      </w:r>
    </w:p>
    <w:p w:rsidR="00CF6634" w:rsidRPr="00FC1484" w:rsidRDefault="00CF6634" w:rsidP="00A26703">
      <w:pPr>
        <w:pStyle w:val="1---"/>
        <w:ind w:leftChars="400" w:left="1445" w:hangingChars="202" w:hanging="485"/>
      </w:pPr>
      <w:r w:rsidRPr="00FC1484">
        <w:t>一、</w:t>
      </w:r>
      <w:r w:rsidR="00D02416">
        <w:rPr>
          <w:rFonts w:hint="eastAsia"/>
          <w:lang w:eastAsia="zh-TW"/>
        </w:rPr>
        <w:tab/>
      </w:r>
      <w:r w:rsidRPr="00FC1484">
        <w:t>家庭為社會之自然基本團體單位，應儘力廣予保護與協助，其成立及當其負責養護教育受扶養之兒童時，尤應予以保護與協助。婚姻必須婚嫁雙方自由同意方得締結。</w:t>
      </w:r>
    </w:p>
    <w:p w:rsidR="00CF6634" w:rsidRPr="00FC1484" w:rsidRDefault="00CF6634" w:rsidP="00A26703">
      <w:pPr>
        <w:pStyle w:val="1---"/>
        <w:ind w:leftChars="400" w:left="1445" w:hangingChars="202" w:hanging="485"/>
      </w:pPr>
      <w:r w:rsidRPr="00FC1484">
        <w:t>二、</w:t>
      </w:r>
      <w:r w:rsidR="00D02416">
        <w:rPr>
          <w:rFonts w:hint="eastAsia"/>
          <w:lang w:eastAsia="zh-TW"/>
        </w:rPr>
        <w:tab/>
      </w:r>
      <w:r w:rsidRPr="00FC1484">
        <w:t>母親於分娩前後相當期間內應受特別保護。工作之母親在此期間應享受照給薪資或有適當社會保障福利之休假。</w:t>
      </w:r>
    </w:p>
    <w:p w:rsidR="00CF6634" w:rsidRPr="00FC1484" w:rsidRDefault="00CF6634" w:rsidP="00A26703">
      <w:pPr>
        <w:pStyle w:val="1---"/>
        <w:ind w:leftChars="400" w:left="1445" w:hangingChars="202" w:hanging="485"/>
      </w:pPr>
      <w:r w:rsidRPr="00FC1484">
        <w:t>三、</w:t>
      </w:r>
      <w:r w:rsidR="00D02416">
        <w:rPr>
          <w:rFonts w:hint="eastAsia"/>
          <w:lang w:eastAsia="zh-TW"/>
        </w:rPr>
        <w:tab/>
      </w:r>
      <w:r w:rsidRPr="00FC1484">
        <w:t>所有兒童及少年應有特種措施予以保護與協助，不得因出生或其他關係而受任何歧視。兒童及青年應有保障、免受經濟及社會剝削。凡僱用兒童及少年從事對其道德或健康有害、或有生命危險、或可能妨礙正常發育之工作者均應依法懲罰。國家亦應訂定年齡限制，凡出資僱用未及齡之童工，均應禁止並應依法懲罰。</w:t>
      </w:r>
    </w:p>
    <w:p w:rsidR="00CF6634" w:rsidRPr="00FC1484" w:rsidRDefault="00CF6634" w:rsidP="00A60757">
      <w:pPr>
        <w:pStyle w:val="1---"/>
        <w:ind w:left="1699" w:hangingChars="708" w:hanging="1699"/>
      </w:pPr>
      <w:r w:rsidRPr="00FC1484">
        <w:t>第十一條　一、</w:t>
      </w:r>
      <w:r w:rsidR="00D02416">
        <w:rPr>
          <w:rFonts w:hint="eastAsia"/>
          <w:lang w:eastAsia="zh-TW"/>
        </w:rPr>
        <w:tab/>
      </w:r>
      <w:r w:rsidRPr="00FC1484">
        <w:t>本公約締約國確認人人有權享受其本人及家屬所需之適當生活程度，包括適當之衣食住及不</w:t>
      </w:r>
      <w:r w:rsidRPr="00FC1484">
        <w:lastRenderedPageBreak/>
        <w:t>斷改善之生活環境。締約國將採取適當步驟確保此種權利之實現，同時確認在此方面基於自由同意之國際合作極為重要。</w:t>
      </w:r>
    </w:p>
    <w:p w:rsidR="00CF6634" w:rsidRPr="00FC1484" w:rsidRDefault="00CF6634" w:rsidP="00D02416">
      <w:pPr>
        <w:pStyle w:val="1---"/>
        <w:ind w:leftChars="500" w:left="1706" w:hangingChars="211" w:hanging="506"/>
      </w:pPr>
      <w:r w:rsidRPr="00FC1484">
        <w:t>二、</w:t>
      </w:r>
      <w:r w:rsidR="00D02416">
        <w:rPr>
          <w:rFonts w:hint="eastAsia"/>
          <w:lang w:eastAsia="zh-TW"/>
        </w:rPr>
        <w:tab/>
      </w:r>
      <w:r w:rsidRPr="00FC1484">
        <w:t>本公約締約國既確認人人有免受饑餓之基本權利，應個別及經由國際合作，採取為下列目的所需之措施，包括特定方案在內：</w:t>
      </w:r>
    </w:p>
    <w:p w:rsidR="00D02416" w:rsidRDefault="00CF6634" w:rsidP="00A52BA8">
      <w:pPr>
        <w:pStyle w:val="1---"/>
        <w:ind w:leftChars="700" w:left="2424" w:hangingChars="310" w:hanging="744"/>
        <w:rPr>
          <w:lang w:eastAsia="zh-TW"/>
        </w:rPr>
      </w:pPr>
      <w:r w:rsidRPr="00FC1484">
        <w:t>（一）</w:t>
      </w:r>
      <w:r w:rsidR="00E77ED6">
        <w:rPr>
          <w:rFonts w:hint="eastAsia"/>
          <w:lang w:eastAsia="zh-TW"/>
        </w:rPr>
        <w:tab/>
      </w:r>
      <w:r w:rsidRPr="00FC1484">
        <w:t>充分利用技術與科學知識、傳佈營養原則之知識、及發展或改革土地制度而使天然資源獲得最有效之開發與利用，以改進糧食生產、保貯及分配之方法；</w:t>
      </w:r>
    </w:p>
    <w:p w:rsidR="00CF6634" w:rsidRPr="00FC1484" w:rsidRDefault="00CF6634" w:rsidP="00A52BA8">
      <w:pPr>
        <w:pStyle w:val="1---"/>
        <w:ind w:leftChars="700" w:left="2424" w:hangingChars="310" w:hanging="744"/>
      </w:pPr>
      <w:r w:rsidRPr="00FC1484">
        <w:t>（二）</w:t>
      </w:r>
      <w:r w:rsidR="00E77ED6">
        <w:rPr>
          <w:rFonts w:hint="eastAsia"/>
          <w:lang w:eastAsia="zh-TW"/>
        </w:rPr>
        <w:tab/>
      </w:r>
      <w:r w:rsidRPr="00FC1484">
        <w:t>計及糧食輸入及輸出國家雙方問題，確保世界糧食供應按照需要，公平分配。</w:t>
      </w:r>
    </w:p>
    <w:p w:rsidR="00CF6634" w:rsidRPr="00FC1484" w:rsidRDefault="00CF6634" w:rsidP="00A60757">
      <w:pPr>
        <w:pStyle w:val="1---"/>
        <w:ind w:left="1699" w:hangingChars="708" w:hanging="1699"/>
      </w:pPr>
      <w:r w:rsidRPr="00FC1484">
        <w:t>第十二條　一、</w:t>
      </w:r>
      <w:r w:rsidR="00D02416">
        <w:rPr>
          <w:rFonts w:hint="eastAsia"/>
          <w:lang w:eastAsia="zh-TW"/>
        </w:rPr>
        <w:tab/>
      </w:r>
      <w:r w:rsidRPr="00FC1484">
        <w:t>本公約締約國確認人人有權享受可能達到之最高標準之身體與精神健康。</w:t>
      </w:r>
    </w:p>
    <w:p w:rsidR="00CF6634" w:rsidRPr="00FC1484" w:rsidRDefault="00CF6634" w:rsidP="00D02416">
      <w:pPr>
        <w:pStyle w:val="1---"/>
        <w:ind w:leftChars="500" w:left="1706" w:hangingChars="211" w:hanging="506"/>
      </w:pPr>
      <w:r w:rsidRPr="00FC1484">
        <w:t>二、</w:t>
      </w:r>
      <w:r w:rsidR="00D02416">
        <w:rPr>
          <w:rFonts w:hint="eastAsia"/>
          <w:lang w:eastAsia="zh-TW"/>
        </w:rPr>
        <w:tab/>
      </w:r>
      <w:r w:rsidRPr="00FC1484">
        <w:t>本公約締約國為求充分實現此種權利所採取之步驟，應包括為達成下列目的所必要之措施：</w:t>
      </w:r>
    </w:p>
    <w:p w:rsidR="00CF6634" w:rsidRPr="00FC1484" w:rsidRDefault="00CF6634" w:rsidP="00A52BA8">
      <w:pPr>
        <w:pStyle w:val="1---"/>
        <w:ind w:leftChars="700" w:left="2424" w:hangingChars="310" w:hanging="744"/>
      </w:pPr>
      <w:r w:rsidRPr="00FC1484">
        <w:t>（一）</w:t>
      </w:r>
      <w:r w:rsidR="00E77ED6">
        <w:rPr>
          <w:rFonts w:hint="eastAsia"/>
          <w:lang w:eastAsia="zh-TW"/>
        </w:rPr>
        <w:tab/>
      </w:r>
      <w:r w:rsidRPr="00FC1484">
        <w:t>設法減低死產率及嬰兒死亡率，並促進兒童之健康發育；</w:t>
      </w:r>
    </w:p>
    <w:p w:rsidR="00CF6634" w:rsidRPr="00FC1484" w:rsidRDefault="00CF6634" w:rsidP="00A52BA8">
      <w:pPr>
        <w:pStyle w:val="1---"/>
        <w:ind w:leftChars="700" w:left="2424" w:hangingChars="310" w:hanging="744"/>
      </w:pPr>
      <w:r w:rsidRPr="00FC1484">
        <w:t>（二）</w:t>
      </w:r>
      <w:r w:rsidR="00E77ED6">
        <w:rPr>
          <w:rFonts w:hint="eastAsia"/>
          <w:lang w:eastAsia="zh-TW"/>
        </w:rPr>
        <w:tab/>
      </w:r>
      <w:r w:rsidRPr="00FC1484">
        <w:t>改良環境及工業衛生之所有方面；</w:t>
      </w:r>
    </w:p>
    <w:p w:rsidR="00CF6634" w:rsidRPr="00FC1484" w:rsidRDefault="00CF6634" w:rsidP="00A52BA8">
      <w:pPr>
        <w:pStyle w:val="1---"/>
        <w:ind w:leftChars="700" w:left="2424" w:hangingChars="310" w:hanging="744"/>
      </w:pPr>
      <w:r w:rsidRPr="00FC1484">
        <w:t>（三）</w:t>
      </w:r>
      <w:r w:rsidR="00E77ED6">
        <w:rPr>
          <w:rFonts w:hint="eastAsia"/>
          <w:lang w:eastAsia="zh-TW"/>
        </w:rPr>
        <w:tab/>
      </w:r>
      <w:r w:rsidRPr="00FC1484">
        <w:t>預防、療治及撲滅各種傳染病、風土病、職業病及其他疾病；</w:t>
      </w:r>
    </w:p>
    <w:p w:rsidR="00CF6634" w:rsidRPr="00FC1484" w:rsidRDefault="00CF6634" w:rsidP="00A52BA8">
      <w:pPr>
        <w:pStyle w:val="1---"/>
        <w:ind w:leftChars="700" w:left="2424" w:hangingChars="310" w:hanging="744"/>
      </w:pPr>
      <w:r w:rsidRPr="00FC1484">
        <w:t>（四）</w:t>
      </w:r>
      <w:r w:rsidR="00E77ED6">
        <w:rPr>
          <w:rFonts w:hint="eastAsia"/>
          <w:lang w:eastAsia="zh-TW"/>
        </w:rPr>
        <w:tab/>
      </w:r>
      <w:r w:rsidRPr="00FC1484">
        <w:t>創造環境，確保人人患病時均能享受醫藥服務與醫藥護理。</w:t>
      </w:r>
    </w:p>
    <w:p w:rsidR="00CF6634" w:rsidRPr="00FC1484" w:rsidRDefault="00CF6634" w:rsidP="00A60757">
      <w:pPr>
        <w:pStyle w:val="1---"/>
        <w:ind w:left="1699" w:hangingChars="708" w:hanging="1699"/>
      </w:pPr>
      <w:r w:rsidRPr="00FC1484">
        <w:t>第十三條　一、</w:t>
      </w:r>
      <w:r w:rsidR="00D02416">
        <w:rPr>
          <w:rFonts w:hint="eastAsia"/>
          <w:lang w:eastAsia="zh-TW"/>
        </w:rPr>
        <w:tab/>
      </w:r>
      <w:r w:rsidRPr="00FC1484">
        <w:t>本公約締約國確認人人有受教育之權。締約國公認教育應謀人格及人格尊嚴意識之充分發展</w:t>
      </w:r>
      <w:r w:rsidRPr="00FC1484">
        <w:lastRenderedPageBreak/>
        <w:t>，增強對人權與基本自由之尊重。締約國又公認教育應使人人均能參加自由社會積極貢獻，應促進各民族間及各種族、人種或宗教團體間之了解、容</w:t>
      </w:r>
      <w:r w:rsidRPr="00A37759">
        <w:t>恕及友好關係，並應推進聯合國維持和平之工作。</w:t>
      </w:r>
    </w:p>
    <w:p w:rsidR="00CF6634" w:rsidRPr="00FC1484" w:rsidRDefault="00CF6634" w:rsidP="00D02416">
      <w:pPr>
        <w:pStyle w:val="1---"/>
        <w:ind w:leftChars="500" w:left="1706" w:hangingChars="211" w:hanging="506"/>
      </w:pPr>
      <w:r w:rsidRPr="00FC1484">
        <w:t>二、</w:t>
      </w:r>
      <w:r w:rsidR="00D02416">
        <w:rPr>
          <w:rFonts w:hint="eastAsia"/>
          <w:lang w:eastAsia="zh-TW"/>
        </w:rPr>
        <w:tab/>
      </w:r>
      <w:r w:rsidRPr="00FC1484">
        <w:t>本公約締約國為求充分實現此種權利起見，確認：</w:t>
      </w:r>
    </w:p>
    <w:p w:rsidR="00CF6634" w:rsidRPr="00FC1484" w:rsidRDefault="00CF6634" w:rsidP="00A52BA8">
      <w:pPr>
        <w:pStyle w:val="1---"/>
        <w:ind w:leftChars="700" w:left="2424" w:hangingChars="310" w:hanging="744"/>
      </w:pPr>
      <w:r w:rsidRPr="00FC1484">
        <w:t>（一）</w:t>
      </w:r>
      <w:r w:rsidR="00E77ED6">
        <w:rPr>
          <w:rFonts w:hint="eastAsia"/>
          <w:lang w:eastAsia="zh-TW"/>
        </w:rPr>
        <w:tab/>
      </w:r>
      <w:r w:rsidRPr="00FC1484">
        <w:t>初等教育應屬強迫性質，免費普及全</w:t>
      </w:r>
      <w:r w:rsidR="00394D91">
        <w:rPr>
          <w:rFonts w:hint="eastAsia"/>
          <w:lang w:eastAsia="zh-TW"/>
        </w:rPr>
        <w:t xml:space="preserve">  </w:t>
      </w:r>
      <w:r w:rsidRPr="00FC1484">
        <w:t>民；</w:t>
      </w:r>
    </w:p>
    <w:p w:rsidR="00CF6634" w:rsidRPr="00FC1484" w:rsidRDefault="00CF6634" w:rsidP="00A52BA8">
      <w:pPr>
        <w:pStyle w:val="1---"/>
        <w:ind w:leftChars="700" w:left="2424" w:hangingChars="310" w:hanging="744"/>
      </w:pPr>
      <w:r w:rsidRPr="00FC1484">
        <w:t>（二）</w:t>
      </w:r>
      <w:r w:rsidR="00E77ED6">
        <w:rPr>
          <w:rFonts w:hint="eastAsia"/>
          <w:lang w:eastAsia="zh-TW"/>
        </w:rPr>
        <w:tab/>
      </w:r>
      <w:r w:rsidRPr="00FC1484">
        <w:t>各種中等教育，包括技術及職業中等教育在內，應以一切適當方法，特別應逐漸採行免費教育制度，廣行舉辦，庶使人人均有接受機會；</w:t>
      </w:r>
    </w:p>
    <w:p w:rsidR="00CF6634" w:rsidRPr="00FC1484" w:rsidRDefault="00CF6634" w:rsidP="00A52BA8">
      <w:pPr>
        <w:pStyle w:val="1---"/>
        <w:ind w:leftChars="700" w:left="2424" w:hangingChars="310" w:hanging="744"/>
      </w:pPr>
      <w:r w:rsidRPr="00FC1484">
        <w:t>（三）</w:t>
      </w:r>
      <w:r w:rsidR="00E77ED6">
        <w:rPr>
          <w:rFonts w:hint="eastAsia"/>
          <w:lang w:eastAsia="zh-TW"/>
        </w:rPr>
        <w:tab/>
      </w:r>
      <w:r w:rsidRPr="00FC1484">
        <w:t>高等教育應根據能力，以一切適當方法，特別應逐漸採行免費教育制度，使人人有平等接受機會；</w:t>
      </w:r>
    </w:p>
    <w:p w:rsidR="00CF6634" w:rsidRPr="00FC1484" w:rsidRDefault="00CF6634" w:rsidP="00A52BA8">
      <w:pPr>
        <w:pStyle w:val="1---"/>
        <w:ind w:leftChars="700" w:left="2424" w:hangingChars="310" w:hanging="744"/>
      </w:pPr>
      <w:r w:rsidRPr="00FC1484">
        <w:t>（四）</w:t>
      </w:r>
      <w:r w:rsidR="00E77ED6">
        <w:rPr>
          <w:rFonts w:hint="eastAsia"/>
          <w:lang w:eastAsia="zh-TW"/>
        </w:rPr>
        <w:tab/>
      </w:r>
      <w:r w:rsidRPr="00FC1484">
        <w:t>基本教育應儘量予以鼓勵或加緊辦理，以利未受初等教育或未能完成初等教育之人；</w:t>
      </w:r>
    </w:p>
    <w:p w:rsidR="00CF6634" w:rsidRPr="00FC1484" w:rsidRDefault="00CF6634" w:rsidP="00A52BA8">
      <w:pPr>
        <w:pStyle w:val="1---"/>
        <w:ind w:leftChars="700" w:left="2424" w:hangingChars="310" w:hanging="744"/>
      </w:pPr>
      <w:r w:rsidRPr="00FC1484">
        <w:t>（五）</w:t>
      </w:r>
      <w:r w:rsidR="00E77ED6">
        <w:rPr>
          <w:rFonts w:hint="eastAsia"/>
          <w:lang w:eastAsia="zh-TW"/>
        </w:rPr>
        <w:tab/>
      </w:r>
      <w:r w:rsidRPr="00FC1484">
        <w:t>各級學校完備之制度應予積極發展，適當之獎學金制度應予設置，教育人員之物質條件亦應不斷改善。</w:t>
      </w:r>
    </w:p>
    <w:p w:rsidR="00CF6634" w:rsidRPr="00FC1484" w:rsidRDefault="00CF6634" w:rsidP="00D02416">
      <w:pPr>
        <w:pStyle w:val="1---"/>
        <w:ind w:leftChars="500" w:left="1706" w:hangingChars="211" w:hanging="506"/>
      </w:pPr>
      <w:r w:rsidRPr="00FC1484">
        <w:t>三、</w:t>
      </w:r>
      <w:r w:rsidR="00D02416">
        <w:rPr>
          <w:rFonts w:hint="eastAsia"/>
          <w:lang w:eastAsia="zh-TW"/>
        </w:rPr>
        <w:tab/>
      </w:r>
      <w:r w:rsidRPr="00FC1484">
        <w:t>本公約締約國承允尊重父母或法定監護人為子女選擇符合國家所規定或認可最低教育標準之非公立學校，及確保子女接受符合其本人信仰</w:t>
      </w:r>
      <w:r w:rsidRPr="00FC1484">
        <w:lastRenderedPageBreak/>
        <w:t>之宗教及道德教育之自由。</w:t>
      </w:r>
    </w:p>
    <w:p w:rsidR="00CF6634" w:rsidRPr="00FC1484" w:rsidRDefault="00CF6634" w:rsidP="00D02416">
      <w:pPr>
        <w:pStyle w:val="1---"/>
        <w:ind w:leftChars="500" w:left="1706" w:hangingChars="211" w:hanging="506"/>
      </w:pPr>
      <w:r w:rsidRPr="00FC1484">
        <w:t>四、</w:t>
      </w:r>
      <w:r w:rsidR="00D02416">
        <w:rPr>
          <w:rFonts w:hint="eastAsia"/>
          <w:lang w:eastAsia="zh-TW"/>
        </w:rPr>
        <w:tab/>
      </w:r>
      <w:r w:rsidRPr="00FC1484">
        <w:t>本條任何部分不得解釋為干涉個人或團體設立及管理教育機構之自由，但以遵守本條第一項所載原則及此等機構所施教育符合國家所定最低標準為限。</w:t>
      </w:r>
    </w:p>
    <w:p w:rsidR="00CF6634" w:rsidRPr="00FC1484" w:rsidRDefault="00CF6634" w:rsidP="00A60757">
      <w:pPr>
        <w:pStyle w:val="1---"/>
        <w:ind w:left="1214" w:hangingChars="506" w:hanging="1214"/>
      </w:pPr>
      <w:r w:rsidRPr="00FC1484">
        <w:t xml:space="preserve">第十四條　</w:t>
      </w:r>
      <w:r w:rsidR="00232768">
        <w:rPr>
          <w:rFonts w:hint="eastAsia"/>
          <w:lang w:eastAsia="zh-TW"/>
        </w:rPr>
        <w:tab/>
      </w:r>
      <w:r w:rsidRPr="00FC1484">
        <w:t>本公約締約國倘成為締約國時尚未能在其本土或其所管轄之其他領土內推行免費強迫初等教育，承允在兩年內訂定周詳行動計劃，庶期在計劃所訂之合理年限內，逐漸實施普遍免費強迫教育之原則。</w:t>
      </w:r>
    </w:p>
    <w:p w:rsidR="00CF6634" w:rsidRPr="00FC1484" w:rsidRDefault="00CF6634" w:rsidP="00A60757">
      <w:pPr>
        <w:pStyle w:val="1---"/>
        <w:ind w:left="991" w:hangingChars="413" w:hanging="991"/>
      </w:pPr>
      <w:r w:rsidRPr="00FC1484">
        <w:t>第十五條　一、本公約締約國確認人人有權：</w:t>
      </w:r>
    </w:p>
    <w:p w:rsidR="00CF6634" w:rsidRPr="00FC1484" w:rsidRDefault="00CF6634" w:rsidP="00A52BA8">
      <w:pPr>
        <w:pStyle w:val="1---"/>
        <w:ind w:leftChars="700" w:left="2424" w:hangingChars="310" w:hanging="744"/>
      </w:pPr>
      <w:r w:rsidRPr="00FC1484">
        <w:t>（一）</w:t>
      </w:r>
      <w:r w:rsidR="00E77ED6">
        <w:rPr>
          <w:rFonts w:hint="eastAsia"/>
          <w:lang w:eastAsia="zh-TW"/>
        </w:rPr>
        <w:tab/>
      </w:r>
      <w:r w:rsidRPr="00FC1484">
        <w:t>參加文化生活；</w:t>
      </w:r>
    </w:p>
    <w:p w:rsidR="00CF6634" w:rsidRPr="00FC1484" w:rsidRDefault="00CF6634" w:rsidP="00A52BA8">
      <w:pPr>
        <w:pStyle w:val="1---"/>
        <w:ind w:leftChars="700" w:left="2424" w:hangingChars="310" w:hanging="744"/>
      </w:pPr>
      <w:r w:rsidRPr="00FC1484">
        <w:t>（二）</w:t>
      </w:r>
      <w:r w:rsidR="00E77ED6">
        <w:rPr>
          <w:rFonts w:hint="eastAsia"/>
          <w:lang w:eastAsia="zh-TW"/>
        </w:rPr>
        <w:tab/>
      </w:r>
      <w:r w:rsidRPr="00FC1484">
        <w:t>享受科學進步及其應用之惠；</w:t>
      </w:r>
    </w:p>
    <w:p w:rsidR="00CF6634" w:rsidRPr="00FC1484" w:rsidRDefault="00CF6634" w:rsidP="00A52BA8">
      <w:pPr>
        <w:pStyle w:val="1---"/>
        <w:ind w:leftChars="700" w:left="2424" w:hangingChars="310" w:hanging="744"/>
      </w:pPr>
      <w:r w:rsidRPr="00FC1484">
        <w:t>（三）</w:t>
      </w:r>
      <w:r w:rsidR="00E77ED6">
        <w:rPr>
          <w:rFonts w:hint="eastAsia"/>
          <w:lang w:eastAsia="zh-TW"/>
        </w:rPr>
        <w:tab/>
      </w:r>
      <w:r w:rsidRPr="00FC1484">
        <w:t>對其本人之任何科學、文學或藝術作品所獲得之精神與物質利益，享受保護之惠。</w:t>
      </w:r>
    </w:p>
    <w:p w:rsidR="00CF6634" w:rsidRPr="00FC1484" w:rsidRDefault="00CF6634" w:rsidP="00D02416">
      <w:pPr>
        <w:pStyle w:val="1---"/>
        <w:ind w:leftChars="500" w:left="1706" w:hangingChars="211" w:hanging="506"/>
      </w:pPr>
      <w:r w:rsidRPr="00FC1484">
        <w:t>二、</w:t>
      </w:r>
      <w:r w:rsidR="00D02416">
        <w:rPr>
          <w:rFonts w:hint="eastAsia"/>
          <w:lang w:eastAsia="zh-TW"/>
        </w:rPr>
        <w:tab/>
      </w:r>
      <w:r w:rsidRPr="00FC1484">
        <w:t>本公約締約國為求充分實現此種權利而採取之步驟，應包括保存、發揚及傳播科學與文化所必要之辦法。</w:t>
      </w:r>
    </w:p>
    <w:p w:rsidR="00CF6634" w:rsidRPr="00FC1484" w:rsidRDefault="00CF6634" w:rsidP="00D02416">
      <w:pPr>
        <w:pStyle w:val="1---"/>
        <w:ind w:leftChars="500" w:left="1706" w:hangingChars="211" w:hanging="506"/>
      </w:pPr>
      <w:r w:rsidRPr="00FC1484">
        <w:t>三、</w:t>
      </w:r>
      <w:r w:rsidR="00D02416">
        <w:rPr>
          <w:rFonts w:hint="eastAsia"/>
          <w:lang w:eastAsia="zh-TW"/>
        </w:rPr>
        <w:tab/>
      </w:r>
      <w:r w:rsidRPr="00FC1484">
        <w:t>本公約締約國承允尊重科學研究及創作活動所不可缺少之自由。</w:t>
      </w:r>
    </w:p>
    <w:p w:rsidR="00CF6634" w:rsidRPr="00FC1484" w:rsidRDefault="00CF6634" w:rsidP="00D02416">
      <w:pPr>
        <w:pStyle w:val="1---"/>
        <w:ind w:leftChars="500" w:left="1706" w:hangingChars="211" w:hanging="506"/>
      </w:pPr>
      <w:r w:rsidRPr="00FC1484">
        <w:t>四、</w:t>
      </w:r>
      <w:r w:rsidR="00D02416">
        <w:rPr>
          <w:rFonts w:hint="eastAsia"/>
          <w:lang w:eastAsia="zh-TW"/>
        </w:rPr>
        <w:tab/>
      </w:r>
      <w:r w:rsidRPr="00FC1484">
        <w:t>本公約締約國確認鼓勵及發展科學文化方面國際接觸與合作之利。</w:t>
      </w:r>
    </w:p>
    <w:p w:rsidR="00CF6634" w:rsidRPr="00FC1484" w:rsidRDefault="00CF6634" w:rsidP="00CF6634">
      <w:pPr>
        <w:pStyle w:val="affa"/>
        <w:spacing w:before="190" w:after="190"/>
        <w:rPr>
          <w:rFonts w:ascii="Times New Roman"/>
        </w:rPr>
      </w:pPr>
      <w:r w:rsidRPr="00FC1484">
        <w:rPr>
          <w:rFonts w:ascii="Times New Roman"/>
        </w:rPr>
        <w:t>第</w:t>
      </w:r>
      <w:r w:rsidR="009E4D29">
        <w:rPr>
          <w:rFonts w:ascii="Times New Roman" w:hint="eastAsia"/>
        </w:rPr>
        <w:t xml:space="preserve"> </w:t>
      </w:r>
      <w:r w:rsidRPr="00FC1484">
        <w:rPr>
          <w:rFonts w:ascii="Times New Roman"/>
        </w:rPr>
        <w:t>肆</w:t>
      </w:r>
      <w:r w:rsidR="009E4D29">
        <w:rPr>
          <w:rFonts w:ascii="Times New Roman" w:hint="eastAsia"/>
        </w:rPr>
        <w:t xml:space="preserve"> </w:t>
      </w:r>
      <w:r w:rsidRPr="00FC1484">
        <w:rPr>
          <w:rFonts w:ascii="Times New Roman"/>
        </w:rPr>
        <w:t>編</w:t>
      </w:r>
    </w:p>
    <w:p w:rsidR="00CF6634" w:rsidRPr="00FC1484" w:rsidRDefault="00CF6634" w:rsidP="00A60757">
      <w:pPr>
        <w:pStyle w:val="1---"/>
        <w:ind w:left="1699" w:hangingChars="708" w:hanging="1699"/>
      </w:pPr>
      <w:r w:rsidRPr="00FC1484">
        <w:t>第十六條　一、</w:t>
      </w:r>
      <w:r w:rsidR="00D02416">
        <w:rPr>
          <w:rFonts w:hint="eastAsia"/>
          <w:lang w:eastAsia="zh-TW"/>
        </w:rPr>
        <w:tab/>
      </w:r>
      <w:r w:rsidRPr="00FC1484">
        <w:t>本公約締約國承允依照本公約本編規定，各就</w:t>
      </w:r>
      <w:r w:rsidRPr="00FC1484">
        <w:lastRenderedPageBreak/>
        <w:t>其促進遵守本公約所確認各種權利而採取之措施及所獲之進展，提具報告書。</w:t>
      </w:r>
    </w:p>
    <w:p w:rsidR="00CF6634" w:rsidRPr="00FC1484" w:rsidRDefault="00CF6634" w:rsidP="00E77ED6">
      <w:pPr>
        <w:pStyle w:val="1---"/>
        <w:ind w:leftChars="500" w:left="2424" w:hangingChars="510" w:hanging="1224"/>
      </w:pPr>
      <w:r w:rsidRPr="00FC1484">
        <w:t>二、（一）</w:t>
      </w:r>
      <w:r w:rsidR="00E77ED6">
        <w:rPr>
          <w:rFonts w:hint="eastAsia"/>
          <w:lang w:eastAsia="zh-TW"/>
        </w:rPr>
        <w:tab/>
      </w:r>
      <w:r w:rsidRPr="00FC1484">
        <w:t>所有報告書應提交聯合國秘書長，秘書長應將副本送由經濟暨社會理事會依據本公約規定審議；</w:t>
      </w:r>
    </w:p>
    <w:p w:rsidR="00CF6634" w:rsidRPr="00FC1484" w:rsidRDefault="00CF6634" w:rsidP="00A52BA8">
      <w:pPr>
        <w:pStyle w:val="1---"/>
        <w:ind w:leftChars="700" w:left="2424" w:hangingChars="310" w:hanging="744"/>
      </w:pPr>
      <w:r w:rsidRPr="00FC1484">
        <w:t>（二）</w:t>
      </w:r>
      <w:r w:rsidR="00E77ED6">
        <w:rPr>
          <w:rFonts w:hint="eastAsia"/>
          <w:lang w:eastAsia="zh-TW"/>
        </w:rPr>
        <w:tab/>
      </w:r>
      <w:r w:rsidRPr="00FC1484">
        <w:t>如本公約締約國亦為專門機關會員國，其所遞報告書或其中任何部分涉及之事項，依據各該專門機關之組織法係屬其責任範圍者，聯合國秘書長亦應將報告書副本或其中任何有關部分，轉送各該專門機關。</w:t>
      </w:r>
    </w:p>
    <w:p w:rsidR="00CF6634" w:rsidRPr="00FC1484" w:rsidRDefault="00CF6634" w:rsidP="00A60757">
      <w:pPr>
        <w:pStyle w:val="1---"/>
        <w:ind w:left="1699" w:hangingChars="708" w:hanging="1699"/>
      </w:pPr>
      <w:r w:rsidRPr="00FC1484">
        <w:t>第十七條　一、</w:t>
      </w:r>
      <w:r w:rsidR="00D02416">
        <w:rPr>
          <w:rFonts w:hint="eastAsia"/>
          <w:lang w:eastAsia="zh-TW"/>
        </w:rPr>
        <w:tab/>
      </w:r>
      <w:r w:rsidRPr="00FC1484">
        <w:t>本公約締約國應按經濟暨社會理事會於本公約生效後一年內與締約國及各有關專門機關商洽訂定之辦法，分期提出報告書。</w:t>
      </w:r>
    </w:p>
    <w:p w:rsidR="00CF6634" w:rsidRPr="00FC1484" w:rsidRDefault="00CF6634" w:rsidP="00D02416">
      <w:pPr>
        <w:pStyle w:val="1---"/>
        <w:ind w:leftChars="500" w:left="1706" w:hangingChars="211" w:hanging="506"/>
      </w:pPr>
      <w:r w:rsidRPr="00FC1484">
        <w:t>二、</w:t>
      </w:r>
      <w:r w:rsidR="00D02416">
        <w:rPr>
          <w:rFonts w:hint="eastAsia"/>
          <w:lang w:eastAsia="zh-TW"/>
        </w:rPr>
        <w:tab/>
      </w:r>
      <w:r w:rsidRPr="00FC1484">
        <w:t>報告書中得說明由於何種因素或困難以致影響本公約所規定各種義務履行之程度。</w:t>
      </w:r>
    </w:p>
    <w:p w:rsidR="00CF6634" w:rsidRPr="00FC1484" w:rsidRDefault="00CF6634" w:rsidP="00D02416">
      <w:pPr>
        <w:pStyle w:val="1---"/>
        <w:ind w:leftChars="500" w:left="1706" w:hangingChars="211" w:hanging="506"/>
      </w:pPr>
      <w:r w:rsidRPr="00FC1484">
        <w:t>三、</w:t>
      </w:r>
      <w:r w:rsidR="00D02416">
        <w:rPr>
          <w:rFonts w:hint="eastAsia"/>
          <w:lang w:eastAsia="zh-TW"/>
        </w:rPr>
        <w:tab/>
      </w:r>
      <w:r w:rsidRPr="00FC1484">
        <w:t>倘有關之情報前經本公約締約國提送聯合國或任何專門機關在案，該國得僅明確註明該項情報已見何處，不必重行提送。</w:t>
      </w:r>
    </w:p>
    <w:p w:rsidR="00CF6634" w:rsidRPr="00FC1484" w:rsidRDefault="00CF6634" w:rsidP="00232768">
      <w:pPr>
        <w:pStyle w:val="1---"/>
        <w:ind w:left="1224" w:hangingChars="510" w:hanging="1224"/>
      </w:pPr>
      <w:r w:rsidRPr="00FC1484">
        <w:t xml:space="preserve">第十八條　</w:t>
      </w:r>
      <w:r w:rsidR="004C27B9">
        <w:rPr>
          <w:rFonts w:hint="eastAsia"/>
          <w:lang w:eastAsia="zh-TW"/>
        </w:rPr>
        <w:tab/>
      </w:r>
      <w:r w:rsidRPr="00FC1484">
        <w:t>經濟暨社會理事會得依其根據聯合國憲章所負人權及基本自由方面之責任與各專門機關商訂辦法，由各該機關就促進遵守本公約規定屬其工作範圍者所獲之進展，向理事會具報。此項報告書並得詳載各該機關之</w:t>
      </w:r>
      <w:r w:rsidRPr="00A37759">
        <w:t>主管機構為實施本公約規定所通過決議及建議之內容。</w:t>
      </w:r>
    </w:p>
    <w:p w:rsidR="00CF6634" w:rsidRPr="00FC1484" w:rsidRDefault="00CF6634" w:rsidP="00232768">
      <w:pPr>
        <w:pStyle w:val="1---"/>
        <w:ind w:left="1224" w:hangingChars="510" w:hanging="1224"/>
      </w:pPr>
      <w:r w:rsidRPr="00FC1484">
        <w:lastRenderedPageBreak/>
        <w:t xml:space="preserve">第十九條　</w:t>
      </w:r>
      <w:r w:rsidR="00394D91">
        <w:rPr>
          <w:rFonts w:hint="eastAsia"/>
          <w:lang w:eastAsia="zh-TW"/>
        </w:rPr>
        <w:tab/>
      </w:r>
      <w:r w:rsidRPr="00FC1484">
        <w:t>經濟暨社會理事會得將各國依第十六條及第十七條之規定，以及各專門機關依第十八條之規定，就人權問題提出之報告書，交由人權委員會研討並提具一般建議，或斟酌情形供其參考。</w:t>
      </w:r>
    </w:p>
    <w:p w:rsidR="00CF6634" w:rsidRPr="00FC1484" w:rsidRDefault="00CF6634" w:rsidP="00232768">
      <w:pPr>
        <w:pStyle w:val="1---"/>
        <w:ind w:left="1224" w:hangingChars="510" w:hanging="1224"/>
      </w:pPr>
      <w:r w:rsidRPr="00FC1484">
        <w:t xml:space="preserve">第二十條　</w:t>
      </w:r>
      <w:r w:rsidR="00394D91">
        <w:rPr>
          <w:rFonts w:hint="eastAsia"/>
          <w:lang w:eastAsia="zh-TW"/>
        </w:rPr>
        <w:tab/>
      </w:r>
      <w:r w:rsidRPr="00FC1484">
        <w:t>本公約各關係締約國及各關係專門機關得就第十九條所稱之任何一般建議、或就人權委員會任何報告書或此項報告書所述及任何文件中關於此等一般建議之引證，向經濟暨社會理事會提出評議。</w:t>
      </w:r>
    </w:p>
    <w:p w:rsidR="00CF6634" w:rsidRPr="00FC1484" w:rsidRDefault="00CF6634" w:rsidP="00A60757">
      <w:pPr>
        <w:pStyle w:val="1---"/>
        <w:ind w:left="1457" w:hangingChars="607" w:hanging="1457"/>
      </w:pPr>
      <w:r w:rsidRPr="00FC1484">
        <w:t xml:space="preserve">第二十一條　</w:t>
      </w:r>
      <w:r w:rsidR="00394D91">
        <w:rPr>
          <w:rFonts w:hint="eastAsia"/>
          <w:lang w:eastAsia="zh-TW"/>
        </w:rPr>
        <w:tab/>
      </w:r>
      <w:r w:rsidRPr="00FC1484">
        <w:t>經濟暨社會理事會得隨時向大會提出報告書，連同一般性質之建議，以及從本公約締約國與各專門機關收到關於促進普遍遵守本公約確認之各種權利所採措施及所獲進展之情報撮要。</w:t>
      </w:r>
    </w:p>
    <w:p w:rsidR="00CF6634" w:rsidRPr="00FC1484" w:rsidRDefault="00CF6634" w:rsidP="00A60757">
      <w:pPr>
        <w:pStyle w:val="1---"/>
        <w:ind w:left="1457" w:hangingChars="607" w:hanging="1457"/>
      </w:pPr>
      <w:r w:rsidRPr="00FC1484">
        <w:t xml:space="preserve">第二十二條　</w:t>
      </w:r>
      <w:r w:rsidR="00394D91">
        <w:rPr>
          <w:rFonts w:hint="eastAsia"/>
          <w:lang w:eastAsia="zh-TW"/>
        </w:rPr>
        <w:tab/>
      </w:r>
      <w:r w:rsidRPr="00FC1484">
        <w:t>經濟暨社會理事會得將本公約本編各項報告書中之任何事項，對於提供技術協助之聯合國其他機關，各該機關之輔助機關及各專門機關，可以助其各就職權範圍，決定可能促進切實逐步實施本公約之各項國際措施是否得當者，提請各該機關注意。</w:t>
      </w:r>
    </w:p>
    <w:p w:rsidR="00CF6634" w:rsidRPr="00FC1484" w:rsidRDefault="00CF6634" w:rsidP="00A60757">
      <w:pPr>
        <w:pStyle w:val="1---"/>
        <w:ind w:left="1457" w:hangingChars="607" w:hanging="1457"/>
      </w:pPr>
      <w:r w:rsidRPr="00FC1484">
        <w:t xml:space="preserve">第二十三條　</w:t>
      </w:r>
      <w:r w:rsidR="00394D91">
        <w:rPr>
          <w:rFonts w:hint="eastAsia"/>
          <w:lang w:eastAsia="zh-TW"/>
        </w:rPr>
        <w:tab/>
      </w:r>
      <w:r w:rsidRPr="00FC1484">
        <w:t>本公約締約國一致認為實現本公約所確認權利之國際行動，可有訂立公約、通過建議、提供技術協助及舉行與關係國政府會同辦理之區域會議及技術會議從事諮商研究等方法。</w:t>
      </w:r>
    </w:p>
    <w:p w:rsidR="00CF6634" w:rsidRPr="00FC1484" w:rsidRDefault="00CF6634" w:rsidP="00A60757">
      <w:pPr>
        <w:pStyle w:val="1---"/>
        <w:ind w:left="1457" w:hangingChars="607" w:hanging="1457"/>
      </w:pPr>
      <w:r w:rsidRPr="00FC1484">
        <w:t xml:space="preserve">第二十四條　</w:t>
      </w:r>
      <w:r w:rsidR="00394D91">
        <w:rPr>
          <w:rFonts w:hint="eastAsia"/>
          <w:lang w:eastAsia="zh-TW"/>
        </w:rPr>
        <w:tab/>
      </w:r>
      <w:r w:rsidRPr="00FC1484">
        <w:t>本公約之解釋，不得影響聯合國憲章及各專門機關組織法內規定聯合國各機關及各專門機關分別對本公約所處理各種事項所負責任之規定。</w:t>
      </w:r>
    </w:p>
    <w:p w:rsidR="00CF6634" w:rsidRPr="00FC1484" w:rsidRDefault="00CF6634" w:rsidP="00A60757">
      <w:pPr>
        <w:pStyle w:val="1---"/>
        <w:ind w:left="1457" w:hangingChars="607" w:hanging="1457"/>
      </w:pPr>
      <w:r w:rsidRPr="00FC1484">
        <w:lastRenderedPageBreak/>
        <w:t xml:space="preserve">第二十五條　</w:t>
      </w:r>
      <w:r w:rsidR="00394D91">
        <w:rPr>
          <w:rFonts w:hint="eastAsia"/>
          <w:lang w:eastAsia="zh-TW"/>
        </w:rPr>
        <w:tab/>
      </w:r>
      <w:r w:rsidRPr="00FC1484">
        <w:t>本公約之解釋，不得損害所有民族充分與自由享受及利用其天然財富與資源之天賦權利。</w:t>
      </w:r>
    </w:p>
    <w:p w:rsidR="00CF6634" w:rsidRPr="00FC1484" w:rsidRDefault="00CF6634" w:rsidP="00CF6634">
      <w:pPr>
        <w:pStyle w:val="affa"/>
        <w:spacing w:before="190" w:after="190"/>
        <w:rPr>
          <w:rFonts w:ascii="Times New Roman"/>
        </w:rPr>
      </w:pPr>
      <w:r w:rsidRPr="00FC1484">
        <w:rPr>
          <w:rFonts w:ascii="Times New Roman"/>
        </w:rPr>
        <w:t>第</w:t>
      </w:r>
      <w:r w:rsidR="009E4D29">
        <w:rPr>
          <w:rFonts w:ascii="Times New Roman" w:hint="eastAsia"/>
        </w:rPr>
        <w:t xml:space="preserve"> </w:t>
      </w:r>
      <w:r w:rsidRPr="00FC1484">
        <w:rPr>
          <w:rFonts w:ascii="Times New Roman"/>
        </w:rPr>
        <w:t>伍</w:t>
      </w:r>
      <w:r w:rsidR="009E4D29">
        <w:rPr>
          <w:rFonts w:ascii="Times New Roman" w:hint="eastAsia"/>
        </w:rPr>
        <w:t xml:space="preserve"> </w:t>
      </w:r>
      <w:r w:rsidRPr="00FC1484">
        <w:rPr>
          <w:rFonts w:ascii="Times New Roman"/>
        </w:rPr>
        <w:t>編</w:t>
      </w:r>
    </w:p>
    <w:p w:rsidR="00CF6634" w:rsidRPr="00FC1484" w:rsidRDefault="00CF6634" w:rsidP="00E77ED6">
      <w:pPr>
        <w:pStyle w:val="1---"/>
        <w:ind w:left="1944" w:hangingChars="810" w:hanging="1944"/>
      </w:pPr>
      <w:r w:rsidRPr="00FC1484">
        <w:t>第二十六條　一、</w:t>
      </w:r>
      <w:r w:rsidR="00394D91">
        <w:rPr>
          <w:rFonts w:hint="eastAsia"/>
          <w:lang w:eastAsia="zh-TW"/>
        </w:rPr>
        <w:tab/>
      </w:r>
      <w:r w:rsidRPr="00A37759">
        <w:t>本公約聽由聯合國會員國或其專門機關會員國</w:t>
      </w:r>
      <w:r w:rsidRPr="00FC1484">
        <w:t>、國際法院規約當事國及經聯合國大會邀請為本公約締約國之任何其他國家簽署。</w:t>
      </w:r>
    </w:p>
    <w:p w:rsidR="00CF6634" w:rsidRPr="00FC1484" w:rsidRDefault="00CF6634" w:rsidP="00394D91">
      <w:pPr>
        <w:pStyle w:val="1---"/>
        <w:ind w:leftChars="600" w:left="1925" w:hangingChars="202" w:hanging="485"/>
      </w:pPr>
      <w:r w:rsidRPr="00FC1484">
        <w:t>二、</w:t>
      </w:r>
      <w:r w:rsidR="00ED2752">
        <w:rPr>
          <w:rFonts w:hint="eastAsia"/>
          <w:lang w:eastAsia="zh-TW"/>
        </w:rPr>
        <w:tab/>
      </w:r>
      <w:r w:rsidRPr="00FC1484">
        <w:t>本公約須經批准。批准書應送交聯合國秘書長存放。</w:t>
      </w:r>
    </w:p>
    <w:p w:rsidR="00CF6634" w:rsidRPr="00FC1484" w:rsidRDefault="00CF6634" w:rsidP="005C4B76">
      <w:pPr>
        <w:pStyle w:val="1---"/>
        <w:ind w:leftChars="600" w:left="1925" w:hangingChars="202" w:hanging="485"/>
        <w:jc w:val="distribute"/>
      </w:pPr>
      <w:r w:rsidRPr="00FC1484">
        <w:t>三、</w:t>
      </w:r>
      <w:r w:rsidR="00ED2752">
        <w:rPr>
          <w:rFonts w:hint="eastAsia"/>
          <w:lang w:eastAsia="zh-TW"/>
        </w:rPr>
        <w:tab/>
      </w:r>
      <w:r w:rsidRPr="005C4B76">
        <w:rPr>
          <w:spacing w:val="-4"/>
        </w:rPr>
        <w:t>本公約聽由本條第一項所稱之任何國家加入。</w:t>
      </w:r>
    </w:p>
    <w:p w:rsidR="00CF6634" w:rsidRPr="00FC1484" w:rsidRDefault="00CF6634" w:rsidP="00394D91">
      <w:pPr>
        <w:pStyle w:val="1---"/>
        <w:ind w:leftChars="600" w:left="1925" w:hangingChars="202" w:hanging="485"/>
      </w:pPr>
      <w:r w:rsidRPr="00FC1484">
        <w:t>四、</w:t>
      </w:r>
      <w:r w:rsidR="00ED2752">
        <w:rPr>
          <w:rFonts w:hint="eastAsia"/>
          <w:lang w:eastAsia="zh-TW"/>
        </w:rPr>
        <w:tab/>
      </w:r>
      <w:r w:rsidRPr="00FC1484">
        <w:t>加入應以加入書交存聯合國秘書長為之。</w:t>
      </w:r>
    </w:p>
    <w:p w:rsidR="00CF6634" w:rsidRPr="00FC1484" w:rsidRDefault="00CF6634" w:rsidP="005C4B76">
      <w:pPr>
        <w:pStyle w:val="1---"/>
        <w:ind w:leftChars="600" w:left="1925" w:hangingChars="202" w:hanging="485"/>
        <w:jc w:val="distribute"/>
      </w:pPr>
      <w:r w:rsidRPr="00FC1484">
        <w:t>五、</w:t>
      </w:r>
      <w:r w:rsidR="00ED2752">
        <w:rPr>
          <w:rFonts w:hint="eastAsia"/>
          <w:lang w:eastAsia="zh-TW"/>
        </w:rPr>
        <w:tab/>
      </w:r>
      <w:r w:rsidRPr="00FC1484">
        <w:t>聯合國秘書長應將每一批准書或加入書之交</w:t>
      </w:r>
      <w:r w:rsidRPr="005C4B76">
        <w:rPr>
          <w:spacing w:val="-4"/>
        </w:rPr>
        <w:t>存，通知已經簽署或加入本公約之所有國家。</w:t>
      </w:r>
    </w:p>
    <w:p w:rsidR="00CF6634" w:rsidRPr="00FC1484" w:rsidRDefault="00CF6634" w:rsidP="005C4B76">
      <w:pPr>
        <w:pStyle w:val="1---"/>
        <w:ind w:left="1944" w:hangingChars="810" w:hanging="1944"/>
        <w:jc w:val="distribute"/>
      </w:pPr>
      <w:r w:rsidRPr="00FC1484">
        <w:t>第二十七條　一、</w:t>
      </w:r>
      <w:r w:rsidR="00ED2752">
        <w:rPr>
          <w:rFonts w:hint="eastAsia"/>
          <w:lang w:eastAsia="zh-TW"/>
        </w:rPr>
        <w:tab/>
      </w:r>
      <w:r w:rsidRPr="00FC1484">
        <w:t>本公約應自第三十五件批准書或加入書送交</w:t>
      </w:r>
      <w:r w:rsidRPr="005C4B76">
        <w:rPr>
          <w:spacing w:val="-4"/>
        </w:rPr>
        <w:t>聯合國秘書長存放之日起三個月後發生效力。</w:t>
      </w:r>
    </w:p>
    <w:p w:rsidR="00CF6634" w:rsidRPr="00FC1484" w:rsidRDefault="00CF6634" w:rsidP="005C4B76">
      <w:pPr>
        <w:pStyle w:val="1---"/>
        <w:ind w:leftChars="600" w:left="1925" w:hangingChars="202" w:hanging="485"/>
        <w:jc w:val="distribute"/>
      </w:pPr>
      <w:r w:rsidRPr="00FC1484">
        <w:t>二、</w:t>
      </w:r>
      <w:r w:rsidR="00ED2752">
        <w:rPr>
          <w:rFonts w:hint="eastAsia"/>
          <w:lang w:eastAsia="zh-TW"/>
        </w:rPr>
        <w:tab/>
      </w:r>
      <w:r w:rsidRPr="00FC1484">
        <w:t>對於在第三十五件批准書或加入書交存後批准或加入本公約之國家，本公約應自該國交</w:t>
      </w:r>
      <w:r w:rsidRPr="005C4B76">
        <w:rPr>
          <w:spacing w:val="-4"/>
        </w:rPr>
        <w:t>存批准書或加入書之日起三個月後發生效力。</w:t>
      </w:r>
    </w:p>
    <w:p w:rsidR="00CF6634" w:rsidRPr="00FC1484" w:rsidRDefault="00CF6634" w:rsidP="00E77ED6">
      <w:pPr>
        <w:pStyle w:val="1---"/>
        <w:ind w:left="1464" w:hangingChars="610" w:hanging="1464"/>
      </w:pPr>
      <w:r w:rsidRPr="00FC1484">
        <w:t xml:space="preserve">第二十八條　</w:t>
      </w:r>
      <w:r w:rsidR="00E77ED6">
        <w:rPr>
          <w:rFonts w:hint="eastAsia"/>
          <w:lang w:eastAsia="zh-TW"/>
        </w:rPr>
        <w:tab/>
      </w:r>
      <w:r w:rsidRPr="00FC1484">
        <w:t>本公約各項規定應一律適用於聯邦國家之全部領土，並無限制或例外。</w:t>
      </w:r>
    </w:p>
    <w:p w:rsidR="00CF6634" w:rsidRPr="00A37759" w:rsidRDefault="00CF6634" w:rsidP="00E77ED6">
      <w:pPr>
        <w:pStyle w:val="1---"/>
        <w:ind w:left="1944" w:hangingChars="810" w:hanging="1944"/>
      </w:pPr>
      <w:r w:rsidRPr="00FC1484">
        <w:t>第二十九條　一、</w:t>
      </w:r>
      <w:r w:rsidR="00E77ED6">
        <w:rPr>
          <w:rFonts w:hint="eastAsia"/>
          <w:lang w:eastAsia="zh-TW"/>
        </w:rPr>
        <w:tab/>
      </w:r>
      <w:r w:rsidRPr="00FC1484">
        <w:t>本公約締約國得提議修改本公約，將修正案提交聯合國秘書長。秘書長應將提議之修正案分送本公約各締約國，並請其通知是否贊成召開締約國會議，以審議並表決所提議案。如締約國三分之一以上贊成召開會議，秘</w:t>
      </w:r>
      <w:r w:rsidRPr="00FC1484">
        <w:lastRenderedPageBreak/>
        <w:t>書長應以聯合國名義召集之。經出席會議並投票之締約國</w:t>
      </w:r>
      <w:r w:rsidRPr="00A37759">
        <w:t>過半數通過之修正案，應提請聯合國大會核可。</w:t>
      </w:r>
    </w:p>
    <w:p w:rsidR="00CF6634" w:rsidRPr="00FC1484" w:rsidRDefault="00CF6634" w:rsidP="00394D91">
      <w:pPr>
        <w:pStyle w:val="1---"/>
        <w:ind w:leftChars="600" w:left="1925" w:hangingChars="202" w:hanging="485"/>
      </w:pPr>
      <w:r w:rsidRPr="00FC1484">
        <w:t>二、</w:t>
      </w:r>
      <w:r w:rsidR="00ED2752">
        <w:rPr>
          <w:rFonts w:hint="eastAsia"/>
          <w:lang w:eastAsia="zh-TW"/>
        </w:rPr>
        <w:tab/>
      </w:r>
      <w:r w:rsidRPr="00FC1484">
        <w:t>修正案經聯合國大會核可，並經本公約締約國三分之二各依本國憲法程序接受後，即發生效力。</w:t>
      </w:r>
    </w:p>
    <w:p w:rsidR="00CF6634" w:rsidRPr="00FC1484" w:rsidRDefault="00CF6634" w:rsidP="00ED2752">
      <w:pPr>
        <w:pStyle w:val="1---"/>
        <w:ind w:leftChars="600" w:left="1925" w:hangingChars="202" w:hanging="485"/>
      </w:pPr>
      <w:r w:rsidRPr="00FC1484">
        <w:t>三、</w:t>
      </w:r>
      <w:r w:rsidR="00ED2752">
        <w:rPr>
          <w:rFonts w:hint="eastAsia"/>
          <w:lang w:eastAsia="zh-TW"/>
        </w:rPr>
        <w:tab/>
      </w:r>
      <w:r w:rsidRPr="00FC1484">
        <w:t>修正案生效後，對接受此種修正之締約國具有拘束力；其他締約國仍受本公約原訂條款及其前此所接受修正案之拘束。</w:t>
      </w:r>
    </w:p>
    <w:p w:rsidR="00CF6634" w:rsidRPr="00FC1484" w:rsidRDefault="00CF6634" w:rsidP="00E77ED6">
      <w:pPr>
        <w:pStyle w:val="1---"/>
        <w:ind w:left="1464" w:hangingChars="610" w:hanging="1464"/>
        <w:jc w:val="distribute"/>
      </w:pPr>
      <w:r w:rsidRPr="00FC1484">
        <w:t>第</w:t>
      </w:r>
      <w:r w:rsidR="00ED2752">
        <w:rPr>
          <w:rFonts w:hint="eastAsia"/>
          <w:lang w:eastAsia="zh-TW"/>
        </w:rPr>
        <w:t xml:space="preserve"> </w:t>
      </w:r>
      <w:r w:rsidRPr="00FC1484">
        <w:t>三十</w:t>
      </w:r>
      <w:r w:rsidR="00ED2752">
        <w:rPr>
          <w:rFonts w:hint="eastAsia"/>
          <w:lang w:eastAsia="zh-TW"/>
        </w:rPr>
        <w:t xml:space="preserve"> </w:t>
      </w:r>
      <w:r w:rsidRPr="00FC1484">
        <w:t xml:space="preserve">條　</w:t>
      </w:r>
      <w:r w:rsidR="00E77ED6">
        <w:rPr>
          <w:rFonts w:hint="eastAsia"/>
          <w:lang w:eastAsia="zh-TW"/>
        </w:rPr>
        <w:tab/>
      </w:r>
      <w:r w:rsidRPr="00FC1484">
        <w:t>除第二十六條第五項規定之通知外，聯合國秘書</w:t>
      </w:r>
      <w:r w:rsidRPr="005C4B76">
        <w:rPr>
          <w:spacing w:val="-4"/>
        </w:rPr>
        <w:t>長應將下列事項通知同條第一項所稱之所有國家：</w:t>
      </w:r>
    </w:p>
    <w:p w:rsidR="00CF6634" w:rsidRPr="00FC1484" w:rsidRDefault="00CF6634" w:rsidP="00E77ED6">
      <w:pPr>
        <w:pStyle w:val="1---"/>
        <w:ind w:leftChars="600" w:left="2184" w:hangingChars="310" w:hanging="744"/>
        <w:jc w:val="distribute"/>
      </w:pPr>
      <w:r w:rsidRPr="00FC1484">
        <w:t>（一）</w:t>
      </w:r>
      <w:r w:rsidR="00E77ED6">
        <w:rPr>
          <w:rFonts w:hint="eastAsia"/>
          <w:lang w:eastAsia="zh-TW"/>
        </w:rPr>
        <w:tab/>
      </w:r>
      <w:r w:rsidRPr="00FC1484">
        <w:t>依第二十六條所為之簽署、批准及加入；</w:t>
      </w:r>
    </w:p>
    <w:p w:rsidR="00CF6634" w:rsidRPr="00FC1484" w:rsidRDefault="00CF6634" w:rsidP="00E77ED6">
      <w:pPr>
        <w:pStyle w:val="1---"/>
        <w:ind w:leftChars="600" w:left="2184" w:hangingChars="310" w:hanging="744"/>
        <w:jc w:val="distribute"/>
      </w:pPr>
      <w:r w:rsidRPr="00FC1484">
        <w:t>（二）</w:t>
      </w:r>
      <w:r w:rsidR="00E77ED6">
        <w:rPr>
          <w:rFonts w:hint="eastAsia"/>
          <w:lang w:eastAsia="zh-TW"/>
        </w:rPr>
        <w:tab/>
      </w:r>
      <w:r w:rsidRPr="00FC1484">
        <w:t>依第二十七條本公約發生效力之日期，及</w:t>
      </w:r>
      <w:r w:rsidRPr="005C4B76">
        <w:rPr>
          <w:spacing w:val="-4"/>
        </w:rPr>
        <w:t>依第二十九條任何修正案發生效力之日期。</w:t>
      </w:r>
    </w:p>
    <w:p w:rsidR="00CF6634" w:rsidRPr="00FC1484" w:rsidRDefault="00CF6634" w:rsidP="00E77ED6">
      <w:pPr>
        <w:pStyle w:val="1---"/>
        <w:ind w:left="1944" w:hangingChars="810" w:hanging="1944"/>
      </w:pPr>
      <w:r w:rsidRPr="00FC1484">
        <w:t>第三十一條　一、</w:t>
      </w:r>
      <w:r w:rsidR="00E77ED6">
        <w:rPr>
          <w:rFonts w:hint="eastAsia"/>
          <w:lang w:eastAsia="zh-TW"/>
        </w:rPr>
        <w:tab/>
      </w:r>
      <w:r w:rsidRPr="00FC1484">
        <w:t>本公約應交存聯合國檔庫，其中、英、法、俄及西文各本同一作準。</w:t>
      </w:r>
    </w:p>
    <w:p w:rsidR="00CF6634" w:rsidRPr="00FC1484" w:rsidRDefault="00CF6634" w:rsidP="00E77ED6">
      <w:pPr>
        <w:pStyle w:val="1---"/>
        <w:ind w:leftChars="600" w:left="1944" w:hangingChars="210" w:hanging="504"/>
      </w:pPr>
      <w:r w:rsidRPr="00FC1484">
        <w:t>二、</w:t>
      </w:r>
      <w:r w:rsidR="00E77ED6">
        <w:rPr>
          <w:rFonts w:hint="eastAsia"/>
          <w:lang w:eastAsia="zh-TW"/>
        </w:rPr>
        <w:tab/>
      </w:r>
      <w:r w:rsidRPr="00FC1484">
        <w:t>聯合國秘書長應將本公約正式副本分送第二十六條所稱之所有國家。</w:t>
      </w:r>
    </w:p>
    <w:p w:rsidR="00AE0398" w:rsidRDefault="00CF6634" w:rsidP="005C4B76">
      <w:pPr>
        <w:pStyle w:val="1---"/>
        <w:ind w:firstLine="480"/>
        <w:rPr>
          <w:lang w:eastAsia="zh-TW"/>
        </w:rPr>
      </w:pPr>
      <w:r w:rsidRPr="00FC1484">
        <w:t>為此，下列各代表秉其本國政府正式授予之權，謹簽字於自一九六六年十二月十九日起得由各國在紐約簽署之本公約，以昭信守。</w:t>
      </w:r>
    </w:p>
    <w:p w:rsidR="005C4B76" w:rsidRDefault="005C4B76" w:rsidP="005C4B76">
      <w:pPr>
        <w:pStyle w:val="1---"/>
        <w:ind w:firstLine="480"/>
        <w:rPr>
          <w:lang w:eastAsia="zh-TW"/>
        </w:rPr>
      </w:pPr>
    </w:p>
    <w:p w:rsidR="00AE0398" w:rsidRPr="00FC1484" w:rsidRDefault="00AE0398" w:rsidP="00274413">
      <w:pPr>
        <w:pStyle w:val="1---"/>
        <w:spacing w:after="190"/>
        <w:ind w:firstLine="561"/>
        <w:rPr>
          <w:rStyle w:val="21"/>
          <w:rFonts w:hAnsi="Times New Roman"/>
          <w:lang w:eastAsia="zh-TW"/>
        </w:rPr>
        <w:sectPr w:rsidR="00AE0398" w:rsidRPr="00FC1484" w:rsidSect="00F56F3E">
          <w:headerReference w:type="default" r:id="rId37"/>
          <w:footerReference w:type="default" r:id="rId38"/>
          <w:pgSz w:w="8392" w:h="11907" w:code="11"/>
          <w:pgMar w:top="1701" w:right="794" w:bottom="1134" w:left="964" w:header="624" w:footer="397" w:gutter="0"/>
          <w:cols w:space="425"/>
          <w:docGrid w:type="lines" w:linePitch="381"/>
        </w:sectPr>
      </w:pPr>
    </w:p>
    <w:bookmarkEnd w:id="724"/>
    <w:bookmarkEnd w:id="725"/>
    <w:bookmarkEnd w:id="726"/>
    <w:bookmarkEnd w:id="727"/>
    <w:bookmarkEnd w:id="728"/>
    <w:bookmarkEnd w:id="729"/>
    <w:p w:rsidR="007F6511" w:rsidRPr="003D0711" w:rsidRDefault="007F6511" w:rsidP="003D0711">
      <w:pPr>
        <w:pStyle w:val="11--0"/>
        <w:spacing w:before="270" w:after="270"/>
      </w:pPr>
      <w:r w:rsidRPr="00D240A1">
        <w:lastRenderedPageBreak/>
        <w:t>附錄</w:t>
      </w:r>
      <w:r w:rsidRPr="007F6511">
        <w:rPr>
          <w:rFonts w:hint="eastAsia"/>
        </w:rPr>
        <w:t>六</w:t>
      </w:r>
      <w:r w:rsidRPr="00D240A1">
        <w:rPr>
          <w:rFonts w:ascii="細明體" w:eastAsia="細明體" w:hint="eastAsia"/>
        </w:rPr>
        <w:t xml:space="preserve">　</w:t>
      </w:r>
    </w:p>
    <w:p w:rsidR="007F6511" w:rsidRDefault="007F6511" w:rsidP="007F6511">
      <w:pPr>
        <w:pStyle w:val="11--"/>
        <w:ind w:firstLineChars="0" w:firstLine="0"/>
        <w:jc w:val="center"/>
        <w:rPr>
          <w:rFonts w:eastAsia="華康粗明體"/>
          <w:sz w:val="28"/>
          <w:lang w:eastAsia="zh-TW"/>
        </w:rPr>
      </w:pPr>
      <w:r w:rsidRPr="00DA27CC">
        <w:rPr>
          <w:rFonts w:eastAsia="華康粗明體"/>
          <w:sz w:val="28"/>
        </w:rPr>
        <w:t>公民與政治權利國際公約及經濟社會文化權利</w:t>
      </w:r>
    </w:p>
    <w:p w:rsidR="007F6511" w:rsidRPr="00DA27CC" w:rsidRDefault="007F6511" w:rsidP="007F6511">
      <w:pPr>
        <w:pStyle w:val="11--"/>
        <w:spacing w:afterLines="100" w:after="540"/>
        <w:ind w:firstLineChars="0" w:firstLine="0"/>
        <w:jc w:val="center"/>
        <w:rPr>
          <w:rFonts w:eastAsia="華康粗明體"/>
          <w:sz w:val="28"/>
        </w:rPr>
      </w:pPr>
      <w:r w:rsidRPr="00DA27CC">
        <w:rPr>
          <w:rFonts w:eastAsia="華康粗明體"/>
          <w:sz w:val="28"/>
        </w:rPr>
        <w:t>國際公約施行法</w:t>
      </w:r>
    </w:p>
    <w:p w:rsidR="007F6511" w:rsidRPr="00144D5D" w:rsidRDefault="007F6511" w:rsidP="007F6511">
      <w:pPr>
        <w:pStyle w:val="11--"/>
        <w:ind w:firstLineChars="0" w:firstLine="0"/>
        <w:jc w:val="left"/>
        <w:rPr>
          <w:rFonts w:eastAsia="華康粗明體"/>
          <w:szCs w:val="24"/>
        </w:rPr>
      </w:pPr>
      <w:r w:rsidRPr="00144D5D">
        <w:rPr>
          <w:rFonts w:ascii="華康粗明體" w:eastAsia="華康粗明體" w:hAnsi="細明體" w:cs="細明體" w:hint="eastAsia"/>
          <w:szCs w:val="24"/>
          <w:lang w:eastAsia="zh-TW"/>
        </w:rPr>
        <w:t>民國</w:t>
      </w:r>
      <w:r w:rsidRPr="00144D5D">
        <w:rPr>
          <w:rFonts w:eastAsia="華康粗明體" w:hint="eastAsia"/>
          <w:szCs w:val="24"/>
          <w:lang w:eastAsia="zh-TW"/>
        </w:rPr>
        <w:t>98</w:t>
      </w:r>
      <w:r w:rsidRPr="00144D5D">
        <w:rPr>
          <w:rFonts w:eastAsia="華康粗明體"/>
          <w:szCs w:val="24"/>
        </w:rPr>
        <w:t>年</w:t>
      </w:r>
      <w:r w:rsidRPr="00144D5D">
        <w:rPr>
          <w:rFonts w:eastAsia="華康粗明體"/>
          <w:szCs w:val="24"/>
        </w:rPr>
        <w:t>4</w:t>
      </w:r>
      <w:r w:rsidRPr="00144D5D">
        <w:rPr>
          <w:rFonts w:eastAsia="華康粗明體"/>
          <w:szCs w:val="24"/>
        </w:rPr>
        <w:t>月</w:t>
      </w:r>
      <w:r w:rsidRPr="00144D5D">
        <w:rPr>
          <w:rFonts w:eastAsia="華康粗明體"/>
          <w:szCs w:val="24"/>
        </w:rPr>
        <w:t>22</w:t>
      </w:r>
      <w:r w:rsidRPr="00144D5D">
        <w:rPr>
          <w:rFonts w:eastAsia="華康粗明體"/>
          <w:szCs w:val="24"/>
        </w:rPr>
        <w:t>日公布</w:t>
      </w:r>
    </w:p>
    <w:p w:rsidR="007F6511" w:rsidRPr="00144D5D" w:rsidRDefault="007F6511" w:rsidP="007F6511">
      <w:pPr>
        <w:pStyle w:val="11--"/>
        <w:ind w:firstLineChars="0" w:firstLine="0"/>
        <w:jc w:val="left"/>
        <w:rPr>
          <w:rFonts w:eastAsia="華康粗明體"/>
          <w:szCs w:val="24"/>
          <w:lang w:eastAsia="zh-TW"/>
        </w:rPr>
      </w:pPr>
      <w:r w:rsidRPr="00144D5D">
        <w:rPr>
          <w:rFonts w:ascii="華康粗明體" w:eastAsia="華康粗明體" w:hAnsi="細明體" w:cs="細明體" w:hint="eastAsia"/>
          <w:szCs w:val="24"/>
          <w:lang w:eastAsia="zh-TW"/>
        </w:rPr>
        <w:t>民國</w:t>
      </w:r>
      <w:r w:rsidRPr="00144D5D">
        <w:rPr>
          <w:rFonts w:eastAsia="華康粗明體" w:hint="eastAsia"/>
          <w:szCs w:val="24"/>
          <w:lang w:eastAsia="zh-TW"/>
        </w:rPr>
        <w:t>98</w:t>
      </w:r>
      <w:r w:rsidRPr="00144D5D">
        <w:rPr>
          <w:rFonts w:eastAsia="華康粗明體"/>
          <w:szCs w:val="24"/>
        </w:rPr>
        <w:t>年</w:t>
      </w:r>
      <w:r w:rsidRPr="00144D5D">
        <w:rPr>
          <w:rFonts w:eastAsia="華康粗明體"/>
          <w:szCs w:val="24"/>
        </w:rPr>
        <w:t>12</w:t>
      </w:r>
      <w:r w:rsidRPr="00144D5D">
        <w:rPr>
          <w:rFonts w:eastAsia="華康粗明體"/>
          <w:szCs w:val="24"/>
        </w:rPr>
        <w:t>月</w:t>
      </w:r>
      <w:r w:rsidRPr="00144D5D">
        <w:rPr>
          <w:rFonts w:eastAsia="華康粗明體"/>
          <w:szCs w:val="24"/>
        </w:rPr>
        <w:t>10</w:t>
      </w:r>
      <w:r w:rsidRPr="00144D5D">
        <w:rPr>
          <w:rFonts w:eastAsia="華康粗明體"/>
          <w:szCs w:val="24"/>
        </w:rPr>
        <w:t>日施行</w:t>
      </w:r>
    </w:p>
    <w:p w:rsidR="007F6511" w:rsidRPr="00FC1484" w:rsidRDefault="007F6511" w:rsidP="00CF6634">
      <w:pPr>
        <w:pStyle w:val="1---"/>
        <w:ind w:firstLineChars="0" w:firstLine="0"/>
        <w:rPr>
          <w:lang w:eastAsia="zh-TW"/>
        </w:rPr>
      </w:pPr>
    </w:p>
    <w:p w:rsidR="00CF6634" w:rsidRPr="00FC1484" w:rsidRDefault="00CF6634" w:rsidP="007F6511">
      <w:pPr>
        <w:pStyle w:val="1---"/>
        <w:ind w:left="991" w:hangingChars="413" w:hanging="991"/>
      </w:pPr>
      <w:r w:rsidRPr="00FC1484">
        <w:t>第</w:t>
      </w:r>
      <w:r w:rsidR="007F6511">
        <w:rPr>
          <w:rFonts w:hint="eastAsia"/>
          <w:lang w:eastAsia="zh-TW"/>
        </w:rPr>
        <w:t xml:space="preserve"> </w:t>
      </w:r>
      <w:r w:rsidRPr="00FC1484">
        <w:t>1</w:t>
      </w:r>
      <w:r w:rsidR="007F6511">
        <w:rPr>
          <w:rFonts w:hint="eastAsia"/>
          <w:lang w:eastAsia="zh-TW"/>
        </w:rPr>
        <w:t xml:space="preserve"> </w:t>
      </w:r>
      <w:r w:rsidRPr="00FC1484">
        <w:t>條</w:t>
      </w:r>
      <w:r w:rsidRPr="00FC1484">
        <w:tab/>
      </w:r>
      <w:r w:rsidRPr="00FC1484">
        <w:t>為實施聯合國一九六六年公民與政治權利國際公約</w:t>
      </w:r>
      <w:r w:rsidRPr="00987077">
        <w:t>（</w:t>
      </w:r>
      <w:r w:rsidRPr="00987077">
        <w:t>International</w:t>
      </w:r>
      <w:r w:rsidR="00AF3327">
        <w:rPr>
          <w:rFonts w:hint="eastAsia"/>
          <w:lang w:eastAsia="zh-TW"/>
        </w:rPr>
        <w:t xml:space="preserve"> </w:t>
      </w:r>
      <w:r w:rsidRPr="00987077">
        <w:t>Covenant</w:t>
      </w:r>
      <w:r w:rsidR="00AF3327">
        <w:rPr>
          <w:rFonts w:hint="eastAsia"/>
          <w:lang w:eastAsia="zh-TW"/>
        </w:rPr>
        <w:t xml:space="preserve"> </w:t>
      </w:r>
      <w:r w:rsidRPr="00987077">
        <w:t>on</w:t>
      </w:r>
      <w:r w:rsidR="00AF3327">
        <w:rPr>
          <w:rFonts w:hint="eastAsia"/>
          <w:lang w:eastAsia="zh-TW"/>
        </w:rPr>
        <w:t xml:space="preserve"> </w:t>
      </w:r>
      <w:r w:rsidRPr="00987077">
        <w:t>Civil</w:t>
      </w:r>
      <w:r w:rsidR="00AF3327">
        <w:rPr>
          <w:rFonts w:hint="eastAsia"/>
          <w:lang w:eastAsia="zh-TW"/>
        </w:rPr>
        <w:t xml:space="preserve"> </w:t>
      </w:r>
      <w:r w:rsidRPr="00987077">
        <w:t>and</w:t>
      </w:r>
      <w:r w:rsidR="00AF3327">
        <w:rPr>
          <w:rFonts w:hint="eastAsia"/>
          <w:lang w:eastAsia="zh-TW"/>
        </w:rPr>
        <w:t xml:space="preserve"> </w:t>
      </w:r>
      <w:r w:rsidRPr="00987077">
        <w:t>Political</w:t>
      </w:r>
      <w:r w:rsidR="00AF3327">
        <w:rPr>
          <w:rFonts w:hint="eastAsia"/>
          <w:lang w:eastAsia="zh-TW"/>
        </w:rPr>
        <w:t xml:space="preserve"> </w:t>
      </w:r>
      <w:r w:rsidRPr="00987077">
        <w:t>Rights</w:t>
      </w:r>
      <w:r w:rsidRPr="00987077">
        <w:t>）及經濟社會文化權利國際公約（</w:t>
      </w:r>
      <w:r w:rsidRPr="00987077">
        <w:t>International</w:t>
      </w:r>
      <w:r w:rsidR="00AF3327">
        <w:rPr>
          <w:rFonts w:hint="eastAsia"/>
          <w:lang w:eastAsia="zh-TW"/>
        </w:rPr>
        <w:t xml:space="preserve"> </w:t>
      </w:r>
      <w:r w:rsidRPr="00987077">
        <w:t>Covenanton</w:t>
      </w:r>
      <w:r w:rsidR="00AF3327">
        <w:rPr>
          <w:rFonts w:hint="eastAsia"/>
          <w:lang w:eastAsia="zh-TW"/>
        </w:rPr>
        <w:t xml:space="preserve"> </w:t>
      </w:r>
      <w:r w:rsidRPr="00987077">
        <w:t>Economic</w:t>
      </w:r>
      <w:r w:rsidR="00AF3327">
        <w:rPr>
          <w:rFonts w:hint="eastAsia"/>
          <w:lang w:eastAsia="zh-TW"/>
        </w:rPr>
        <w:t xml:space="preserve"> </w:t>
      </w:r>
      <w:r w:rsidRPr="00987077">
        <w:t>Social</w:t>
      </w:r>
      <w:r w:rsidR="00AF3327">
        <w:rPr>
          <w:rFonts w:hint="eastAsia"/>
          <w:lang w:eastAsia="zh-TW"/>
        </w:rPr>
        <w:t xml:space="preserve"> </w:t>
      </w:r>
      <w:r w:rsidRPr="00987077">
        <w:t>and</w:t>
      </w:r>
      <w:r w:rsidR="00AF3327">
        <w:rPr>
          <w:rFonts w:hint="eastAsia"/>
          <w:lang w:eastAsia="zh-TW"/>
        </w:rPr>
        <w:t xml:space="preserve"> </w:t>
      </w:r>
      <w:r w:rsidRPr="00987077">
        <w:t>Cultural</w:t>
      </w:r>
      <w:r w:rsidR="00AF3327">
        <w:rPr>
          <w:rFonts w:hint="eastAsia"/>
          <w:lang w:eastAsia="zh-TW"/>
        </w:rPr>
        <w:t xml:space="preserve"> </w:t>
      </w:r>
      <w:r w:rsidRPr="00987077">
        <w:t>Rights</w:t>
      </w:r>
      <w:r w:rsidRPr="00987077">
        <w:t>）（以下合稱兩公約），健全我國人權</w:t>
      </w:r>
      <w:r w:rsidRPr="00FC1484">
        <w:t>保障體系，特制定本法。</w:t>
      </w:r>
    </w:p>
    <w:p w:rsidR="00CF6634" w:rsidRPr="00FC1484" w:rsidRDefault="00CF6634" w:rsidP="00AF3327">
      <w:pPr>
        <w:pStyle w:val="1---"/>
        <w:ind w:left="991" w:hangingChars="413" w:hanging="991"/>
      </w:pPr>
      <w:r w:rsidRPr="00FC1484">
        <w:t>第</w:t>
      </w:r>
      <w:r w:rsidR="007F6511">
        <w:rPr>
          <w:rFonts w:hint="eastAsia"/>
          <w:lang w:eastAsia="zh-TW"/>
        </w:rPr>
        <w:t xml:space="preserve"> </w:t>
      </w:r>
      <w:r w:rsidRPr="00FC1484">
        <w:t>2</w:t>
      </w:r>
      <w:r w:rsidR="007F6511">
        <w:rPr>
          <w:rFonts w:hint="eastAsia"/>
          <w:lang w:eastAsia="zh-TW"/>
        </w:rPr>
        <w:t xml:space="preserve"> </w:t>
      </w:r>
      <w:r w:rsidRPr="00FC1484">
        <w:t>條</w:t>
      </w:r>
      <w:r w:rsidRPr="00FC1484">
        <w:tab/>
      </w:r>
      <w:r w:rsidRPr="00FC1484">
        <w:t>兩公約所揭示保障人權之規定，具有國內法律之效</w:t>
      </w:r>
      <w:r w:rsidR="00AF3327">
        <w:rPr>
          <w:rFonts w:hint="eastAsia"/>
          <w:lang w:eastAsia="zh-TW"/>
        </w:rPr>
        <w:t xml:space="preserve">  </w:t>
      </w:r>
      <w:r w:rsidRPr="00FC1484">
        <w:t>力。</w:t>
      </w:r>
    </w:p>
    <w:p w:rsidR="00CF6634" w:rsidRPr="00FC1484" w:rsidRDefault="00CF6634" w:rsidP="00274413">
      <w:pPr>
        <w:pStyle w:val="1---"/>
        <w:ind w:left="991" w:hangingChars="413" w:hanging="991"/>
      </w:pPr>
      <w:r w:rsidRPr="00FC1484">
        <w:t>第</w:t>
      </w:r>
      <w:r w:rsidR="007F6511">
        <w:rPr>
          <w:rFonts w:hint="eastAsia"/>
          <w:lang w:eastAsia="zh-TW"/>
        </w:rPr>
        <w:t xml:space="preserve"> </w:t>
      </w:r>
      <w:r w:rsidRPr="00FC1484">
        <w:t>3</w:t>
      </w:r>
      <w:r w:rsidR="007F6511">
        <w:rPr>
          <w:rFonts w:hint="eastAsia"/>
          <w:lang w:eastAsia="zh-TW"/>
        </w:rPr>
        <w:t xml:space="preserve"> </w:t>
      </w:r>
      <w:r w:rsidRPr="00FC1484">
        <w:t>條</w:t>
      </w:r>
      <w:r w:rsidRPr="00FC1484">
        <w:tab/>
      </w:r>
      <w:r w:rsidRPr="00FC1484">
        <w:t>適用兩公約規定，應參照其立法意旨及兩公約人權事務委員會之解釋。</w:t>
      </w:r>
    </w:p>
    <w:p w:rsidR="00CF6634" w:rsidRPr="00FC1484" w:rsidRDefault="00CF6634" w:rsidP="00274413">
      <w:pPr>
        <w:pStyle w:val="1---"/>
        <w:ind w:left="991" w:hangingChars="413" w:hanging="991"/>
      </w:pPr>
      <w:r w:rsidRPr="00FC1484">
        <w:t>第</w:t>
      </w:r>
      <w:r w:rsidR="007F6511">
        <w:rPr>
          <w:rFonts w:hint="eastAsia"/>
          <w:lang w:eastAsia="zh-TW"/>
        </w:rPr>
        <w:t xml:space="preserve"> </w:t>
      </w:r>
      <w:r w:rsidRPr="00FC1484">
        <w:t>4</w:t>
      </w:r>
      <w:r w:rsidR="007F6511">
        <w:rPr>
          <w:rFonts w:hint="eastAsia"/>
          <w:lang w:eastAsia="zh-TW"/>
        </w:rPr>
        <w:t xml:space="preserve"> </w:t>
      </w:r>
      <w:r w:rsidRPr="00FC1484">
        <w:t>條</w:t>
      </w:r>
      <w:r w:rsidRPr="00FC1484">
        <w:tab/>
      </w:r>
      <w:r w:rsidRPr="00FC1484">
        <w:t>各級政府機關行使其職權，應符合兩公約有關人權保障之規定，避免侵害人權，保護人民不受他人侵害，並應積極促進各項人權之實現。</w:t>
      </w:r>
    </w:p>
    <w:p w:rsidR="006D775E" w:rsidRDefault="00CF6634" w:rsidP="006D775E">
      <w:pPr>
        <w:pStyle w:val="1---"/>
        <w:ind w:left="991" w:hangingChars="413" w:hanging="991"/>
        <w:rPr>
          <w:rFonts w:hint="eastAsia"/>
          <w:lang w:eastAsia="zh-TW"/>
        </w:rPr>
      </w:pPr>
      <w:r w:rsidRPr="00FC1484">
        <w:t>第</w:t>
      </w:r>
      <w:r w:rsidR="007F6511">
        <w:rPr>
          <w:rFonts w:hint="eastAsia"/>
          <w:lang w:eastAsia="zh-TW"/>
        </w:rPr>
        <w:t xml:space="preserve"> </w:t>
      </w:r>
      <w:r w:rsidRPr="00FC1484">
        <w:t>5</w:t>
      </w:r>
      <w:r w:rsidR="007F6511">
        <w:rPr>
          <w:rFonts w:hint="eastAsia"/>
          <w:lang w:eastAsia="zh-TW"/>
        </w:rPr>
        <w:t xml:space="preserve"> </w:t>
      </w:r>
      <w:r w:rsidRPr="00FC1484">
        <w:t>條</w:t>
      </w:r>
      <w:r w:rsidRPr="00FC1484">
        <w:tab/>
      </w:r>
      <w:r w:rsidRPr="00FC1484">
        <w:t>各級政府機關應確實依現行法令規定之業務職掌，負責籌劃、推動及執行兩公約規定事項；其涉及不同機關業務職掌者，相互間應協調連繫辦理。</w:t>
      </w:r>
    </w:p>
    <w:p w:rsidR="00CF6634" w:rsidRPr="00FC1484" w:rsidRDefault="006D775E" w:rsidP="006D775E">
      <w:pPr>
        <w:pStyle w:val="1---"/>
        <w:ind w:left="991" w:hangingChars="413" w:hanging="991"/>
      </w:pPr>
      <w:r>
        <w:rPr>
          <w:rFonts w:hint="eastAsia"/>
          <w:lang w:eastAsia="zh-TW"/>
        </w:rPr>
        <w:t xml:space="preserve">　　　　</w:t>
      </w:r>
      <w:r w:rsidR="00CF6634" w:rsidRPr="00FC1484">
        <w:t>政府應與各國政府、國際間非政府組織及人權機構共</w:t>
      </w:r>
      <w:r w:rsidR="00CF6634" w:rsidRPr="00FC1484">
        <w:rPr>
          <w:spacing w:val="2"/>
        </w:rPr>
        <w:lastRenderedPageBreak/>
        <w:t>同合作，以保護及促進兩公約所保障各項人權之實</w:t>
      </w:r>
      <w:r>
        <w:rPr>
          <w:rFonts w:hint="eastAsia"/>
          <w:spacing w:val="2"/>
          <w:lang w:eastAsia="zh-TW"/>
        </w:rPr>
        <w:t xml:space="preserve">　</w:t>
      </w:r>
      <w:r w:rsidR="00CF6634" w:rsidRPr="00FC1484">
        <w:rPr>
          <w:spacing w:val="2"/>
        </w:rPr>
        <w:t>現。</w:t>
      </w:r>
    </w:p>
    <w:p w:rsidR="00CF6634" w:rsidRPr="00FC1484" w:rsidRDefault="00CF6634" w:rsidP="00274413">
      <w:pPr>
        <w:pStyle w:val="1---"/>
        <w:ind w:left="991" w:hangingChars="413" w:hanging="991"/>
      </w:pPr>
      <w:r w:rsidRPr="00FC1484">
        <w:t>第</w:t>
      </w:r>
      <w:r w:rsidR="007F6511">
        <w:rPr>
          <w:rFonts w:hint="eastAsia"/>
          <w:lang w:eastAsia="zh-TW"/>
        </w:rPr>
        <w:t xml:space="preserve"> </w:t>
      </w:r>
      <w:r w:rsidRPr="00FC1484">
        <w:t>6</w:t>
      </w:r>
      <w:r w:rsidR="007F6511">
        <w:rPr>
          <w:rFonts w:hint="eastAsia"/>
          <w:lang w:eastAsia="zh-TW"/>
        </w:rPr>
        <w:t xml:space="preserve"> </w:t>
      </w:r>
      <w:r w:rsidRPr="00FC1484">
        <w:t>條</w:t>
      </w:r>
      <w:r w:rsidRPr="00FC1484">
        <w:tab/>
      </w:r>
      <w:r w:rsidRPr="00FC1484">
        <w:t>政府應依兩公約規定，建立人權報告制度。</w:t>
      </w:r>
    </w:p>
    <w:p w:rsidR="00CF6634" w:rsidRPr="00FC1484" w:rsidRDefault="00CF6634" w:rsidP="00274413">
      <w:pPr>
        <w:pStyle w:val="1---"/>
        <w:ind w:left="991" w:hangingChars="413" w:hanging="991"/>
      </w:pPr>
      <w:r w:rsidRPr="00FC1484">
        <w:t>第</w:t>
      </w:r>
      <w:r w:rsidR="007F6511">
        <w:rPr>
          <w:rFonts w:hint="eastAsia"/>
          <w:lang w:eastAsia="zh-TW"/>
        </w:rPr>
        <w:t xml:space="preserve"> </w:t>
      </w:r>
      <w:r w:rsidRPr="00FC1484">
        <w:t>7</w:t>
      </w:r>
      <w:r w:rsidR="007F6511">
        <w:rPr>
          <w:rFonts w:hint="eastAsia"/>
          <w:lang w:eastAsia="zh-TW"/>
        </w:rPr>
        <w:t xml:space="preserve"> </w:t>
      </w:r>
      <w:r w:rsidRPr="00FC1484">
        <w:t>條</w:t>
      </w:r>
      <w:r w:rsidRPr="00FC1484">
        <w:tab/>
      </w:r>
      <w:r w:rsidRPr="00FC1484">
        <w:t>各級政府機關執行兩公約保障各項人權規定所需之經費，應依財政狀況，優先編列，逐步實施。</w:t>
      </w:r>
    </w:p>
    <w:p w:rsidR="00CF6634" w:rsidRPr="00FC1484" w:rsidRDefault="00CF6634" w:rsidP="00274413">
      <w:pPr>
        <w:pStyle w:val="1---"/>
        <w:ind w:left="991" w:hangingChars="413" w:hanging="991"/>
      </w:pPr>
      <w:r w:rsidRPr="00FC1484">
        <w:t>第</w:t>
      </w:r>
      <w:r w:rsidR="007F6511">
        <w:rPr>
          <w:rFonts w:hint="eastAsia"/>
          <w:lang w:eastAsia="zh-TW"/>
        </w:rPr>
        <w:t xml:space="preserve"> </w:t>
      </w:r>
      <w:r w:rsidRPr="00FC1484">
        <w:t>8</w:t>
      </w:r>
      <w:r w:rsidR="007F6511">
        <w:rPr>
          <w:rFonts w:hint="eastAsia"/>
          <w:lang w:eastAsia="zh-TW"/>
        </w:rPr>
        <w:t xml:space="preserve"> </w:t>
      </w:r>
      <w:r w:rsidRPr="00FC1484">
        <w:t>條</w:t>
      </w:r>
      <w:r w:rsidRPr="00FC1484">
        <w:tab/>
      </w:r>
      <w:r w:rsidRPr="00FC1484">
        <w:t>各級政府機關應依兩公約規定之內容，檢討所主管之法令及行政措施，有不符兩公約規定者，應於本法施行後二年內，完成法令之制（訂）定、修正或廢止及行政措施之改進。</w:t>
      </w:r>
    </w:p>
    <w:p w:rsidR="00917A61" w:rsidRDefault="00CF6634" w:rsidP="00274413">
      <w:pPr>
        <w:pStyle w:val="1---"/>
        <w:ind w:left="991" w:hangingChars="413" w:hanging="991"/>
        <w:rPr>
          <w:lang w:eastAsia="zh-TW"/>
        </w:rPr>
      </w:pPr>
      <w:r w:rsidRPr="00DB331A">
        <w:t>第</w:t>
      </w:r>
      <w:r w:rsidR="007F6511">
        <w:rPr>
          <w:rFonts w:hint="eastAsia"/>
          <w:lang w:eastAsia="zh-TW"/>
        </w:rPr>
        <w:t xml:space="preserve"> </w:t>
      </w:r>
      <w:r w:rsidRPr="00DB331A">
        <w:t>9</w:t>
      </w:r>
      <w:r w:rsidR="007F6511">
        <w:rPr>
          <w:rFonts w:hint="eastAsia"/>
          <w:lang w:eastAsia="zh-TW"/>
        </w:rPr>
        <w:t xml:space="preserve"> </w:t>
      </w:r>
      <w:r w:rsidRPr="00DB331A">
        <w:t>條</w:t>
      </w:r>
      <w:r w:rsidRPr="00DB331A">
        <w:tab/>
      </w:r>
      <w:r w:rsidRPr="00DB331A">
        <w:t>本法施行日期，由行政院定之。</w:t>
      </w:r>
    </w:p>
    <w:p w:rsidR="00917A61" w:rsidRDefault="00917A61" w:rsidP="00274413">
      <w:pPr>
        <w:pStyle w:val="1---"/>
        <w:ind w:left="991" w:hangingChars="413" w:hanging="991"/>
        <w:rPr>
          <w:lang w:eastAsia="zh-TW"/>
        </w:rPr>
      </w:pPr>
    </w:p>
    <w:p w:rsidR="00F96A47" w:rsidRDefault="00F96A47" w:rsidP="00274413">
      <w:pPr>
        <w:pStyle w:val="1---"/>
        <w:ind w:left="991" w:hangingChars="413" w:hanging="991"/>
        <w:rPr>
          <w:lang w:eastAsia="zh-TW"/>
        </w:rPr>
      </w:pPr>
    </w:p>
    <w:p w:rsidR="00F96A47" w:rsidRDefault="00F96A47" w:rsidP="00274413">
      <w:pPr>
        <w:pStyle w:val="1---"/>
        <w:ind w:left="991" w:hangingChars="413" w:hanging="991"/>
        <w:rPr>
          <w:lang w:eastAsia="zh-TW"/>
        </w:rPr>
        <w:sectPr w:rsidR="00F96A47" w:rsidSect="00F56F3E">
          <w:headerReference w:type="default" r:id="rId39"/>
          <w:footerReference w:type="default" r:id="rId40"/>
          <w:pgSz w:w="8392" w:h="11907" w:code="11"/>
          <w:pgMar w:top="1701" w:right="794" w:bottom="1134" w:left="964" w:header="624" w:footer="397" w:gutter="0"/>
          <w:cols w:space="425"/>
          <w:docGrid w:type="lines" w:linePitch="540"/>
        </w:sectPr>
      </w:pPr>
    </w:p>
    <w:p w:rsidR="0061006E" w:rsidRPr="00C83027" w:rsidRDefault="0061006E" w:rsidP="0061006E">
      <w:pPr>
        <w:rPr>
          <w:rFonts w:eastAsiaTheme="majorEastAsia"/>
        </w:rPr>
      </w:pPr>
      <w:r w:rsidRPr="00C83027">
        <w:rPr>
          <w:rFonts w:eastAsiaTheme="majorEastAsia"/>
        </w:rPr>
        <w:lastRenderedPageBreak/>
        <w:t>國家圖書館出版品預行編目（</w:t>
      </w:r>
      <w:r w:rsidRPr="00C83027">
        <w:rPr>
          <w:rFonts w:eastAsiaTheme="majorEastAsia"/>
        </w:rPr>
        <w:t>CIP</w:t>
      </w:r>
      <w:r w:rsidRPr="00C83027">
        <w:rPr>
          <w:rFonts w:eastAsiaTheme="majorEastAsia"/>
        </w:rPr>
        <w:t>）資料</w:t>
      </w:r>
    </w:p>
    <w:tbl>
      <w:tblPr>
        <w:tblW w:w="4853" w:type="pct"/>
        <w:tblBorders>
          <w:top w:val="single" w:sz="6" w:space="0" w:color="000000"/>
          <w:left w:val="single" w:sz="6" w:space="0" w:color="000000"/>
          <w:bottom w:val="single" w:sz="6" w:space="0" w:color="000000"/>
          <w:right w:val="single" w:sz="6" w:space="0" w:color="000000"/>
        </w:tblBorders>
        <w:tblCellMar>
          <w:left w:w="28" w:type="dxa"/>
          <w:right w:w="28" w:type="dxa"/>
        </w:tblCellMar>
        <w:tblLook w:val="01E0" w:firstRow="1" w:lastRow="1" w:firstColumn="1" w:lastColumn="1" w:noHBand="0" w:noVBand="0"/>
      </w:tblPr>
      <w:tblGrid>
        <w:gridCol w:w="6493"/>
      </w:tblGrid>
      <w:tr w:rsidR="0061006E" w:rsidRPr="00C83027" w:rsidTr="00CA17A8">
        <w:trPr>
          <w:trHeight w:val="2296"/>
        </w:trPr>
        <w:tc>
          <w:tcPr>
            <w:tcW w:w="5000" w:type="pct"/>
          </w:tcPr>
          <w:p w:rsidR="0061006E" w:rsidRPr="00C83027" w:rsidRDefault="0061006E" w:rsidP="00C83027">
            <w:pPr>
              <w:spacing w:line="320" w:lineRule="exact"/>
              <w:ind w:leftChars="50" w:left="340" w:rightChars="50" w:right="120" w:hangingChars="100" w:hanging="220"/>
              <w:rPr>
                <w:rFonts w:eastAsiaTheme="majorEastAsia"/>
                <w:sz w:val="22"/>
                <w:szCs w:val="22"/>
              </w:rPr>
            </w:pPr>
            <w:r w:rsidRPr="00C83027">
              <w:rPr>
                <w:rFonts w:eastAsiaTheme="majorEastAsia"/>
                <w:sz w:val="22"/>
                <w:szCs w:val="22"/>
              </w:rPr>
              <w:t>監察院人權工作實錄</w:t>
            </w:r>
            <w:r w:rsidRPr="00C83027">
              <w:rPr>
                <w:rFonts w:eastAsiaTheme="majorEastAsia"/>
                <w:sz w:val="22"/>
                <w:szCs w:val="22"/>
              </w:rPr>
              <w:t>. 2017</w:t>
            </w:r>
            <w:r w:rsidRPr="00C83027">
              <w:rPr>
                <w:rFonts w:eastAsiaTheme="majorEastAsia"/>
                <w:sz w:val="22"/>
                <w:szCs w:val="22"/>
              </w:rPr>
              <w:t>年</w:t>
            </w:r>
            <w:r w:rsidRPr="00C83027">
              <w:rPr>
                <w:rFonts w:eastAsiaTheme="majorEastAsia"/>
                <w:sz w:val="22"/>
                <w:szCs w:val="22"/>
              </w:rPr>
              <w:t xml:space="preserve"> / </w:t>
            </w:r>
            <w:r w:rsidRPr="00C83027">
              <w:rPr>
                <w:rFonts w:eastAsiaTheme="majorEastAsia"/>
                <w:sz w:val="22"/>
                <w:szCs w:val="22"/>
              </w:rPr>
              <w:t>監察院人權保障委員會編著</w:t>
            </w:r>
            <w:r w:rsidRPr="00C83027">
              <w:rPr>
                <w:rFonts w:eastAsiaTheme="majorEastAsia"/>
                <w:sz w:val="22"/>
                <w:szCs w:val="22"/>
              </w:rPr>
              <w:t xml:space="preserve">. -- </w:t>
            </w:r>
            <w:r w:rsidR="00C83027">
              <w:rPr>
                <w:rFonts w:eastAsiaTheme="majorEastAsia" w:hint="eastAsia"/>
                <w:sz w:val="22"/>
                <w:szCs w:val="22"/>
              </w:rPr>
              <w:t xml:space="preserve">　</w:t>
            </w:r>
            <w:r w:rsidRPr="00C83027">
              <w:rPr>
                <w:rFonts w:eastAsiaTheme="majorEastAsia"/>
                <w:sz w:val="22"/>
                <w:szCs w:val="22"/>
              </w:rPr>
              <w:t>初版</w:t>
            </w:r>
            <w:r w:rsidRPr="00C83027">
              <w:rPr>
                <w:rFonts w:eastAsiaTheme="majorEastAsia"/>
                <w:sz w:val="22"/>
                <w:szCs w:val="22"/>
              </w:rPr>
              <w:t xml:space="preserve">. -- </w:t>
            </w:r>
            <w:r w:rsidRPr="00C83027">
              <w:rPr>
                <w:rFonts w:eastAsiaTheme="majorEastAsia"/>
                <w:sz w:val="22"/>
                <w:szCs w:val="22"/>
              </w:rPr>
              <w:t>臺北市</w:t>
            </w:r>
            <w:r w:rsidRPr="00C83027">
              <w:rPr>
                <w:rFonts w:eastAsiaTheme="majorEastAsia"/>
                <w:sz w:val="22"/>
                <w:szCs w:val="22"/>
              </w:rPr>
              <w:t xml:space="preserve"> : </w:t>
            </w:r>
            <w:r w:rsidRPr="00C83027">
              <w:rPr>
                <w:rFonts w:eastAsiaTheme="majorEastAsia"/>
                <w:sz w:val="22"/>
                <w:szCs w:val="22"/>
              </w:rPr>
              <w:t>監察院</w:t>
            </w:r>
            <w:r w:rsidRPr="00C83027">
              <w:rPr>
                <w:rFonts w:eastAsiaTheme="majorEastAsia"/>
                <w:sz w:val="22"/>
                <w:szCs w:val="22"/>
              </w:rPr>
              <w:t xml:space="preserve">, </w:t>
            </w:r>
            <w:r w:rsidRPr="00C83027">
              <w:rPr>
                <w:rFonts w:eastAsiaTheme="majorEastAsia"/>
                <w:sz w:val="22"/>
                <w:szCs w:val="22"/>
              </w:rPr>
              <w:t>民</w:t>
            </w:r>
            <w:r w:rsidRPr="00C83027">
              <w:rPr>
                <w:rFonts w:eastAsiaTheme="majorEastAsia"/>
                <w:sz w:val="22"/>
                <w:szCs w:val="22"/>
              </w:rPr>
              <w:t xml:space="preserve">108.08 </w:t>
            </w:r>
          </w:p>
          <w:p w:rsidR="0061006E" w:rsidRPr="00C83027" w:rsidRDefault="0061006E" w:rsidP="00C83027">
            <w:pPr>
              <w:spacing w:line="320" w:lineRule="exact"/>
              <w:rPr>
                <w:rFonts w:eastAsiaTheme="majorEastAsia"/>
                <w:sz w:val="22"/>
                <w:szCs w:val="22"/>
              </w:rPr>
            </w:pPr>
            <w:r w:rsidRPr="00C83027">
              <w:rPr>
                <w:rFonts w:eastAsiaTheme="majorEastAsia"/>
                <w:sz w:val="22"/>
                <w:szCs w:val="22"/>
              </w:rPr>
              <w:t xml:space="preserve">　</w:t>
            </w:r>
            <w:r w:rsidR="00C83027">
              <w:rPr>
                <w:rFonts w:eastAsiaTheme="majorEastAsia" w:hint="eastAsia"/>
                <w:sz w:val="22"/>
                <w:szCs w:val="22"/>
              </w:rPr>
              <w:t xml:space="preserve">　</w:t>
            </w:r>
            <w:r w:rsidRPr="00C83027">
              <w:rPr>
                <w:rFonts w:eastAsiaTheme="majorEastAsia"/>
                <w:sz w:val="22"/>
                <w:szCs w:val="22"/>
              </w:rPr>
              <w:t>面</w:t>
            </w:r>
            <w:r w:rsidRPr="00C83027">
              <w:rPr>
                <w:rFonts w:eastAsiaTheme="majorEastAsia"/>
                <w:sz w:val="22"/>
                <w:szCs w:val="22"/>
              </w:rPr>
              <w:t xml:space="preserve"> ; </w:t>
            </w:r>
            <w:r w:rsidRPr="00C83027">
              <w:rPr>
                <w:rFonts w:eastAsiaTheme="majorEastAsia"/>
                <w:sz w:val="22"/>
                <w:szCs w:val="22"/>
              </w:rPr>
              <w:t xml:space="preserve">　公分</w:t>
            </w:r>
            <w:r w:rsidRPr="00C83027">
              <w:rPr>
                <w:rFonts w:eastAsiaTheme="majorEastAsia"/>
                <w:sz w:val="22"/>
                <w:szCs w:val="22"/>
              </w:rPr>
              <w:t xml:space="preserve"> </w:t>
            </w:r>
          </w:p>
          <w:p w:rsidR="0061006E" w:rsidRPr="00C83027" w:rsidRDefault="00C83027" w:rsidP="00C83027">
            <w:pPr>
              <w:spacing w:line="320" w:lineRule="exact"/>
              <w:rPr>
                <w:rFonts w:eastAsiaTheme="majorEastAsia"/>
                <w:sz w:val="22"/>
                <w:szCs w:val="22"/>
              </w:rPr>
            </w:pPr>
            <w:r>
              <w:rPr>
                <w:rFonts w:eastAsiaTheme="majorEastAsia" w:hint="eastAsia"/>
                <w:sz w:val="22"/>
                <w:szCs w:val="22"/>
              </w:rPr>
              <w:t xml:space="preserve">　</w:t>
            </w:r>
            <w:r w:rsidR="0061006E" w:rsidRPr="00C83027">
              <w:rPr>
                <w:rFonts w:eastAsiaTheme="majorEastAsia"/>
                <w:sz w:val="22"/>
                <w:szCs w:val="22"/>
              </w:rPr>
              <w:t>ISBN 978-986-05-9665-6</w:t>
            </w:r>
            <w:r>
              <w:rPr>
                <w:rFonts w:eastAsiaTheme="majorEastAsia" w:hint="eastAsia"/>
                <w:sz w:val="22"/>
                <w:szCs w:val="22"/>
              </w:rPr>
              <w:t>（</w:t>
            </w:r>
            <w:r w:rsidR="0061006E" w:rsidRPr="00C83027">
              <w:rPr>
                <w:rFonts w:eastAsiaTheme="majorEastAsia"/>
                <w:sz w:val="22"/>
                <w:szCs w:val="22"/>
              </w:rPr>
              <w:t>平裝</w:t>
            </w:r>
            <w:r>
              <w:rPr>
                <w:rFonts w:eastAsiaTheme="majorEastAsia" w:hint="eastAsia"/>
                <w:sz w:val="22"/>
                <w:szCs w:val="22"/>
              </w:rPr>
              <w:t>）</w:t>
            </w:r>
            <w:r w:rsidR="0061006E" w:rsidRPr="00C83027">
              <w:rPr>
                <w:rFonts w:eastAsiaTheme="majorEastAsia"/>
                <w:sz w:val="22"/>
                <w:szCs w:val="22"/>
              </w:rPr>
              <w:t xml:space="preserve"> </w:t>
            </w:r>
          </w:p>
          <w:p w:rsidR="0061006E" w:rsidRPr="00C83027" w:rsidRDefault="0061006E" w:rsidP="00C83027">
            <w:pPr>
              <w:spacing w:line="300" w:lineRule="exact"/>
              <w:rPr>
                <w:rFonts w:eastAsiaTheme="majorEastAsia"/>
                <w:sz w:val="22"/>
                <w:szCs w:val="22"/>
              </w:rPr>
            </w:pPr>
          </w:p>
          <w:p w:rsidR="0061006E" w:rsidRDefault="00C83027" w:rsidP="00C83027">
            <w:pPr>
              <w:spacing w:line="320" w:lineRule="exact"/>
              <w:rPr>
                <w:rFonts w:eastAsiaTheme="majorEastAsia"/>
                <w:sz w:val="22"/>
                <w:szCs w:val="22"/>
              </w:rPr>
            </w:pPr>
            <w:r>
              <w:rPr>
                <w:rFonts w:eastAsiaTheme="majorEastAsia" w:hint="eastAsia"/>
                <w:sz w:val="22"/>
                <w:szCs w:val="22"/>
              </w:rPr>
              <w:t xml:space="preserve">　</w:t>
            </w:r>
            <w:r w:rsidR="0061006E" w:rsidRPr="00C83027">
              <w:rPr>
                <w:rFonts w:eastAsiaTheme="majorEastAsia"/>
                <w:sz w:val="22"/>
                <w:szCs w:val="22"/>
              </w:rPr>
              <w:t>1.</w:t>
            </w:r>
            <w:r w:rsidR="0061006E" w:rsidRPr="00C83027">
              <w:rPr>
                <w:rFonts w:eastAsiaTheme="majorEastAsia"/>
                <w:sz w:val="22"/>
                <w:szCs w:val="22"/>
              </w:rPr>
              <w:t>人權</w:t>
            </w:r>
            <w:r w:rsidR="0061006E" w:rsidRPr="00C83027">
              <w:rPr>
                <w:rFonts w:eastAsiaTheme="majorEastAsia"/>
                <w:sz w:val="22"/>
                <w:szCs w:val="22"/>
              </w:rPr>
              <w:t xml:space="preserve"> </w:t>
            </w:r>
          </w:p>
          <w:p w:rsidR="00C83027" w:rsidRPr="00C83027" w:rsidRDefault="00C83027" w:rsidP="00C83027">
            <w:pPr>
              <w:spacing w:line="320" w:lineRule="exact"/>
              <w:rPr>
                <w:rFonts w:eastAsiaTheme="majorEastAsia"/>
                <w:sz w:val="22"/>
                <w:szCs w:val="22"/>
              </w:rPr>
            </w:pPr>
          </w:p>
          <w:p w:rsidR="0061006E" w:rsidRPr="00C83027" w:rsidRDefault="00C83027" w:rsidP="00C83027">
            <w:pPr>
              <w:spacing w:line="300" w:lineRule="exact"/>
              <w:rPr>
                <w:rFonts w:eastAsiaTheme="majorEastAsia"/>
                <w:sz w:val="22"/>
                <w:szCs w:val="22"/>
              </w:rPr>
            </w:pPr>
            <w:r>
              <w:rPr>
                <w:rFonts w:eastAsiaTheme="majorEastAsia" w:hint="eastAsia"/>
                <w:sz w:val="22"/>
                <w:szCs w:val="22"/>
              </w:rPr>
              <w:t xml:space="preserve">　</w:t>
            </w:r>
            <w:r w:rsidRPr="00C83027">
              <w:rPr>
                <w:rFonts w:eastAsiaTheme="majorEastAsia"/>
                <w:sz w:val="22"/>
                <w:szCs w:val="22"/>
              </w:rPr>
              <w:t>579.27</w:t>
            </w:r>
            <w:r>
              <w:rPr>
                <w:rFonts w:eastAsiaTheme="majorEastAsia" w:hint="eastAsia"/>
                <w:sz w:val="22"/>
                <w:szCs w:val="22"/>
              </w:rPr>
              <w:t xml:space="preserve">　　　　　　　　　　　　　　　　　　　　</w:t>
            </w:r>
            <w:r w:rsidRPr="00C83027">
              <w:rPr>
                <w:rFonts w:eastAsiaTheme="majorEastAsia"/>
                <w:sz w:val="22"/>
                <w:szCs w:val="22"/>
              </w:rPr>
              <w:t>108011417</w:t>
            </w:r>
          </w:p>
        </w:tc>
      </w:tr>
    </w:tbl>
    <w:p w:rsidR="0061006E" w:rsidRPr="00C83027" w:rsidRDefault="0061006E" w:rsidP="00527475">
      <w:pPr>
        <w:spacing w:beforeLines="50" w:before="270" w:afterLines="30" w:after="162"/>
        <w:jc w:val="center"/>
        <w:rPr>
          <w:rFonts w:eastAsia="華康粗明體"/>
          <w:sz w:val="28"/>
          <w:szCs w:val="28"/>
        </w:rPr>
      </w:pPr>
      <w:r w:rsidRPr="00C83027">
        <w:rPr>
          <w:rFonts w:eastAsia="華康粗明體"/>
          <w:sz w:val="28"/>
          <w:szCs w:val="28"/>
        </w:rPr>
        <w:t>2017</w:t>
      </w:r>
      <w:r w:rsidRPr="00C83027">
        <w:rPr>
          <w:rFonts w:eastAsia="華康粗明體"/>
          <w:sz w:val="28"/>
          <w:szCs w:val="28"/>
        </w:rPr>
        <w:t>年監察院人權工作實錄</w:t>
      </w:r>
    </w:p>
    <w:p w:rsidR="0061006E" w:rsidRPr="0061006E" w:rsidRDefault="0061006E" w:rsidP="0061006E">
      <w:pPr>
        <w:rPr>
          <w:rFonts w:eastAsiaTheme="majorEastAsia"/>
          <w:sz w:val="18"/>
          <w:szCs w:val="18"/>
        </w:rPr>
      </w:pPr>
      <w:r w:rsidRPr="0061006E">
        <w:rPr>
          <w:rFonts w:eastAsiaTheme="majorEastAsia"/>
          <w:sz w:val="18"/>
          <w:szCs w:val="18"/>
        </w:rPr>
        <w:t>編</w:t>
      </w:r>
      <w:r w:rsidRPr="0061006E">
        <w:rPr>
          <w:rFonts w:eastAsiaTheme="majorEastAsia"/>
          <w:sz w:val="18"/>
          <w:szCs w:val="18"/>
        </w:rPr>
        <w:t xml:space="preserve"> </w:t>
      </w:r>
      <w:r w:rsidRPr="0061006E">
        <w:rPr>
          <w:rFonts w:eastAsiaTheme="majorEastAsia"/>
          <w:sz w:val="18"/>
          <w:szCs w:val="18"/>
        </w:rPr>
        <w:t>著</w:t>
      </w:r>
      <w:r w:rsidRPr="0061006E">
        <w:rPr>
          <w:rFonts w:eastAsiaTheme="majorEastAsia"/>
          <w:sz w:val="18"/>
          <w:szCs w:val="18"/>
        </w:rPr>
        <w:t xml:space="preserve"> </w:t>
      </w:r>
      <w:r w:rsidRPr="0061006E">
        <w:rPr>
          <w:rFonts w:eastAsiaTheme="majorEastAsia"/>
          <w:sz w:val="18"/>
          <w:szCs w:val="18"/>
        </w:rPr>
        <w:t>者：監察院人權保障委員會</w:t>
      </w:r>
    </w:p>
    <w:p w:rsidR="0061006E" w:rsidRPr="0061006E" w:rsidRDefault="0061006E" w:rsidP="0061006E">
      <w:pPr>
        <w:rPr>
          <w:rFonts w:eastAsiaTheme="majorEastAsia"/>
          <w:sz w:val="18"/>
          <w:szCs w:val="18"/>
        </w:rPr>
      </w:pPr>
      <w:r w:rsidRPr="0061006E">
        <w:rPr>
          <w:rFonts w:eastAsiaTheme="majorEastAsia"/>
          <w:sz w:val="18"/>
          <w:szCs w:val="18"/>
        </w:rPr>
        <w:t>發</w:t>
      </w:r>
      <w:r w:rsidRPr="0061006E">
        <w:rPr>
          <w:rFonts w:eastAsiaTheme="majorEastAsia"/>
          <w:sz w:val="18"/>
          <w:szCs w:val="18"/>
        </w:rPr>
        <w:t xml:space="preserve"> </w:t>
      </w:r>
      <w:r w:rsidRPr="0061006E">
        <w:rPr>
          <w:rFonts w:eastAsiaTheme="majorEastAsia"/>
          <w:sz w:val="18"/>
          <w:szCs w:val="18"/>
        </w:rPr>
        <w:t>行</w:t>
      </w:r>
      <w:r w:rsidRPr="0061006E">
        <w:rPr>
          <w:rFonts w:eastAsiaTheme="majorEastAsia"/>
          <w:sz w:val="18"/>
          <w:szCs w:val="18"/>
        </w:rPr>
        <w:t xml:space="preserve"> </w:t>
      </w:r>
      <w:r w:rsidRPr="0061006E">
        <w:rPr>
          <w:rFonts w:eastAsiaTheme="majorEastAsia"/>
          <w:sz w:val="18"/>
          <w:szCs w:val="18"/>
        </w:rPr>
        <w:t>人：張博雅</w:t>
      </w:r>
    </w:p>
    <w:p w:rsidR="0061006E" w:rsidRPr="0061006E" w:rsidRDefault="0061006E" w:rsidP="0061006E">
      <w:pPr>
        <w:rPr>
          <w:rFonts w:eastAsiaTheme="majorEastAsia"/>
          <w:sz w:val="18"/>
          <w:szCs w:val="18"/>
        </w:rPr>
      </w:pPr>
      <w:r w:rsidRPr="0061006E">
        <w:rPr>
          <w:rFonts w:eastAsiaTheme="majorEastAsia"/>
          <w:sz w:val="18"/>
          <w:szCs w:val="18"/>
        </w:rPr>
        <w:t>出</w:t>
      </w:r>
      <w:r w:rsidRPr="0061006E">
        <w:rPr>
          <w:rFonts w:eastAsiaTheme="majorEastAsia"/>
          <w:sz w:val="18"/>
          <w:szCs w:val="18"/>
        </w:rPr>
        <w:t xml:space="preserve"> </w:t>
      </w:r>
      <w:r w:rsidRPr="0061006E">
        <w:rPr>
          <w:rFonts w:eastAsiaTheme="majorEastAsia"/>
          <w:sz w:val="18"/>
          <w:szCs w:val="18"/>
        </w:rPr>
        <w:t>版</w:t>
      </w:r>
      <w:r w:rsidRPr="0061006E">
        <w:rPr>
          <w:rFonts w:eastAsiaTheme="majorEastAsia"/>
          <w:sz w:val="18"/>
          <w:szCs w:val="18"/>
        </w:rPr>
        <w:t xml:space="preserve"> </w:t>
      </w:r>
      <w:r w:rsidRPr="0061006E">
        <w:rPr>
          <w:rFonts w:eastAsiaTheme="majorEastAsia"/>
          <w:sz w:val="18"/>
          <w:szCs w:val="18"/>
        </w:rPr>
        <w:t>者：監察院</w:t>
      </w:r>
    </w:p>
    <w:p w:rsidR="0061006E" w:rsidRPr="0061006E" w:rsidRDefault="0061006E" w:rsidP="0061006E">
      <w:pPr>
        <w:rPr>
          <w:rFonts w:eastAsiaTheme="majorEastAsia"/>
          <w:sz w:val="18"/>
          <w:szCs w:val="18"/>
        </w:rPr>
      </w:pPr>
      <w:r w:rsidRPr="0061006E">
        <w:rPr>
          <w:rFonts w:eastAsiaTheme="majorEastAsia"/>
          <w:sz w:val="18"/>
          <w:szCs w:val="18"/>
        </w:rPr>
        <w:t>地　　址：臺北市忠孝東路</w:t>
      </w:r>
      <w:r w:rsidRPr="0061006E">
        <w:rPr>
          <w:rFonts w:eastAsiaTheme="majorEastAsia"/>
          <w:sz w:val="18"/>
          <w:szCs w:val="18"/>
        </w:rPr>
        <w:t>1</w:t>
      </w:r>
      <w:r w:rsidRPr="0061006E">
        <w:rPr>
          <w:rFonts w:eastAsiaTheme="majorEastAsia"/>
          <w:sz w:val="18"/>
          <w:szCs w:val="18"/>
        </w:rPr>
        <w:t>段</w:t>
      </w:r>
      <w:r w:rsidRPr="0061006E">
        <w:rPr>
          <w:rFonts w:eastAsiaTheme="majorEastAsia"/>
          <w:sz w:val="18"/>
          <w:szCs w:val="18"/>
        </w:rPr>
        <w:t>2</w:t>
      </w:r>
      <w:r w:rsidRPr="0061006E">
        <w:rPr>
          <w:rFonts w:eastAsiaTheme="majorEastAsia"/>
          <w:sz w:val="18"/>
          <w:szCs w:val="18"/>
        </w:rPr>
        <w:t>號</w:t>
      </w:r>
    </w:p>
    <w:p w:rsidR="0061006E" w:rsidRPr="0061006E" w:rsidRDefault="0061006E" w:rsidP="0061006E">
      <w:pPr>
        <w:rPr>
          <w:rFonts w:eastAsiaTheme="majorEastAsia"/>
          <w:sz w:val="18"/>
          <w:szCs w:val="18"/>
        </w:rPr>
      </w:pPr>
      <w:r w:rsidRPr="0061006E">
        <w:rPr>
          <w:rFonts w:eastAsiaTheme="majorEastAsia"/>
          <w:sz w:val="18"/>
          <w:szCs w:val="18"/>
        </w:rPr>
        <w:t>電　　話：（</w:t>
      </w:r>
      <w:r w:rsidRPr="0061006E">
        <w:rPr>
          <w:rFonts w:eastAsiaTheme="majorEastAsia"/>
          <w:sz w:val="18"/>
          <w:szCs w:val="18"/>
        </w:rPr>
        <w:t>02</w:t>
      </w:r>
      <w:r w:rsidRPr="0061006E">
        <w:rPr>
          <w:rFonts w:eastAsiaTheme="majorEastAsia"/>
          <w:sz w:val="18"/>
          <w:szCs w:val="18"/>
        </w:rPr>
        <w:t>）</w:t>
      </w:r>
      <w:r w:rsidRPr="0061006E">
        <w:rPr>
          <w:rFonts w:eastAsiaTheme="majorEastAsia"/>
          <w:sz w:val="18"/>
          <w:szCs w:val="18"/>
        </w:rPr>
        <w:t>2341-3183</w:t>
      </w:r>
    </w:p>
    <w:p w:rsidR="0061006E" w:rsidRPr="0061006E" w:rsidRDefault="0061006E" w:rsidP="0061006E">
      <w:pPr>
        <w:rPr>
          <w:rFonts w:eastAsiaTheme="majorEastAsia"/>
          <w:sz w:val="18"/>
          <w:szCs w:val="18"/>
        </w:rPr>
      </w:pPr>
      <w:r w:rsidRPr="0061006E">
        <w:rPr>
          <w:rFonts w:eastAsiaTheme="majorEastAsia"/>
          <w:sz w:val="18"/>
          <w:szCs w:val="18"/>
        </w:rPr>
        <w:t>網　　址：</w:t>
      </w:r>
      <w:r w:rsidRPr="0061006E">
        <w:rPr>
          <w:rFonts w:eastAsiaTheme="majorEastAsia"/>
          <w:sz w:val="18"/>
          <w:szCs w:val="18"/>
        </w:rPr>
        <w:t>http://www.cy.gov.tw/</w:t>
      </w:r>
    </w:p>
    <w:p w:rsidR="0061006E" w:rsidRPr="0061006E" w:rsidRDefault="0061006E" w:rsidP="0061006E">
      <w:pPr>
        <w:rPr>
          <w:rFonts w:eastAsiaTheme="majorEastAsia"/>
          <w:sz w:val="18"/>
          <w:szCs w:val="18"/>
        </w:rPr>
      </w:pPr>
      <w:r w:rsidRPr="0061006E">
        <w:rPr>
          <w:rFonts w:eastAsiaTheme="majorEastAsia"/>
          <w:sz w:val="18"/>
          <w:szCs w:val="18"/>
        </w:rPr>
        <w:t>監察院檢舉專用信箱：臺北郵政</w:t>
      </w:r>
      <w:r w:rsidRPr="0061006E">
        <w:rPr>
          <w:rFonts w:eastAsiaTheme="majorEastAsia"/>
          <w:sz w:val="18"/>
          <w:szCs w:val="18"/>
        </w:rPr>
        <w:t>8-168</w:t>
      </w:r>
      <w:r w:rsidRPr="0061006E">
        <w:rPr>
          <w:rFonts w:eastAsiaTheme="majorEastAsia"/>
          <w:sz w:val="18"/>
          <w:szCs w:val="18"/>
        </w:rPr>
        <w:t>號信箱</w:t>
      </w:r>
    </w:p>
    <w:p w:rsidR="0061006E" w:rsidRPr="0061006E" w:rsidRDefault="0061006E" w:rsidP="0061006E">
      <w:pPr>
        <w:rPr>
          <w:rFonts w:eastAsiaTheme="majorEastAsia"/>
          <w:sz w:val="18"/>
          <w:szCs w:val="18"/>
        </w:rPr>
      </w:pPr>
      <w:r w:rsidRPr="0061006E">
        <w:rPr>
          <w:rFonts w:eastAsiaTheme="majorEastAsia"/>
          <w:sz w:val="18"/>
          <w:szCs w:val="18"/>
        </w:rPr>
        <w:t>傳　　真：（</w:t>
      </w:r>
      <w:r w:rsidRPr="0061006E">
        <w:rPr>
          <w:rFonts w:eastAsiaTheme="majorEastAsia"/>
          <w:sz w:val="18"/>
          <w:szCs w:val="18"/>
        </w:rPr>
        <w:t>02</w:t>
      </w:r>
      <w:r w:rsidRPr="0061006E">
        <w:rPr>
          <w:rFonts w:eastAsiaTheme="majorEastAsia"/>
          <w:sz w:val="18"/>
          <w:szCs w:val="18"/>
        </w:rPr>
        <w:t>）</w:t>
      </w:r>
      <w:r w:rsidRPr="0061006E">
        <w:rPr>
          <w:rFonts w:eastAsiaTheme="majorEastAsia"/>
          <w:sz w:val="18"/>
          <w:szCs w:val="18"/>
        </w:rPr>
        <w:t>2341-0324</w:t>
      </w:r>
    </w:p>
    <w:p w:rsidR="0061006E" w:rsidRPr="0061006E" w:rsidRDefault="0061006E" w:rsidP="0061006E">
      <w:pPr>
        <w:rPr>
          <w:rFonts w:eastAsiaTheme="majorEastAsia"/>
          <w:sz w:val="18"/>
          <w:szCs w:val="18"/>
        </w:rPr>
      </w:pPr>
      <w:r w:rsidRPr="0061006E">
        <w:rPr>
          <w:rFonts w:eastAsiaTheme="majorEastAsia"/>
          <w:sz w:val="18"/>
          <w:szCs w:val="18"/>
        </w:rPr>
        <w:t>監察院政風室檢舉：</w:t>
      </w:r>
    </w:p>
    <w:p w:rsidR="0061006E" w:rsidRPr="0061006E" w:rsidRDefault="0061006E" w:rsidP="0061006E">
      <w:pPr>
        <w:rPr>
          <w:rFonts w:eastAsiaTheme="majorEastAsia"/>
          <w:sz w:val="18"/>
          <w:szCs w:val="18"/>
        </w:rPr>
      </w:pPr>
      <w:r w:rsidRPr="0061006E">
        <w:rPr>
          <w:rFonts w:eastAsiaTheme="majorEastAsia"/>
          <w:sz w:val="18"/>
          <w:szCs w:val="18"/>
        </w:rPr>
        <w:t>專線電話：（</w:t>
      </w:r>
      <w:r w:rsidRPr="0061006E">
        <w:rPr>
          <w:rFonts w:eastAsiaTheme="majorEastAsia"/>
          <w:sz w:val="18"/>
          <w:szCs w:val="18"/>
        </w:rPr>
        <w:t>02</w:t>
      </w:r>
      <w:r w:rsidRPr="0061006E">
        <w:rPr>
          <w:rFonts w:eastAsiaTheme="majorEastAsia"/>
          <w:sz w:val="18"/>
          <w:szCs w:val="18"/>
        </w:rPr>
        <w:t>）</w:t>
      </w:r>
      <w:r w:rsidRPr="0061006E">
        <w:rPr>
          <w:rFonts w:eastAsiaTheme="majorEastAsia"/>
          <w:sz w:val="18"/>
          <w:szCs w:val="18"/>
        </w:rPr>
        <w:t>2341-3183</w:t>
      </w:r>
      <w:r w:rsidRPr="0061006E">
        <w:rPr>
          <w:rFonts w:eastAsiaTheme="majorEastAsia"/>
          <w:sz w:val="18"/>
          <w:szCs w:val="18"/>
        </w:rPr>
        <w:t>轉</w:t>
      </w:r>
      <w:r w:rsidRPr="0061006E">
        <w:rPr>
          <w:rFonts w:eastAsiaTheme="majorEastAsia"/>
          <w:sz w:val="18"/>
          <w:szCs w:val="18"/>
        </w:rPr>
        <w:t xml:space="preserve">539  </w:t>
      </w:r>
      <w:r w:rsidRPr="0061006E">
        <w:rPr>
          <w:rFonts w:eastAsiaTheme="majorEastAsia"/>
          <w:sz w:val="18"/>
          <w:szCs w:val="18"/>
        </w:rPr>
        <w:t>（</w:t>
      </w:r>
      <w:r w:rsidRPr="0061006E">
        <w:rPr>
          <w:rFonts w:eastAsiaTheme="majorEastAsia"/>
          <w:sz w:val="18"/>
          <w:szCs w:val="18"/>
        </w:rPr>
        <w:t>02</w:t>
      </w:r>
      <w:r w:rsidRPr="0061006E">
        <w:rPr>
          <w:rFonts w:eastAsiaTheme="majorEastAsia"/>
          <w:sz w:val="18"/>
          <w:szCs w:val="18"/>
        </w:rPr>
        <w:t>）</w:t>
      </w:r>
      <w:r w:rsidRPr="0061006E">
        <w:rPr>
          <w:rFonts w:eastAsiaTheme="majorEastAsia"/>
          <w:sz w:val="18"/>
          <w:szCs w:val="18"/>
        </w:rPr>
        <w:t>2356-6598</w:t>
      </w:r>
    </w:p>
    <w:p w:rsidR="0061006E" w:rsidRPr="0061006E" w:rsidRDefault="0061006E" w:rsidP="0061006E">
      <w:pPr>
        <w:rPr>
          <w:rFonts w:eastAsiaTheme="majorEastAsia"/>
          <w:sz w:val="18"/>
          <w:szCs w:val="18"/>
        </w:rPr>
      </w:pPr>
      <w:r w:rsidRPr="0061006E">
        <w:rPr>
          <w:rFonts w:eastAsiaTheme="majorEastAsia"/>
          <w:sz w:val="18"/>
          <w:szCs w:val="18"/>
        </w:rPr>
        <w:t>傳　　真：（</w:t>
      </w:r>
      <w:r w:rsidRPr="0061006E">
        <w:rPr>
          <w:rFonts w:eastAsiaTheme="majorEastAsia"/>
          <w:sz w:val="18"/>
          <w:szCs w:val="18"/>
        </w:rPr>
        <w:t>02</w:t>
      </w:r>
      <w:r w:rsidRPr="0061006E">
        <w:rPr>
          <w:rFonts w:eastAsiaTheme="majorEastAsia"/>
          <w:sz w:val="18"/>
          <w:szCs w:val="18"/>
        </w:rPr>
        <w:t>）</w:t>
      </w:r>
      <w:r w:rsidRPr="0061006E">
        <w:rPr>
          <w:rFonts w:eastAsiaTheme="majorEastAsia"/>
          <w:sz w:val="18"/>
          <w:szCs w:val="18"/>
        </w:rPr>
        <w:t>2</w:t>
      </w:r>
      <w:bookmarkStart w:id="730" w:name="_GoBack"/>
      <w:bookmarkEnd w:id="730"/>
      <w:r w:rsidRPr="0061006E">
        <w:rPr>
          <w:rFonts w:eastAsiaTheme="majorEastAsia"/>
          <w:sz w:val="18"/>
          <w:szCs w:val="18"/>
        </w:rPr>
        <w:t>357-9670</w:t>
      </w:r>
    </w:p>
    <w:p w:rsidR="0061006E" w:rsidRPr="0061006E" w:rsidRDefault="0061006E" w:rsidP="0061006E">
      <w:pPr>
        <w:rPr>
          <w:rFonts w:eastAsiaTheme="majorEastAsia"/>
          <w:sz w:val="18"/>
          <w:szCs w:val="18"/>
        </w:rPr>
      </w:pPr>
      <w:r w:rsidRPr="0061006E">
        <w:rPr>
          <w:rFonts w:eastAsiaTheme="majorEastAsia"/>
          <w:sz w:val="18"/>
          <w:szCs w:val="18"/>
        </w:rPr>
        <w:t>展</w:t>
      </w:r>
      <w:r w:rsidRPr="0061006E">
        <w:rPr>
          <w:rFonts w:eastAsiaTheme="majorEastAsia"/>
          <w:sz w:val="18"/>
          <w:szCs w:val="18"/>
        </w:rPr>
        <w:t xml:space="preserve"> </w:t>
      </w:r>
      <w:r w:rsidRPr="0061006E">
        <w:rPr>
          <w:rFonts w:eastAsiaTheme="majorEastAsia"/>
          <w:sz w:val="18"/>
          <w:szCs w:val="18"/>
        </w:rPr>
        <w:t>售</w:t>
      </w:r>
      <w:r w:rsidRPr="0061006E">
        <w:rPr>
          <w:rFonts w:eastAsiaTheme="majorEastAsia"/>
          <w:sz w:val="18"/>
          <w:szCs w:val="18"/>
        </w:rPr>
        <w:t xml:space="preserve"> </w:t>
      </w:r>
      <w:r w:rsidRPr="0061006E">
        <w:rPr>
          <w:rFonts w:eastAsiaTheme="majorEastAsia"/>
          <w:sz w:val="18"/>
          <w:szCs w:val="18"/>
        </w:rPr>
        <w:t>處：五南文化廣場</w:t>
      </w:r>
      <w:r w:rsidRPr="0061006E">
        <w:rPr>
          <w:rFonts w:eastAsiaTheme="majorEastAsia"/>
          <w:sz w:val="18"/>
          <w:szCs w:val="18"/>
        </w:rPr>
        <w:t xml:space="preserve"> </w:t>
      </w:r>
      <w:r w:rsidRPr="0061006E">
        <w:rPr>
          <w:rFonts w:eastAsiaTheme="majorEastAsia"/>
          <w:sz w:val="18"/>
          <w:szCs w:val="18"/>
        </w:rPr>
        <w:t>臺中市中區中山路</w:t>
      </w:r>
      <w:r w:rsidRPr="0061006E">
        <w:rPr>
          <w:rFonts w:eastAsiaTheme="majorEastAsia"/>
          <w:sz w:val="18"/>
          <w:szCs w:val="18"/>
        </w:rPr>
        <w:t>6</w:t>
      </w:r>
      <w:r w:rsidRPr="0061006E">
        <w:rPr>
          <w:rFonts w:eastAsiaTheme="majorEastAsia"/>
          <w:sz w:val="18"/>
          <w:szCs w:val="18"/>
        </w:rPr>
        <w:t>號（</w:t>
      </w:r>
      <w:r w:rsidRPr="0061006E">
        <w:rPr>
          <w:rFonts w:eastAsiaTheme="majorEastAsia"/>
          <w:sz w:val="18"/>
          <w:szCs w:val="18"/>
        </w:rPr>
        <w:t>04</w:t>
      </w:r>
      <w:r w:rsidRPr="0061006E">
        <w:rPr>
          <w:rFonts w:eastAsiaTheme="majorEastAsia"/>
          <w:sz w:val="18"/>
          <w:szCs w:val="18"/>
        </w:rPr>
        <w:t>）</w:t>
      </w:r>
      <w:r w:rsidRPr="0061006E">
        <w:rPr>
          <w:rFonts w:eastAsiaTheme="majorEastAsia"/>
          <w:sz w:val="18"/>
          <w:szCs w:val="18"/>
        </w:rPr>
        <w:t>2226-0330</w:t>
      </w:r>
    </w:p>
    <w:p w:rsidR="0061006E" w:rsidRPr="0061006E" w:rsidRDefault="0061006E" w:rsidP="0061006E">
      <w:pPr>
        <w:rPr>
          <w:rFonts w:eastAsiaTheme="majorEastAsia"/>
          <w:sz w:val="18"/>
          <w:szCs w:val="18"/>
        </w:rPr>
      </w:pPr>
      <w:r w:rsidRPr="0061006E">
        <w:rPr>
          <w:rFonts w:eastAsiaTheme="majorEastAsia"/>
          <w:sz w:val="18"/>
          <w:szCs w:val="18"/>
        </w:rPr>
        <w:t xml:space="preserve">　　　　</w:t>
      </w:r>
      <w:r w:rsidR="00C83027">
        <w:rPr>
          <w:rFonts w:eastAsiaTheme="majorEastAsia" w:hint="eastAsia"/>
          <w:sz w:val="18"/>
          <w:szCs w:val="18"/>
        </w:rPr>
        <w:t xml:space="preserve">　</w:t>
      </w:r>
      <w:r w:rsidRPr="0061006E">
        <w:rPr>
          <w:rFonts w:eastAsiaTheme="majorEastAsia"/>
          <w:sz w:val="18"/>
          <w:szCs w:val="18"/>
        </w:rPr>
        <w:t>國家書店松江門市</w:t>
      </w:r>
      <w:r w:rsidR="00C83027">
        <w:rPr>
          <w:rFonts w:eastAsiaTheme="majorEastAsia" w:hint="eastAsia"/>
          <w:sz w:val="18"/>
          <w:szCs w:val="18"/>
        </w:rPr>
        <w:t xml:space="preserve">　</w:t>
      </w:r>
      <w:r w:rsidRPr="0061006E">
        <w:rPr>
          <w:rFonts w:eastAsiaTheme="majorEastAsia"/>
          <w:sz w:val="18"/>
          <w:szCs w:val="18"/>
        </w:rPr>
        <w:t>臺北市松江路</w:t>
      </w:r>
      <w:r w:rsidRPr="0061006E">
        <w:rPr>
          <w:rFonts w:eastAsiaTheme="majorEastAsia"/>
          <w:sz w:val="18"/>
          <w:szCs w:val="18"/>
        </w:rPr>
        <w:t>209</w:t>
      </w:r>
      <w:r w:rsidRPr="0061006E">
        <w:rPr>
          <w:rFonts w:eastAsiaTheme="majorEastAsia"/>
          <w:sz w:val="18"/>
          <w:szCs w:val="18"/>
        </w:rPr>
        <w:t>號</w:t>
      </w:r>
      <w:r w:rsidRPr="0061006E">
        <w:rPr>
          <w:rFonts w:eastAsiaTheme="majorEastAsia"/>
          <w:sz w:val="18"/>
          <w:szCs w:val="18"/>
        </w:rPr>
        <w:t>1</w:t>
      </w:r>
      <w:r w:rsidRPr="0061006E">
        <w:rPr>
          <w:rFonts w:eastAsiaTheme="majorEastAsia"/>
          <w:sz w:val="18"/>
          <w:szCs w:val="18"/>
        </w:rPr>
        <w:t>樓（</w:t>
      </w:r>
      <w:r w:rsidRPr="0061006E">
        <w:rPr>
          <w:rFonts w:eastAsiaTheme="majorEastAsia"/>
          <w:sz w:val="18"/>
          <w:szCs w:val="18"/>
        </w:rPr>
        <w:t>02</w:t>
      </w:r>
      <w:r w:rsidRPr="0061006E">
        <w:rPr>
          <w:rFonts w:eastAsiaTheme="majorEastAsia"/>
          <w:sz w:val="18"/>
          <w:szCs w:val="18"/>
        </w:rPr>
        <w:t>）</w:t>
      </w:r>
      <w:r w:rsidRPr="0061006E">
        <w:rPr>
          <w:rFonts w:eastAsiaTheme="majorEastAsia"/>
          <w:sz w:val="18"/>
          <w:szCs w:val="18"/>
        </w:rPr>
        <w:t>2518-0207</w:t>
      </w:r>
    </w:p>
    <w:p w:rsidR="0061006E" w:rsidRPr="0061006E" w:rsidRDefault="0061006E" w:rsidP="0061006E">
      <w:pPr>
        <w:rPr>
          <w:rFonts w:eastAsiaTheme="majorEastAsia"/>
          <w:sz w:val="18"/>
          <w:szCs w:val="18"/>
        </w:rPr>
      </w:pPr>
      <w:r w:rsidRPr="0061006E">
        <w:rPr>
          <w:rFonts w:eastAsiaTheme="majorEastAsia"/>
          <w:sz w:val="18"/>
          <w:szCs w:val="18"/>
        </w:rPr>
        <w:t xml:space="preserve">　　　　　國家網路書店</w:t>
      </w:r>
      <w:r w:rsidRPr="0061006E">
        <w:rPr>
          <w:rFonts w:eastAsiaTheme="majorEastAsia"/>
          <w:sz w:val="18"/>
          <w:szCs w:val="18"/>
        </w:rPr>
        <w:t xml:space="preserve"> http://www.govbooks.com.tw</w:t>
      </w:r>
    </w:p>
    <w:p w:rsidR="0061006E" w:rsidRPr="0061006E" w:rsidRDefault="0061006E" w:rsidP="0061006E">
      <w:pPr>
        <w:rPr>
          <w:rFonts w:eastAsiaTheme="majorEastAsia"/>
          <w:sz w:val="18"/>
          <w:szCs w:val="18"/>
        </w:rPr>
      </w:pPr>
      <w:r w:rsidRPr="0061006E">
        <w:rPr>
          <w:rFonts w:eastAsiaTheme="majorEastAsia"/>
          <w:sz w:val="18"/>
          <w:szCs w:val="18"/>
        </w:rPr>
        <w:t>印</w:t>
      </w:r>
      <w:r w:rsidRPr="0061006E">
        <w:rPr>
          <w:rFonts w:eastAsiaTheme="majorEastAsia"/>
          <w:sz w:val="18"/>
          <w:szCs w:val="18"/>
        </w:rPr>
        <w:t xml:space="preserve"> </w:t>
      </w:r>
      <w:r w:rsidRPr="0061006E">
        <w:rPr>
          <w:rFonts w:eastAsiaTheme="majorEastAsia"/>
          <w:sz w:val="18"/>
          <w:szCs w:val="18"/>
        </w:rPr>
        <w:t>刷</w:t>
      </w:r>
      <w:r w:rsidRPr="0061006E">
        <w:rPr>
          <w:rFonts w:eastAsiaTheme="majorEastAsia"/>
          <w:sz w:val="18"/>
          <w:szCs w:val="18"/>
        </w:rPr>
        <w:t xml:space="preserve"> </w:t>
      </w:r>
      <w:r w:rsidRPr="0061006E">
        <w:rPr>
          <w:rFonts w:eastAsiaTheme="majorEastAsia"/>
          <w:sz w:val="18"/>
          <w:szCs w:val="18"/>
        </w:rPr>
        <w:t>者：</w:t>
      </w:r>
      <w:r w:rsidR="00C83027">
        <w:rPr>
          <w:rFonts w:eastAsiaTheme="majorEastAsia" w:hint="eastAsia"/>
          <w:sz w:val="18"/>
          <w:szCs w:val="18"/>
        </w:rPr>
        <w:t>晶賀印刷</w:t>
      </w:r>
      <w:r w:rsidRPr="0061006E">
        <w:rPr>
          <w:rFonts w:eastAsiaTheme="majorEastAsia"/>
          <w:sz w:val="18"/>
          <w:szCs w:val="18"/>
        </w:rPr>
        <w:t>有限公司</w:t>
      </w:r>
    </w:p>
    <w:p w:rsidR="0061006E" w:rsidRPr="0061006E" w:rsidRDefault="0061006E" w:rsidP="0061006E">
      <w:pPr>
        <w:rPr>
          <w:rFonts w:eastAsiaTheme="majorEastAsia"/>
          <w:sz w:val="18"/>
          <w:szCs w:val="18"/>
        </w:rPr>
      </w:pPr>
      <w:r w:rsidRPr="0061006E">
        <w:rPr>
          <w:rFonts w:eastAsiaTheme="majorEastAsia"/>
          <w:sz w:val="18"/>
          <w:szCs w:val="18"/>
        </w:rPr>
        <w:t>地　　址：</w:t>
      </w:r>
      <w:r w:rsidR="00232768">
        <w:rPr>
          <w:rFonts w:eastAsiaTheme="majorEastAsia" w:hint="eastAsia"/>
          <w:sz w:val="18"/>
          <w:szCs w:val="18"/>
        </w:rPr>
        <w:t>臺</w:t>
      </w:r>
      <w:r w:rsidRPr="0061006E">
        <w:rPr>
          <w:rFonts w:eastAsiaTheme="majorEastAsia"/>
          <w:sz w:val="18"/>
          <w:szCs w:val="18"/>
        </w:rPr>
        <w:t>北市</w:t>
      </w:r>
      <w:r w:rsidR="00C83027">
        <w:rPr>
          <w:rFonts w:eastAsiaTheme="majorEastAsia" w:hint="eastAsia"/>
          <w:sz w:val="18"/>
          <w:szCs w:val="18"/>
        </w:rPr>
        <w:t>環河南</w:t>
      </w:r>
      <w:r w:rsidRPr="0061006E">
        <w:rPr>
          <w:rFonts w:eastAsiaTheme="majorEastAsia"/>
          <w:sz w:val="18"/>
          <w:szCs w:val="18"/>
        </w:rPr>
        <w:t>路</w:t>
      </w:r>
      <w:r w:rsidR="00C83027">
        <w:rPr>
          <w:rFonts w:eastAsiaTheme="majorEastAsia" w:hint="eastAsia"/>
          <w:sz w:val="18"/>
          <w:szCs w:val="18"/>
        </w:rPr>
        <w:t>3</w:t>
      </w:r>
      <w:r w:rsidR="00C83027">
        <w:rPr>
          <w:rFonts w:eastAsiaTheme="majorEastAsia" w:hint="eastAsia"/>
          <w:sz w:val="18"/>
          <w:szCs w:val="18"/>
        </w:rPr>
        <w:t>段</w:t>
      </w:r>
      <w:r w:rsidR="00C83027">
        <w:rPr>
          <w:rFonts w:eastAsiaTheme="majorEastAsia" w:hint="eastAsia"/>
          <w:sz w:val="18"/>
          <w:szCs w:val="18"/>
        </w:rPr>
        <w:t>47</w:t>
      </w:r>
      <w:r w:rsidRPr="0061006E">
        <w:rPr>
          <w:rFonts w:eastAsiaTheme="majorEastAsia"/>
          <w:sz w:val="18"/>
          <w:szCs w:val="18"/>
        </w:rPr>
        <w:t>號</w:t>
      </w:r>
    </w:p>
    <w:p w:rsidR="0061006E" w:rsidRPr="0061006E" w:rsidRDefault="0061006E" w:rsidP="0061006E">
      <w:pPr>
        <w:rPr>
          <w:rFonts w:eastAsiaTheme="majorEastAsia"/>
          <w:sz w:val="18"/>
          <w:szCs w:val="18"/>
        </w:rPr>
      </w:pPr>
      <w:r w:rsidRPr="0061006E">
        <w:rPr>
          <w:rFonts w:eastAsiaTheme="majorEastAsia"/>
          <w:sz w:val="18"/>
          <w:szCs w:val="18"/>
        </w:rPr>
        <w:t>電　　話：（</w:t>
      </w:r>
      <w:r w:rsidRPr="0061006E">
        <w:rPr>
          <w:rFonts w:eastAsiaTheme="majorEastAsia"/>
          <w:sz w:val="18"/>
          <w:szCs w:val="18"/>
        </w:rPr>
        <w:t>02</w:t>
      </w:r>
      <w:r w:rsidRPr="0061006E">
        <w:rPr>
          <w:rFonts w:eastAsiaTheme="majorEastAsia"/>
          <w:sz w:val="18"/>
          <w:szCs w:val="18"/>
        </w:rPr>
        <w:t>）</w:t>
      </w:r>
      <w:r w:rsidRPr="0061006E">
        <w:rPr>
          <w:rFonts w:eastAsiaTheme="majorEastAsia"/>
          <w:sz w:val="18"/>
          <w:szCs w:val="18"/>
        </w:rPr>
        <w:t>2</w:t>
      </w:r>
      <w:r w:rsidR="00C83027">
        <w:rPr>
          <w:rFonts w:eastAsiaTheme="majorEastAsia" w:hint="eastAsia"/>
          <w:sz w:val="18"/>
          <w:szCs w:val="18"/>
        </w:rPr>
        <w:t>305-7869</w:t>
      </w:r>
    </w:p>
    <w:p w:rsidR="0061006E" w:rsidRPr="0061006E" w:rsidRDefault="0061006E" w:rsidP="0061006E">
      <w:pPr>
        <w:rPr>
          <w:rFonts w:eastAsiaTheme="majorEastAsia"/>
          <w:sz w:val="18"/>
          <w:szCs w:val="18"/>
        </w:rPr>
      </w:pPr>
      <w:r w:rsidRPr="0061006E">
        <w:rPr>
          <w:rFonts w:eastAsiaTheme="majorEastAsia"/>
          <w:sz w:val="18"/>
          <w:szCs w:val="18"/>
        </w:rPr>
        <w:t>中華民國</w:t>
      </w:r>
      <w:r w:rsidRPr="0061006E">
        <w:rPr>
          <w:rFonts w:eastAsiaTheme="majorEastAsia"/>
          <w:sz w:val="18"/>
          <w:szCs w:val="18"/>
        </w:rPr>
        <w:t>108</w:t>
      </w:r>
      <w:r w:rsidRPr="0061006E">
        <w:rPr>
          <w:rFonts w:eastAsiaTheme="majorEastAsia"/>
          <w:sz w:val="18"/>
          <w:szCs w:val="18"/>
        </w:rPr>
        <w:t>年</w:t>
      </w:r>
      <w:r w:rsidRPr="0061006E">
        <w:rPr>
          <w:rFonts w:eastAsiaTheme="majorEastAsia"/>
          <w:sz w:val="18"/>
          <w:szCs w:val="18"/>
        </w:rPr>
        <w:t>8</w:t>
      </w:r>
      <w:r w:rsidRPr="0061006E">
        <w:rPr>
          <w:rFonts w:eastAsiaTheme="majorEastAsia"/>
          <w:sz w:val="18"/>
          <w:szCs w:val="18"/>
        </w:rPr>
        <w:t>月初版</w:t>
      </w:r>
    </w:p>
    <w:p w:rsidR="0061006E" w:rsidRPr="0061006E" w:rsidRDefault="0061006E" w:rsidP="0061006E">
      <w:pPr>
        <w:rPr>
          <w:rFonts w:eastAsiaTheme="majorEastAsia"/>
          <w:sz w:val="18"/>
          <w:szCs w:val="18"/>
        </w:rPr>
      </w:pPr>
      <w:r w:rsidRPr="0061006E">
        <w:rPr>
          <w:rFonts w:eastAsiaTheme="majorEastAsia"/>
          <w:sz w:val="18"/>
          <w:szCs w:val="18"/>
        </w:rPr>
        <w:t>定價：新臺幣</w:t>
      </w:r>
      <w:r w:rsidRPr="0061006E">
        <w:rPr>
          <w:rFonts w:eastAsiaTheme="majorEastAsia"/>
          <w:sz w:val="18"/>
          <w:szCs w:val="18"/>
        </w:rPr>
        <w:t>600</w:t>
      </w:r>
      <w:r w:rsidRPr="0061006E">
        <w:rPr>
          <w:rFonts w:eastAsiaTheme="majorEastAsia"/>
          <w:sz w:val="18"/>
          <w:szCs w:val="18"/>
        </w:rPr>
        <w:t>元整</w:t>
      </w:r>
    </w:p>
    <w:p w:rsidR="0061006E" w:rsidRPr="0061006E" w:rsidRDefault="0061006E" w:rsidP="0061006E">
      <w:pPr>
        <w:rPr>
          <w:rFonts w:eastAsiaTheme="majorEastAsia"/>
          <w:sz w:val="18"/>
          <w:szCs w:val="18"/>
        </w:rPr>
      </w:pPr>
      <w:r w:rsidRPr="0061006E">
        <w:rPr>
          <w:rFonts w:eastAsiaTheme="majorEastAsia"/>
          <w:sz w:val="18"/>
          <w:szCs w:val="18"/>
        </w:rPr>
        <w:t>ISBN</w:t>
      </w:r>
      <w:r w:rsidRPr="0061006E">
        <w:rPr>
          <w:rFonts w:eastAsiaTheme="majorEastAsia"/>
          <w:sz w:val="18"/>
          <w:szCs w:val="18"/>
        </w:rPr>
        <w:t>：</w:t>
      </w:r>
      <w:r w:rsidRPr="0061006E">
        <w:rPr>
          <w:rFonts w:eastAsiaTheme="majorEastAsia"/>
          <w:sz w:val="18"/>
          <w:szCs w:val="18"/>
        </w:rPr>
        <w:t>978-986-05-9665-6</w:t>
      </w:r>
    </w:p>
    <w:p w:rsidR="0061006E" w:rsidRPr="0061006E" w:rsidRDefault="0061006E" w:rsidP="0061006E">
      <w:pPr>
        <w:rPr>
          <w:rFonts w:eastAsiaTheme="majorEastAsia"/>
          <w:sz w:val="18"/>
          <w:szCs w:val="18"/>
        </w:rPr>
      </w:pPr>
      <w:r w:rsidRPr="0061006E">
        <w:rPr>
          <w:rFonts w:eastAsiaTheme="majorEastAsia"/>
          <w:sz w:val="18"/>
          <w:szCs w:val="18"/>
        </w:rPr>
        <w:t>GPN</w:t>
      </w:r>
      <w:r w:rsidRPr="0061006E">
        <w:rPr>
          <w:rFonts w:eastAsiaTheme="majorEastAsia"/>
          <w:sz w:val="18"/>
          <w:szCs w:val="18"/>
        </w:rPr>
        <w:t>：</w:t>
      </w:r>
      <w:r w:rsidRPr="0061006E">
        <w:rPr>
          <w:rFonts w:eastAsiaTheme="majorEastAsia"/>
          <w:sz w:val="18"/>
          <w:szCs w:val="18"/>
        </w:rPr>
        <w:t>1010801138</w:t>
      </w:r>
    </w:p>
    <w:p w:rsidR="0061006E" w:rsidRPr="0061006E" w:rsidRDefault="0061006E" w:rsidP="0061006E">
      <w:pPr>
        <w:rPr>
          <w:rFonts w:eastAsiaTheme="majorEastAsia"/>
          <w:sz w:val="18"/>
          <w:szCs w:val="18"/>
        </w:rPr>
      </w:pPr>
      <w:r w:rsidRPr="0061006E">
        <w:rPr>
          <w:rFonts w:eastAsiaTheme="majorEastAsia"/>
          <w:sz w:val="18"/>
          <w:szCs w:val="18"/>
        </w:rPr>
        <w:t>著作權管理訊息：</w:t>
      </w:r>
    </w:p>
    <w:p w:rsidR="0061006E" w:rsidRPr="0061006E" w:rsidRDefault="0061006E" w:rsidP="0061006E">
      <w:pPr>
        <w:rPr>
          <w:rFonts w:eastAsiaTheme="majorEastAsia"/>
          <w:sz w:val="18"/>
          <w:szCs w:val="18"/>
        </w:rPr>
      </w:pPr>
      <w:r w:rsidRPr="0061006E">
        <w:rPr>
          <w:rFonts w:eastAsiaTheme="majorEastAsia"/>
          <w:sz w:val="18"/>
          <w:szCs w:val="18"/>
        </w:rPr>
        <w:t>著作財產權人：監察院</w:t>
      </w:r>
    </w:p>
    <w:p w:rsidR="0061006E" w:rsidRPr="00796B2B" w:rsidRDefault="0061006E" w:rsidP="00C83027">
      <w:pPr>
        <w:ind w:left="180" w:hangingChars="100" w:hanging="180"/>
      </w:pPr>
      <w:r w:rsidRPr="0061006E">
        <w:rPr>
          <w:rFonts w:ascii="新細明體" w:eastAsia="新細明體" w:hAnsi="新細明體" w:cs="新細明體" w:hint="eastAsia"/>
          <w:sz w:val="18"/>
          <w:szCs w:val="18"/>
        </w:rPr>
        <w:t>◎</w:t>
      </w:r>
      <w:r w:rsidRPr="0061006E">
        <w:rPr>
          <w:rFonts w:eastAsiaTheme="majorEastAsia"/>
          <w:sz w:val="18"/>
          <w:szCs w:val="18"/>
        </w:rPr>
        <w:t>本書保留所有權利。欲利用本書全部或部分內容者，須徵求監察院同意或書面授權。請洽監察院人權保障委員會，電話：（</w:t>
      </w:r>
      <w:r w:rsidRPr="0061006E">
        <w:rPr>
          <w:rFonts w:eastAsiaTheme="majorEastAsia"/>
          <w:sz w:val="18"/>
          <w:szCs w:val="18"/>
        </w:rPr>
        <w:t>02</w:t>
      </w:r>
      <w:r w:rsidRPr="0061006E">
        <w:rPr>
          <w:rFonts w:eastAsiaTheme="majorEastAsia"/>
          <w:sz w:val="18"/>
          <w:szCs w:val="18"/>
        </w:rPr>
        <w:t>）</w:t>
      </w:r>
      <w:r w:rsidRPr="0061006E">
        <w:rPr>
          <w:rFonts w:eastAsiaTheme="majorEastAsia"/>
          <w:sz w:val="18"/>
          <w:szCs w:val="18"/>
        </w:rPr>
        <w:t>2341-3183</w:t>
      </w:r>
      <w:r w:rsidRPr="0061006E">
        <w:rPr>
          <w:rFonts w:eastAsiaTheme="majorEastAsia"/>
          <w:sz w:val="18"/>
          <w:szCs w:val="18"/>
        </w:rPr>
        <w:t>。</w:t>
      </w:r>
    </w:p>
    <w:sectPr w:rsidR="0061006E" w:rsidRPr="00796B2B" w:rsidSect="00C83027">
      <w:headerReference w:type="even" r:id="rId41"/>
      <w:headerReference w:type="default" r:id="rId42"/>
      <w:pgSz w:w="8392" w:h="11907" w:code="11"/>
      <w:pgMar w:top="1247" w:right="794" w:bottom="1021" w:left="964" w:header="624" w:footer="397" w:gutter="0"/>
      <w:cols w:space="425"/>
      <w:docGrid w:type="lines" w:linePitch="5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FFB" w:rsidRDefault="00F12FFB" w:rsidP="00577D14">
      <w:r>
        <w:separator/>
      </w:r>
    </w:p>
  </w:endnote>
  <w:endnote w:type="continuationSeparator" w:id="0">
    <w:p w:rsidR="00F12FFB" w:rsidRDefault="00F12FFB" w:rsidP="0057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華康新特明體">
    <w:altName w:val="Arial Unicode MS"/>
    <w:panose1 w:val="02020909000000000000"/>
    <w:charset w:val="88"/>
    <w:family w:val="modern"/>
    <w:pitch w:val="fixed"/>
    <w:sig w:usb0="80000001" w:usb1="28091800" w:usb2="00000016" w:usb3="00000000" w:csb0="00100000" w:csb1="00000000"/>
  </w:font>
  <w:font w:name="華康楷書體W5(P)">
    <w:panose1 w:val="02010600010101010101"/>
    <w:charset w:val="88"/>
    <w:family w:val="auto"/>
    <w:pitch w:val="variable"/>
    <w:sig w:usb0="80000001" w:usb1="28091800" w:usb2="00000016" w:usb3="00000000" w:csb0="00100000" w:csb1="00000000"/>
  </w:font>
  <w:font w:name="華康粗黑體">
    <w:panose1 w:val="02010609010101010101"/>
    <w:charset w:val="88"/>
    <w:family w:val="modern"/>
    <w:pitch w:val="fixed"/>
    <w:sig w:usb0="80000001" w:usb1="28091800" w:usb2="00000016" w:usb3="00000000" w:csb0="00100000" w:csb1="00000000"/>
  </w:font>
  <w:font w:name="華康正顏楷體W5">
    <w:panose1 w:val="03000509000000000000"/>
    <w:charset w:val="88"/>
    <w:family w:val="script"/>
    <w:pitch w:val="fixed"/>
    <w:sig w:usb0="80000001" w:usb1="28091800" w:usb2="00000016" w:usb3="00000000" w:csb0="00100000" w:csb1="00000000"/>
  </w:font>
  <w:font w:name="華康魏碑體">
    <w:panose1 w:val="02010609010101010101"/>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粗圓體">
    <w:panose1 w:val="02010609010101010101"/>
    <w:charset w:val="88"/>
    <w:family w:val="modern"/>
    <w:pitch w:val="fixed"/>
    <w:sig w:usb0="80000001" w:usb1="28091800" w:usb2="00000016" w:usb3="00000000" w:csb0="00100000" w:csb1="00000000"/>
  </w:font>
  <w:font w:name="華康楷書體W7">
    <w:panose1 w:val="02010609010101010101"/>
    <w:charset w:val="88"/>
    <w:family w:val="modern"/>
    <w:pitch w:val="fixed"/>
    <w:sig w:usb0="80000001" w:usb1="28091800" w:usb2="00000016" w:usb3="00000000" w:csb0="00100000" w:csb1="00000000"/>
  </w:font>
  <w:font w:name="全真顏體">
    <w:panose1 w:val="02010609000101010101"/>
    <w:charset w:val="88"/>
    <w:family w:val="modern"/>
    <w:pitch w:val="fixed"/>
    <w:sig w:usb0="00000001" w:usb1="08080000" w:usb2="00000010" w:usb3="00000000" w:csb0="00100000" w:csb1="00000000"/>
  </w:font>
  <w:font w:name="華康細黑體">
    <w:panose1 w:val="02010609010101010101"/>
    <w:charset w:val="88"/>
    <w:family w:val="modern"/>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華康粗明體">
    <w:panose1 w:val="02010609010101010101"/>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Default="00970832">
    <w:pPr>
      <w:pStyle w:val="af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Default="00970832">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Default="00970832">
    <w:pPr>
      <w:pStyle w:val="af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Default="00970832">
    <w:pPr>
      <w:pStyle w:val="af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Default="00970832" w:rsidP="009475D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Default="00970832">
    <w:pPr>
      <w:pStyle w:val="af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FFB" w:rsidRDefault="00F12FFB" w:rsidP="00577D14">
      <w:r>
        <w:separator/>
      </w:r>
    </w:p>
  </w:footnote>
  <w:footnote w:type="continuationSeparator" w:id="0">
    <w:p w:rsidR="00F12FFB" w:rsidRDefault="00F12FFB" w:rsidP="00577D14">
      <w:r>
        <w:continuationSeparator/>
      </w:r>
    </w:p>
  </w:footnote>
  <w:footnote w:id="1">
    <w:p w:rsidR="00970832" w:rsidRPr="009475DF" w:rsidRDefault="00970832" w:rsidP="00037CD1">
      <w:pPr>
        <w:pStyle w:val="aff3"/>
        <w:ind w:left="149" w:hangingChars="71" w:hanging="149"/>
        <w:jc w:val="both"/>
      </w:pPr>
      <w:r w:rsidRPr="002E579A">
        <w:rPr>
          <w:rStyle w:val="aff2"/>
          <w:sz w:val="21"/>
          <w:szCs w:val="21"/>
        </w:rPr>
        <w:footnoteRef/>
      </w:r>
      <w:r>
        <w:rPr>
          <w:rFonts w:hint="eastAsia"/>
        </w:rPr>
        <w:tab/>
      </w:r>
      <w:r w:rsidRPr="009475DF">
        <w:t>Three generations of human rights</w:t>
      </w:r>
      <w:r w:rsidRPr="008B5E82">
        <w:t>，</w:t>
      </w:r>
      <w:r w:rsidRPr="00037CD1">
        <w:t>https://en.wikipedia.org/wiki/Three_</w:t>
      </w:r>
      <w:r>
        <w:rPr>
          <w:rFonts w:hint="eastAsia"/>
        </w:rPr>
        <w:t xml:space="preserve"> </w:t>
      </w:r>
      <w:r w:rsidRPr="009475DF">
        <w:t>generations_of_human_rights</w:t>
      </w:r>
      <w:hyperlink r:id="rId1" w:history="1">
        <w:r w:rsidRPr="008B5E82">
          <w:t>，</w:t>
        </w:r>
        <w:r w:rsidRPr="008B5E82">
          <w:rPr>
            <w:rFonts w:hint="eastAsia"/>
          </w:rPr>
          <w:t>最後瀏覽日期：</w:t>
        </w:r>
        <w:r w:rsidRPr="008B5E82">
          <w:rPr>
            <w:rFonts w:hint="eastAsia"/>
          </w:rPr>
          <w:t>201</w:t>
        </w:r>
        <w:r>
          <w:rPr>
            <w:rFonts w:hint="eastAsia"/>
          </w:rPr>
          <w:t>9</w:t>
        </w:r>
      </w:hyperlink>
      <w:r w:rsidRPr="008B5E82">
        <w:rPr>
          <w:rFonts w:hint="eastAsia"/>
          <w:color w:val="000000"/>
        </w:rPr>
        <w:t>年</w:t>
      </w:r>
      <w:r>
        <w:rPr>
          <w:rFonts w:hint="eastAsia"/>
          <w:color w:val="000000"/>
        </w:rPr>
        <w:t>1</w:t>
      </w:r>
      <w:r w:rsidRPr="008B5E82">
        <w:rPr>
          <w:rFonts w:hint="eastAsia"/>
          <w:color w:val="000000"/>
        </w:rPr>
        <w:t>月</w:t>
      </w:r>
      <w:r>
        <w:rPr>
          <w:rFonts w:hint="eastAsia"/>
          <w:color w:val="000000"/>
        </w:rPr>
        <w:t>9</w:t>
      </w:r>
      <w:r w:rsidRPr="008B5E82">
        <w:rPr>
          <w:rFonts w:hint="eastAsia"/>
          <w:color w:val="000000"/>
        </w:rPr>
        <w:t>日</w:t>
      </w:r>
      <w:r w:rsidRPr="008B5E82">
        <w:rPr>
          <w:color w:val="000000"/>
        </w:rPr>
        <w:t>。</w:t>
      </w:r>
    </w:p>
  </w:footnote>
  <w:footnote w:id="2">
    <w:p w:rsidR="00970832" w:rsidRPr="008B5E82" w:rsidRDefault="00970832" w:rsidP="002E579A">
      <w:pPr>
        <w:pStyle w:val="2---"/>
        <w:ind w:left="178" w:hangingChars="85" w:hanging="178"/>
      </w:pPr>
      <w:r w:rsidRPr="002E579A">
        <w:rPr>
          <w:rStyle w:val="aff2"/>
          <w:sz w:val="21"/>
          <w:szCs w:val="21"/>
        </w:rPr>
        <w:footnoteRef/>
      </w:r>
      <w:r>
        <w:rPr>
          <w:rFonts w:hint="eastAsia"/>
          <w:sz w:val="21"/>
          <w:szCs w:val="21"/>
        </w:rPr>
        <w:tab/>
      </w:r>
      <w:r w:rsidRPr="008B5E82">
        <w:t>Reif, Linda C. “Building Democratic Institutions: The Role of National Human Rights Institutions in Good Governance and Human Rights Protection.” The Harvard Human Rights Journal, Spring 2000.</w:t>
      </w:r>
    </w:p>
  </w:footnote>
  <w:footnote w:id="3">
    <w:p w:rsidR="00970832" w:rsidRPr="00434EAA" w:rsidRDefault="00970832" w:rsidP="004408E7">
      <w:pPr>
        <w:pStyle w:val="2---"/>
        <w:ind w:left="149" w:hanging="149"/>
      </w:pPr>
      <w:r w:rsidRPr="004408E7">
        <w:rPr>
          <w:rStyle w:val="aff2"/>
          <w:sz w:val="21"/>
          <w:szCs w:val="21"/>
        </w:rPr>
        <w:footnoteRef/>
      </w:r>
      <w:r>
        <w:rPr>
          <w:rFonts w:ascii="細明體" w:eastAsia="細明體" w:hAnsi="細明體" w:cs="細明體" w:hint="eastAsia"/>
        </w:rPr>
        <w:tab/>
      </w:r>
      <w:r w:rsidRPr="00434EAA">
        <w:rPr>
          <w:rFonts w:hint="eastAsia"/>
        </w:rPr>
        <w:t>約翰</w:t>
      </w:r>
      <w:r>
        <w:rPr>
          <w:rFonts w:ascii="新細明體" w:hAnsi="新細明體" w:hint="eastAsia"/>
        </w:rPr>
        <w:t>˙</w:t>
      </w:r>
      <w:r w:rsidRPr="00434EAA">
        <w:rPr>
          <w:rFonts w:hint="eastAsia"/>
        </w:rPr>
        <w:t>洛克（</w:t>
      </w:r>
      <w:r w:rsidRPr="00434EAA">
        <w:rPr>
          <w:rFonts w:hint="eastAsia"/>
        </w:rPr>
        <w:t>John Locke</w:t>
      </w:r>
      <w:r w:rsidRPr="00037CD1">
        <w:rPr>
          <w:rFonts w:hint="eastAsia"/>
          <w:spacing w:val="-20"/>
        </w:rPr>
        <w:t>），</w:t>
      </w:r>
      <w:r w:rsidRPr="00434EAA">
        <w:rPr>
          <w:rFonts w:hint="eastAsia"/>
        </w:rPr>
        <w:t>《</w:t>
      </w:r>
      <w:r w:rsidRPr="00434EAA">
        <w:rPr>
          <w:rFonts w:hint="eastAsia"/>
          <w:lang w:eastAsia="zh-HK"/>
        </w:rPr>
        <w:t>政府</w:t>
      </w:r>
      <w:r w:rsidRPr="00434EAA">
        <w:rPr>
          <w:rFonts w:hint="eastAsia"/>
        </w:rPr>
        <w:t>論</w:t>
      </w:r>
      <w:r w:rsidRPr="00037CD1">
        <w:rPr>
          <w:rFonts w:hint="eastAsia"/>
          <w:spacing w:val="-20"/>
        </w:rPr>
        <w:t>》</w:t>
      </w:r>
      <w:r>
        <w:rPr>
          <w:rFonts w:hint="eastAsia"/>
        </w:rPr>
        <w:t>（</w:t>
      </w:r>
      <w:r w:rsidRPr="00434EAA">
        <w:rPr>
          <w:rFonts w:hint="eastAsia"/>
        </w:rPr>
        <w:t>Two Treatises of Government</w:t>
      </w:r>
      <w:r w:rsidRPr="00037CD1">
        <w:rPr>
          <w:rFonts w:hint="eastAsia"/>
          <w:spacing w:val="-20"/>
        </w:rPr>
        <w:t>）</w:t>
      </w:r>
      <w:r>
        <w:rPr>
          <w:rFonts w:hint="eastAsia"/>
        </w:rPr>
        <w:t>，</w:t>
      </w:r>
      <w:r w:rsidRPr="00434EAA">
        <w:rPr>
          <w:rFonts w:hint="eastAsia"/>
        </w:rPr>
        <w:t>1689</w:t>
      </w:r>
      <w:r>
        <w:rPr>
          <w:rFonts w:hint="eastAsia"/>
          <w:lang w:eastAsia="zh-HK"/>
        </w:rPr>
        <w:t>年。</w:t>
      </w:r>
    </w:p>
  </w:footnote>
  <w:footnote w:id="4">
    <w:p w:rsidR="00970832" w:rsidRPr="008B5E82" w:rsidRDefault="00970832" w:rsidP="004408E7">
      <w:pPr>
        <w:pStyle w:val="2---"/>
        <w:ind w:left="149" w:hanging="149"/>
      </w:pPr>
      <w:r w:rsidRPr="004408E7">
        <w:rPr>
          <w:rStyle w:val="aff2"/>
          <w:sz w:val="21"/>
          <w:szCs w:val="21"/>
        </w:rPr>
        <w:footnoteRef/>
      </w:r>
      <w:r>
        <w:rPr>
          <w:rFonts w:hint="eastAsia"/>
        </w:rPr>
        <w:tab/>
      </w:r>
      <w:r w:rsidRPr="008B5E82">
        <w:rPr>
          <w:rFonts w:hint="eastAsia"/>
          <w:lang w:eastAsia="zh-HK"/>
        </w:rPr>
        <w:t>李西潭</w:t>
      </w:r>
      <w:r w:rsidRPr="00037CD1">
        <w:rPr>
          <w:rFonts w:hint="eastAsia"/>
          <w:spacing w:val="-20"/>
          <w:lang w:eastAsia="zh-HK"/>
        </w:rPr>
        <w:t>，</w:t>
      </w:r>
      <w:r w:rsidRPr="008B5E82">
        <w:rPr>
          <w:rFonts w:hint="eastAsia"/>
        </w:rPr>
        <w:t>《</w:t>
      </w:r>
      <w:r w:rsidRPr="008B5E82">
        <w:rPr>
          <w:rFonts w:hint="eastAsia"/>
          <w:lang w:eastAsia="zh-HK"/>
        </w:rPr>
        <w:t>自由、平等與民主</w:t>
      </w:r>
      <w:r>
        <w:rPr>
          <w:rFonts w:hint="eastAsia"/>
        </w:rPr>
        <w:t>－</w:t>
      </w:r>
      <w:r w:rsidRPr="008B5E82">
        <w:rPr>
          <w:rFonts w:hint="eastAsia"/>
          <w:lang w:eastAsia="zh-HK"/>
        </w:rPr>
        <w:t>約翰彌勒與孫中山的政治思想</w:t>
      </w:r>
      <w:r w:rsidRPr="00037CD1">
        <w:rPr>
          <w:rFonts w:hint="eastAsia"/>
          <w:spacing w:val="-20"/>
        </w:rPr>
        <w:t>》</w:t>
      </w:r>
      <w:r w:rsidRPr="008B5E82">
        <w:rPr>
          <w:rFonts w:hint="eastAsia"/>
        </w:rPr>
        <w:t>，臺北：</w:t>
      </w:r>
      <w:r w:rsidRPr="008B5E82">
        <w:rPr>
          <w:rFonts w:hint="eastAsia"/>
          <w:lang w:eastAsia="zh-HK"/>
        </w:rPr>
        <w:t>國立編譯館，</w:t>
      </w:r>
      <w:r w:rsidRPr="008B5E82">
        <w:rPr>
          <w:rFonts w:hint="eastAsia"/>
          <w:lang w:eastAsia="zh-HK"/>
        </w:rPr>
        <w:t>1999</w:t>
      </w:r>
      <w:r w:rsidRPr="008B5E82">
        <w:rPr>
          <w:rFonts w:hint="eastAsia"/>
          <w:lang w:eastAsia="zh-HK"/>
        </w:rPr>
        <w:t>年，頁</w:t>
      </w:r>
      <w:r w:rsidRPr="008B5E82">
        <w:rPr>
          <w:rFonts w:hint="eastAsia"/>
          <w:lang w:eastAsia="zh-HK"/>
        </w:rPr>
        <w:t>18-33</w:t>
      </w:r>
      <w:r w:rsidRPr="008B5E82">
        <w:rPr>
          <w:rFonts w:hint="eastAsia"/>
          <w:lang w:eastAsia="zh-HK"/>
        </w:rPr>
        <w:t>。</w:t>
      </w:r>
    </w:p>
  </w:footnote>
  <w:footnote w:id="5">
    <w:p w:rsidR="00970832" w:rsidRPr="008B5E82" w:rsidRDefault="00970832" w:rsidP="004408E7">
      <w:pPr>
        <w:pStyle w:val="2---"/>
        <w:ind w:left="149" w:hanging="149"/>
      </w:pPr>
      <w:r w:rsidRPr="004408E7">
        <w:rPr>
          <w:rStyle w:val="aff2"/>
          <w:sz w:val="21"/>
          <w:szCs w:val="21"/>
        </w:rPr>
        <w:footnoteRef/>
      </w:r>
      <w:r>
        <w:rPr>
          <w:rFonts w:hint="eastAsia"/>
        </w:rPr>
        <w:tab/>
      </w:r>
      <w:r w:rsidRPr="008B5E82">
        <w:rPr>
          <w:rFonts w:hint="eastAsia"/>
          <w:lang w:eastAsia="zh-HK"/>
        </w:rPr>
        <w:t>許志雄</w:t>
      </w:r>
      <w:r w:rsidRPr="00037CD1">
        <w:rPr>
          <w:rFonts w:hint="eastAsia"/>
          <w:spacing w:val="-20"/>
        </w:rPr>
        <w:t>，</w:t>
      </w:r>
      <w:r w:rsidRPr="008B5E82">
        <w:rPr>
          <w:rFonts w:hint="eastAsia"/>
        </w:rPr>
        <w:t>〈</w:t>
      </w:r>
      <w:r w:rsidRPr="008B5E82">
        <w:rPr>
          <w:rFonts w:hint="eastAsia"/>
          <w:lang w:eastAsia="zh-HK"/>
        </w:rPr>
        <w:t>當代人權的發展趨勢與課題</w:t>
      </w:r>
      <w:r w:rsidRPr="00037CD1">
        <w:rPr>
          <w:rFonts w:hint="eastAsia"/>
          <w:spacing w:val="-20"/>
        </w:rPr>
        <w:t>〉，</w:t>
      </w:r>
      <w:r w:rsidRPr="008B5E82">
        <w:rPr>
          <w:rFonts w:hint="eastAsia"/>
        </w:rPr>
        <w:t>《</w:t>
      </w:r>
      <w:r w:rsidRPr="008B5E82">
        <w:rPr>
          <w:rFonts w:hint="eastAsia"/>
          <w:lang w:eastAsia="zh-HK"/>
        </w:rPr>
        <w:t>人權論</w:t>
      </w:r>
      <w:r>
        <w:rPr>
          <w:rFonts w:hint="eastAsia"/>
        </w:rPr>
        <w:t>－</w:t>
      </w:r>
      <w:r w:rsidRPr="008B5E82">
        <w:rPr>
          <w:rFonts w:hint="eastAsia"/>
          <w:lang w:eastAsia="zh-HK"/>
        </w:rPr>
        <w:t>現代與近代的交會</w:t>
      </w:r>
      <w:r w:rsidRPr="00037CD1">
        <w:rPr>
          <w:rFonts w:hint="eastAsia"/>
          <w:spacing w:val="-20"/>
        </w:rPr>
        <w:t>》</w:t>
      </w:r>
      <w:r w:rsidRPr="008B5E82">
        <w:rPr>
          <w:rFonts w:hint="eastAsia"/>
        </w:rPr>
        <w:t>，臺北：</w:t>
      </w:r>
      <w:r w:rsidRPr="008B5E82">
        <w:rPr>
          <w:rFonts w:hint="eastAsia"/>
          <w:lang w:eastAsia="zh-HK"/>
        </w:rPr>
        <w:t>元照出版有限公司</w:t>
      </w:r>
      <w:r w:rsidRPr="008B5E82">
        <w:rPr>
          <w:rFonts w:hint="eastAsia"/>
        </w:rPr>
        <w:t>，</w:t>
      </w:r>
      <w:r w:rsidRPr="008B5E82">
        <w:rPr>
          <w:rFonts w:hint="eastAsia"/>
        </w:rPr>
        <w:t>2016</w:t>
      </w:r>
      <w:r w:rsidRPr="008B5E82">
        <w:rPr>
          <w:rFonts w:hint="eastAsia"/>
        </w:rPr>
        <w:t>年，頁</w:t>
      </w:r>
      <w:r w:rsidRPr="008B5E82">
        <w:rPr>
          <w:rFonts w:hint="eastAsia"/>
        </w:rPr>
        <w:t>33-36</w:t>
      </w:r>
      <w:r w:rsidRPr="008B5E82">
        <w:rPr>
          <w:rFonts w:hint="eastAsia"/>
        </w:rPr>
        <w:t>；</w:t>
      </w:r>
      <w:r w:rsidRPr="008B5E82">
        <w:rPr>
          <w:rFonts w:hint="eastAsia"/>
        </w:rPr>
        <w:t>57-58</w:t>
      </w:r>
      <w:r w:rsidRPr="008B5E82">
        <w:rPr>
          <w:rFonts w:hint="eastAsia"/>
        </w:rPr>
        <w:t>。</w:t>
      </w:r>
    </w:p>
  </w:footnote>
  <w:footnote w:id="6">
    <w:p w:rsidR="00970832" w:rsidRPr="008B5E82" w:rsidRDefault="00970832" w:rsidP="004408E7">
      <w:pPr>
        <w:pStyle w:val="2---"/>
        <w:ind w:left="149" w:hanging="149"/>
      </w:pPr>
      <w:r w:rsidRPr="004408E7">
        <w:rPr>
          <w:sz w:val="21"/>
          <w:szCs w:val="21"/>
          <w:vertAlign w:val="superscript"/>
        </w:rPr>
        <w:footnoteRef/>
      </w:r>
      <w:r>
        <w:rPr>
          <w:rFonts w:hint="eastAsia"/>
        </w:rPr>
        <w:tab/>
      </w:r>
      <w:r w:rsidRPr="008B5E82">
        <w:rPr>
          <w:rFonts w:hint="eastAsia"/>
        </w:rPr>
        <w:t>鄧衍森</w:t>
      </w:r>
      <w:r w:rsidRPr="00037CD1">
        <w:rPr>
          <w:rFonts w:hint="eastAsia"/>
          <w:spacing w:val="-20"/>
        </w:rPr>
        <w:t>，</w:t>
      </w:r>
      <w:r w:rsidRPr="008B5E82">
        <w:rPr>
          <w:rFonts w:hint="eastAsia"/>
        </w:rPr>
        <w:t>〈公民與政治權利國際公約第九條至第十一條</w:t>
      </w:r>
      <w:r w:rsidRPr="00037CD1">
        <w:rPr>
          <w:rFonts w:hint="eastAsia"/>
          <w:spacing w:val="-20"/>
        </w:rPr>
        <w:t>〉，</w:t>
      </w:r>
      <w:r w:rsidRPr="008B5E82">
        <w:rPr>
          <w:rFonts w:hint="eastAsia"/>
        </w:rPr>
        <w:t>《</w:t>
      </w:r>
      <w:r w:rsidRPr="008B5E82">
        <w:rPr>
          <w:rFonts w:hint="eastAsia"/>
        </w:rPr>
        <w:t>2011</w:t>
      </w:r>
      <w:r w:rsidRPr="008B5E82">
        <w:rPr>
          <w:rFonts w:hint="eastAsia"/>
        </w:rPr>
        <w:t>兩公約學習地圖</w:t>
      </w:r>
      <w:r w:rsidRPr="00037CD1">
        <w:rPr>
          <w:rFonts w:hint="eastAsia"/>
          <w:spacing w:val="-20"/>
        </w:rPr>
        <w:t>》</w:t>
      </w:r>
      <w:r w:rsidRPr="008B5E82">
        <w:rPr>
          <w:rFonts w:hint="eastAsia"/>
        </w:rPr>
        <w:t>，法務部，</w:t>
      </w:r>
      <w:r w:rsidRPr="008B5E82">
        <w:rPr>
          <w:rFonts w:hint="eastAsia"/>
        </w:rPr>
        <w:t>2011</w:t>
      </w:r>
      <w:r w:rsidRPr="008B5E82">
        <w:rPr>
          <w:rFonts w:hint="eastAsia"/>
        </w:rPr>
        <w:t>年。</w:t>
      </w:r>
    </w:p>
  </w:footnote>
  <w:footnote w:id="7">
    <w:p w:rsidR="00970832" w:rsidRPr="008B5E82" w:rsidRDefault="00970832" w:rsidP="008B2F3D">
      <w:pPr>
        <w:pStyle w:val="2---"/>
        <w:ind w:left="149" w:hanging="149"/>
      </w:pPr>
      <w:r w:rsidRPr="008B2F3D">
        <w:rPr>
          <w:rStyle w:val="aff2"/>
          <w:sz w:val="21"/>
          <w:szCs w:val="21"/>
        </w:rPr>
        <w:footnoteRef/>
      </w:r>
      <w:r>
        <w:rPr>
          <w:rFonts w:hint="eastAsia"/>
        </w:rPr>
        <w:tab/>
      </w:r>
      <w:r w:rsidRPr="008B5E82">
        <w:rPr>
          <w:rFonts w:hint="eastAsia"/>
          <w:lang w:eastAsia="zh-HK"/>
        </w:rPr>
        <w:t>司法院釋字第</w:t>
      </w:r>
      <w:r w:rsidRPr="008B5E82">
        <w:rPr>
          <w:rFonts w:hint="eastAsia"/>
          <w:lang w:eastAsia="zh-HK"/>
        </w:rPr>
        <w:t>509</w:t>
      </w:r>
      <w:r w:rsidRPr="008B5E82">
        <w:rPr>
          <w:rFonts w:hint="eastAsia"/>
          <w:lang w:eastAsia="zh-HK"/>
        </w:rPr>
        <w:t>、</w:t>
      </w:r>
      <w:r w:rsidRPr="008B5E82">
        <w:rPr>
          <w:rFonts w:hint="eastAsia"/>
          <w:lang w:eastAsia="zh-HK"/>
        </w:rPr>
        <w:t>535</w:t>
      </w:r>
      <w:r w:rsidRPr="008B5E82">
        <w:rPr>
          <w:rFonts w:hint="eastAsia"/>
          <w:lang w:eastAsia="zh-HK"/>
        </w:rPr>
        <w:t>、</w:t>
      </w:r>
      <w:r w:rsidRPr="008B5E82">
        <w:rPr>
          <w:rFonts w:hint="eastAsia"/>
          <w:lang w:eastAsia="zh-HK"/>
        </w:rPr>
        <w:t>585</w:t>
      </w:r>
      <w:r w:rsidRPr="008B5E82">
        <w:rPr>
          <w:rFonts w:hint="eastAsia"/>
          <w:lang w:eastAsia="zh-HK"/>
        </w:rPr>
        <w:t>、</w:t>
      </w:r>
      <w:r w:rsidRPr="008B5E82">
        <w:rPr>
          <w:rFonts w:hint="eastAsia"/>
          <w:lang w:eastAsia="zh-HK"/>
        </w:rPr>
        <w:t>603</w:t>
      </w:r>
      <w:r w:rsidRPr="008B5E82">
        <w:rPr>
          <w:rFonts w:hint="eastAsia"/>
          <w:lang w:eastAsia="zh-HK"/>
        </w:rPr>
        <w:t>號解釋。</w:t>
      </w:r>
    </w:p>
  </w:footnote>
  <w:footnote w:id="8">
    <w:p w:rsidR="00970832" w:rsidRPr="008B5E82" w:rsidRDefault="00970832" w:rsidP="008B2F3D">
      <w:pPr>
        <w:pStyle w:val="2---"/>
        <w:ind w:left="149" w:hanging="149"/>
        <w:rPr>
          <w:lang w:eastAsia="zh-HK"/>
        </w:rPr>
      </w:pPr>
      <w:r w:rsidRPr="008B2F3D">
        <w:rPr>
          <w:rStyle w:val="aff2"/>
          <w:bCs/>
          <w:sz w:val="21"/>
          <w:szCs w:val="21"/>
          <w:lang w:eastAsia="zh-HK"/>
        </w:rPr>
        <w:footnoteRef/>
      </w:r>
      <w:r>
        <w:rPr>
          <w:rFonts w:hint="eastAsia"/>
          <w:lang w:eastAsia="zh-HK"/>
        </w:rPr>
        <w:tab/>
      </w:r>
      <w:r w:rsidRPr="008B5E82">
        <w:rPr>
          <w:rFonts w:hint="eastAsia"/>
          <w:lang w:eastAsia="zh-HK"/>
        </w:rPr>
        <w:t>司法院釋字第</w:t>
      </w:r>
      <w:r w:rsidRPr="008B5E82">
        <w:rPr>
          <w:rFonts w:hint="eastAsia"/>
          <w:lang w:eastAsia="zh-HK"/>
        </w:rPr>
        <w:t>399</w:t>
      </w:r>
      <w:r w:rsidRPr="008B5E82">
        <w:rPr>
          <w:rFonts w:hint="eastAsia"/>
          <w:lang w:eastAsia="zh-HK"/>
        </w:rPr>
        <w:t>號解釋。</w:t>
      </w:r>
    </w:p>
  </w:footnote>
  <w:footnote w:id="9">
    <w:p w:rsidR="00970832" w:rsidRPr="008B5E82" w:rsidRDefault="00970832" w:rsidP="008B2F3D">
      <w:pPr>
        <w:pStyle w:val="2---"/>
        <w:ind w:left="149" w:hanging="149"/>
        <w:rPr>
          <w:lang w:eastAsia="zh-HK"/>
        </w:rPr>
      </w:pPr>
      <w:r w:rsidRPr="008B2F3D">
        <w:rPr>
          <w:rStyle w:val="aff2"/>
          <w:bCs/>
          <w:sz w:val="21"/>
          <w:szCs w:val="21"/>
          <w:lang w:eastAsia="zh-HK"/>
        </w:rPr>
        <w:footnoteRef/>
      </w:r>
      <w:r>
        <w:rPr>
          <w:rFonts w:hint="eastAsia"/>
          <w:lang w:eastAsia="zh-HK"/>
        </w:rPr>
        <w:tab/>
      </w:r>
      <w:r w:rsidRPr="008B5E82">
        <w:rPr>
          <w:rFonts w:hint="eastAsia"/>
          <w:lang w:eastAsia="zh-HK"/>
        </w:rPr>
        <w:t>司法院釋字第</w:t>
      </w:r>
      <w:r w:rsidRPr="008B5E82">
        <w:rPr>
          <w:rFonts w:hint="eastAsia"/>
          <w:lang w:eastAsia="zh-HK"/>
        </w:rPr>
        <w:t>554</w:t>
      </w:r>
      <w:r w:rsidRPr="008B5E82">
        <w:rPr>
          <w:rFonts w:hint="eastAsia"/>
          <w:lang w:eastAsia="zh-HK"/>
        </w:rPr>
        <w:t>號解釋。</w:t>
      </w:r>
    </w:p>
  </w:footnote>
  <w:footnote w:id="10">
    <w:p w:rsidR="00970832" w:rsidRPr="008B5E82" w:rsidRDefault="00970832" w:rsidP="00F010B7">
      <w:pPr>
        <w:pStyle w:val="2---"/>
        <w:adjustRightInd w:val="0"/>
        <w:ind w:left="273" w:hangingChars="130" w:hanging="273"/>
        <w:rPr>
          <w:lang w:eastAsia="zh-HK"/>
        </w:rPr>
      </w:pPr>
      <w:r w:rsidRPr="008B2F3D">
        <w:rPr>
          <w:rStyle w:val="aff2"/>
          <w:bCs/>
          <w:sz w:val="21"/>
          <w:szCs w:val="21"/>
          <w:lang w:eastAsia="zh-HK"/>
        </w:rPr>
        <w:footnoteRef/>
      </w:r>
      <w:r w:rsidRPr="008B2F3D">
        <w:rPr>
          <w:rFonts w:hint="eastAsia"/>
          <w:sz w:val="21"/>
          <w:szCs w:val="21"/>
          <w:lang w:eastAsia="zh-HK"/>
        </w:rPr>
        <w:tab/>
      </w:r>
      <w:r w:rsidRPr="008B5E82">
        <w:rPr>
          <w:rFonts w:hint="eastAsia"/>
          <w:lang w:eastAsia="zh-HK"/>
        </w:rPr>
        <w:t>司法院釋字第</w:t>
      </w:r>
      <w:r w:rsidRPr="008B5E82">
        <w:rPr>
          <w:rFonts w:hint="eastAsia"/>
          <w:lang w:eastAsia="zh-HK"/>
        </w:rPr>
        <w:t>644</w:t>
      </w:r>
      <w:r w:rsidRPr="008B5E82">
        <w:rPr>
          <w:rFonts w:hint="eastAsia"/>
          <w:lang w:eastAsia="zh-HK"/>
        </w:rPr>
        <w:t>號解釋。</w:t>
      </w:r>
    </w:p>
  </w:footnote>
  <w:footnote w:id="11">
    <w:p w:rsidR="00970832" w:rsidRPr="008B5E82" w:rsidRDefault="00970832" w:rsidP="00F010B7">
      <w:pPr>
        <w:pStyle w:val="2---"/>
        <w:adjustRightInd w:val="0"/>
        <w:ind w:left="273" w:hangingChars="130" w:hanging="273"/>
        <w:rPr>
          <w:lang w:eastAsia="zh-HK"/>
        </w:rPr>
      </w:pPr>
      <w:r w:rsidRPr="008B2F3D">
        <w:rPr>
          <w:rStyle w:val="aff2"/>
          <w:bCs/>
          <w:sz w:val="21"/>
          <w:szCs w:val="21"/>
          <w:lang w:eastAsia="zh-HK"/>
        </w:rPr>
        <w:footnoteRef/>
      </w:r>
      <w:r w:rsidRPr="008B2F3D">
        <w:rPr>
          <w:rFonts w:hint="eastAsia"/>
          <w:sz w:val="21"/>
          <w:szCs w:val="21"/>
          <w:lang w:eastAsia="zh-HK"/>
        </w:rPr>
        <w:tab/>
      </w:r>
      <w:r w:rsidRPr="008B5E82">
        <w:rPr>
          <w:rFonts w:hint="eastAsia"/>
          <w:lang w:eastAsia="zh-HK"/>
        </w:rPr>
        <w:t>司法院釋字第</w:t>
      </w:r>
      <w:r w:rsidRPr="008B5E82">
        <w:rPr>
          <w:rFonts w:hint="eastAsia"/>
          <w:lang w:eastAsia="zh-HK"/>
        </w:rPr>
        <w:t>242</w:t>
      </w:r>
      <w:r w:rsidRPr="008B5E82">
        <w:rPr>
          <w:rFonts w:hint="eastAsia"/>
          <w:lang w:eastAsia="zh-HK"/>
        </w:rPr>
        <w:t>號解釋。</w:t>
      </w:r>
    </w:p>
  </w:footnote>
  <w:footnote w:id="12">
    <w:p w:rsidR="00970832" w:rsidRPr="008B5E82" w:rsidRDefault="00970832" w:rsidP="00F010B7">
      <w:pPr>
        <w:pStyle w:val="2---"/>
        <w:adjustRightInd w:val="0"/>
        <w:ind w:left="273" w:hangingChars="130" w:hanging="273"/>
        <w:rPr>
          <w:lang w:eastAsia="zh-HK"/>
        </w:rPr>
      </w:pPr>
      <w:r w:rsidRPr="008B2F3D">
        <w:rPr>
          <w:rStyle w:val="aff2"/>
          <w:bCs/>
          <w:sz w:val="21"/>
          <w:szCs w:val="21"/>
          <w:lang w:eastAsia="zh-HK"/>
        </w:rPr>
        <w:footnoteRef/>
      </w:r>
      <w:r w:rsidRPr="008B2F3D">
        <w:rPr>
          <w:rFonts w:hint="eastAsia"/>
          <w:sz w:val="21"/>
          <w:szCs w:val="21"/>
          <w:lang w:eastAsia="zh-HK"/>
        </w:rPr>
        <w:tab/>
      </w:r>
      <w:r w:rsidRPr="008B5E82">
        <w:rPr>
          <w:rFonts w:hint="eastAsia"/>
          <w:lang w:eastAsia="zh-HK"/>
        </w:rPr>
        <w:t>司法院釋字第</w:t>
      </w:r>
      <w:r w:rsidRPr="008B5E82">
        <w:rPr>
          <w:rFonts w:hint="eastAsia"/>
          <w:lang w:eastAsia="zh-HK"/>
        </w:rPr>
        <w:t>362</w:t>
      </w:r>
      <w:r w:rsidRPr="008B5E82">
        <w:rPr>
          <w:rFonts w:hint="eastAsia"/>
          <w:lang w:eastAsia="zh-HK"/>
        </w:rPr>
        <w:t>、</w:t>
      </w:r>
      <w:r w:rsidRPr="008B5E82">
        <w:rPr>
          <w:lang w:eastAsia="zh-HK"/>
        </w:rPr>
        <w:t>748</w:t>
      </w:r>
      <w:r w:rsidRPr="008B5E82">
        <w:rPr>
          <w:rFonts w:hint="eastAsia"/>
          <w:lang w:eastAsia="zh-HK"/>
        </w:rPr>
        <w:t>號解釋。</w:t>
      </w:r>
    </w:p>
  </w:footnote>
  <w:footnote w:id="13">
    <w:p w:rsidR="00970832" w:rsidRPr="008B5E82" w:rsidRDefault="00970832" w:rsidP="00F010B7">
      <w:pPr>
        <w:pStyle w:val="2---"/>
        <w:adjustRightInd w:val="0"/>
        <w:ind w:left="273" w:hangingChars="130" w:hanging="273"/>
        <w:rPr>
          <w:lang w:eastAsia="zh-HK"/>
        </w:rPr>
      </w:pPr>
      <w:r w:rsidRPr="008B2F3D">
        <w:rPr>
          <w:rStyle w:val="aff2"/>
          <w:bCs/>
          <w:sz w:val="21"/>
          <w:szCs w:val="21"/>
          <w:lang w:eastAsia="zh-HK"/>
        </w:rPr>
        <w:footnoteRef/>
      </w:r>
      <w:r w:rsidRPr="008B2F3D">
        <w:rPr>
          <w:rFonts w:hint="eastAsia"/>
          <w:sz w:val="21"/>
          <w:szCs w:val="21"/>
          <w:lang w:eastAsia="zh-HK"/>
        </w:rPr>
        <w:tab/>
      </w:r>
      <w:r w:rsidRPr="008B5E82">
        <w:rPr>
          <w:rFonts w:hint="eastAsia"/>
          <w:lang w:eastAsia="zh-HK"/>
        </w:rPr>
        <w:t>司法院釋字第</w:t>
      </w:r>
      <w:r w:rsidRPr="008B5E82">
        <w:rPr>
          <w:rFonts w:hint="eastAsia"/>
          <w:lang w:eastAsia="zh-HK"/>
        </w:rPr>
        <w:t>576</w:t>
      </w:r>
      <w:r w:rsidRPr="008B5E82">
        <w:rPr>
          <w:rFonts w:hint="eastAsia"/>
          <w:lang w:eastAsia="zh-HK"/>
        </w:rPr>
        <w:t>、</w:t>
      </w:r>
      <w:r w:rsidRPr="008B5E82">
        <w:rPr>
          <w:rFonts w:hint="eastAsia"/>
          <w:lang w:eastAsia="zh-HK"/>
        </w:rPr>
        <w:t>580</w:t>
      </w:r>
      <w:r w:rsidRPr="008B5E82">
        <w:rPr>
          <w:rFonts w:hint="eastAsia"/>
          <w:lang w:eastAsia="zh-HK"/>
        </w:rPr>
        <w:t>、</w:t>
      </w:r>
      <w:r w:rsidRPr="008B5E82">
        <w:rPr>
          <w:rFonts w:hint="eastAsia"/>
          <w:lang w:eastAsia="zh-HK"/>
        </w:rPr>
        <w:t>591</w:t>
      </w:r>
      <w:r w:rsidRPr="008B5E82">
        <w:rPr>
          <w:rFonts w:hint="eastAsia"/>
          <w:lang w:eastAsia="zh-HK"/>
        </w:rPr>
        <w:t>號解釋。</w:t>
      </w:r>
    </w:p>
  </w:footnote>
  <w:footnote w:id="14">
    <w:p w:rsidR="00970832" w:rsidRPr="008B5E82" w:rsidRDefault="00970832" w:rsidP="00F010B7">
      <w:pPr>
        <w:pStyle w:val="2---"/>
        <w:adjustRightInd w:val="0"/>
        <w:ind w:left="273" w:hangingChars="130" w:hanging="273"/>
        <w:rPr>
          <w:lang w:eastAsia="zh-HK"/>
        </w:rPr>
      </w:pPr>
      <w:r w:rsidRPr="008B2F3D">
        <w:rPr>
          <w:rStyle w:val="aff2"/>
          <w:bCs/>
          <w:sz w:val="21"/>
          <w:szCs w:val="21"/>
          <w:lang w:eastAsia="zh-HK"/>
        </w:rPr>
        <w:footnoteRef/>
      </w:r>
      <w:r w:rsidRPr="008B2F3D">
        <w:rPr>
          <w:rFonts w:hint="eastAsia"/>
          <w:sz w:val="21"/>
          <w:szCs w:val="21"/>
          <w:lang w:eastAsia="zh-HK"/>
        </w:rPr>
        <w:tab/>
      </w:r>
      <w:r w:rsidRPr="008B5E82">
        <w:rPr>
          <w:rFonts w:hint="eastAsia"/>
          <w:lang w:eastAsia="zh-HK"/>
        </w:rPr>
        <w:t>司法院釋字第</w:t>
      </w:r>
      <w:r w:rsidRPr="008B5E82">
        <w:rPr>
          <w:rFonts w:hint="eastAsia"/>
          <w:lang w:eastAsia="zh-HK"/>
        </w:rPr>
        <w:t>689</w:t>
      </w:r>
      <w:r w:rsidRPr="008B5E82">
        <w:rPr>
          <w:rFonts w:hint="eastAsia"/>
          <w:lang w:eastAsia="zh-HK"/>
        </w:rPr>
        <w:t>號解釋。</w:t>
      </w:r>
    </w:p>
  </w:footnote>
  <w:footnote w:id="15">
    <w:p w:rsidR="00970832" w:rsidRPr="008B5E82" w:rsidRDefault="00970832" w:rsidP="00F010B7">
      <w:pPr>
        <w:pStyle w:val="2---"/>
        <w:adjustRightInd w:val="0"/>
        <w:ind w:left="273" w:hangingChars="130" w:hanging="273"/>
        <w:rPr>
          <w:lang w:eastAsia="zh-HK"/>
        </w:rPr>
      </w:pPr>
      <w:r w:rsidRPr="008B2F3D">
        <w:rPr>
          <w:rStyle w:val="aff2"/>
          <w:bCs/>
          <w:sz w:val="21"/>
          <w:szCs w:val="21"/>
          <w:lang w:eastAsia="zh-HK"/>
        </w:rPr>
        <w:footnoteRef/>
      </w:r>
      <w:r w:rsidRPr="008B2F3D">
        <w:rPr>
          <w:rFonts w:hint="eastAsia"/>
          <w:sz w:val="21"/>
          <w:szCs w:val="21"/>
          <w:lang w:eastAsia="zh-HK"/>
        </w:rPr>
        <w:tab/>
      </w:r>
      <w:r w:rsidRPr="008B5E82">
        <w:rPr>
          <w:rFonts w:hint="eastAsia"/>
          <w:lang w:eastAsia="zh-HK"/>
        </w:rPr>
        <w:t>許志雄</w:t>
      </w:r>
      <w:r w:rsidRPr="00037CD1">
        <w:rPr>
          <w:rFonts w:hint="eastAsia"/>
          <w:spacing w:val="-20"/>
          <w:lang w:eastAsia="zh-HK"/>
        </w:rPr>
        <w:t>，</w:t>
      </w:r>
      <w:r w:rsidRPr="008B5E82">
        <w:rPr>
          <w:rFonts w:hint="eastAsia"/>
          <w:lang w:eastAsia="zh-HK"/>
        </w:rPr>
        <w:t>〈一般行為自由的探討</w:t>
      </w:r>
      <w:r>
        <w:rPr>
          <w:rFonts w:hint="eastAsia"/>
        </w:rPr>
        <w:t>－</w:t>
      </w:r>
      <w:r w:rsidRPr="008B5E82">
        <w:rPr>
          <w:rFonts w:hint="eastAsia"/>
          <w:lang w:eastAsia="zh-HK"/>
        </w:rPr>
        <w:t>從司法院釋字第</w:t>
      </w:r>
      <w:r w:rsidRPr="008B5E82">
        <w:rPr>
          <w:rFonts w:hint="eastAsia"/>
          <w:lang w:eastAsia="zh-HK"/>
        </w:rPr>
        <w:t>689</w:t>
      </w:r>
      <w:r w:rsidRPr="008B5E82">
        <w:rPr>
          <w:rFonts w:hint="eastAsia"/>
          <w:lang w:eastAsia="zh-HK"/>
        </w:rPr>
        <w:t>號釋釋談起</w:t>
      </w:r>
      <w:r w:rsidRPr="000D4120">
        <w:rPr>
          <w:rFonts w:hint="eastAsia"/>
          <w:spacing w:val="-26"/>
          <w:lang w:eastAsia="zh-HK"/>
        </w:rPr>
        <w:t>〉，</w:t>
      </w:r>
      <w:r w:rsidRPr="008B5E82">
        <w:rPr>
          <w:rFonts w:hint="eastAsia"/>
          <w:lang w:eastAsia="zh-HK"/>
        </w:rPr>
        <w:t>《人權、正義與司法改革</w:t>
      </w:r>
      <w:r>
        <w:rPr>
          <w:rFonts w:hint="eastAsia"/>
        </w:rPr>
        <w:t>－</w:t>
      </w:r>
      <w:r w:rsidRPr="008B5E82">
        <w:rPr>
          <w:rFonts w:hint="eastAsia"/>
          <w:lang w:eastAsia="zh-HK"/>
        </w:rPr>
        <w:t>陳傳岳律師七秩晉五華誕祝壽論文集</w:t>
      </w:r>
      <w:r w:rsidRPr="000D4120">
        <w:rPr>
          <w:rFonts w:hint="eastAsia"/>
          <w:spacing w:val="-26"/>
          <w:lang w:eastAsia="zh-HK"/>
        </w:rPr>
        <w:t>》</w:t>
      </w:r>
      <w:r w:rsidRPr="008B5E82">
        <w:rPr>
          <w:rFonts w:hint="eastAsia"/>
          <w:lang w:eastAsia="zh-HK"/>
        </w:rPr>
        <w:t>，臺北：元照出版有限公司，</w:t>
      </w:r>
      <w:r w:rsidRPr="008B5E82">
        <w:rPr>
          <w:rFonts w:hint="eastAsia"/>
          <w:lang w:eastAsia="zh-HK"/>
        </w:rPr>
        <w:t>2014</w:t>
      </w:r>
      <w:r w:rsidRPr="008B5E82">
        <w:rPr>
          <w:rFonts w:hint="eastAsia"/>
          <w:lang w:eastAsia="zh-HK"/>
        </w:rPr>
        <w:t>年，頁</w:t>
      </w:r>
      <w:r w:rsidRPr="008B5E82">
        <w:rPr>
          <w:rFonts w:hint="eastAsia"/>
          <w:lang w:eastAsia="zh-HK"/>
        </w:rPr>
        <w:t>76-77</w:t>
      </w:r>
      <w:r w:rsidRPr="008B5E82">
        <w:rPr>
          <w:rFonts w:hint="eastAsia"/>
          <w:lang w:eastAsia="zh-HK"/>
        </w:rPr>
        <w:t>。</w:t>
      </w:r>
    </w:p>
  </w:footnote>
  <w:footnote w:id="16">
    <w:p w:rsidR="00970832" w:rsidRPr="008B5E82" w:rsidRDefault="00970832" w:rsidP="00F010B7">
      <w:pPr>
        <w:pStyle w:val="2---"/>
        <w:adjustRightInd w:val="0"/>
        <w:ind w:left="273" w:hangingChars="130" w:hanging="273"/>
      </w:pPr>
      <w:r w:rsidRPr="009D0553">
        <w:rPr>
          <w:sz w:val="21"/>
          <w:szCs w:val="21"/>
          <w:vertAlign w:val="superscript"/>
        </w:rPr>
        <w:footnoteRef/>
      </w:r>
      <w:r>
        <w:rPr>
          <w:rFonts w:hint="eastAsia"/>
          <w:vertAlign w:val="superscript"/>
        </w:rPr>
        <w:tab/>
      </w:r>
      <w:r w:rsidRPr="008B5E82">
        <w:rPr>
          <w:rFonts w:hint="eastAsia"/>
        </w:rPr>
        <w:t>參司法院釋字第</w:t>
      </w:r>
      <w:r w:rsidRPr="008B5E82">
        <w:rPr>
          <w:rFonts w:hint="eastAsia"/>
        </w:rPr>
        <w:t>191</w:t>
      </w:r>
      <w:r w:rsidRPr="008B5E82">
        <w:rPr>
          <w:rFonts w:hint="eastAsia"/>
        </w:rPr>
        <w:t>、</w:t>
      </w:r>
      <w:r w:rsidRPr="008B5E82">
        <w:rPr>
          <w:rFonts w:hint="eastAsia"/>
        </w:rPr>
        <w:t>206</w:t>
      </w:r>
      <w:r w:rsidRPr="008B5E82">
        <w:rPr>
          <w:rFonts w:hint="eastAsia"/>
        </w:rPr>
        <w:t>、</w:t>
      </w:r>
      <w:r w:rsidRPr="008B5E82">
        <w:rPr>
          <w:rFonts w:hint="eastAsia"/>
        </w:rPr>
        <w:t>404</w:t>
      </w:r>
      <w:r w:rsidRPr="008B5E82">
        <w:rPr>
          <w:rFonts w:hint="eastAsia"/>
        </w:rPr>
        <w:t>、</w:t>
      </w:r>
      <w:r w:rsidRPr="008B5E82">
        <w:rPr>
          <w:rFonts w:hint="eastAsia"/>
        </w:rPr>
        <w:t>411</w:t>
      </w:r>
      <w:r w:rsidRPr="008B5E82">
        <w:rPr>
          <w:rFonts w:hint="eastAsia"/>
        </w:rPr>
        <w:t>、</w:t>
      </w:r>
      <w:r w:rsidRPr="008B5E82">
        <w:rPr>
          <w:rFonts w:hint="eastAsia"/>
        </w:rPr>
        <w:t>432</w:t>
      </w:r>
      <w:r w:rsidRPr="008B5E82">
        <w:rPr>
          <w:rFonts w:hint="eastAsia"/>
        </w:rPr>
        <w:t>、</w:t>
      </w:r>
      <w:r w:rsidRPr="008B5E82">
        <w:rPr>
          <w:rFonts w:hint="eastAsia"/>
        </w:rPr>
        <w:t>510</w:t>
      </w:r>
      <w:r w:rsidRPr="008B5E82">
        <w:rPr>
          <w:rFonts w:hint="eastAsia"/>
        </w:rPr>
        <w:t>、</w:t>
      </w:r>
      <w:r w:rsidRPr="008B5E82">
        <w:rPr>
          <w:rFonts w:hint="eastAsia"/>
        </w:rPr>
        <w:t>514</w:t>
      </w:r>
      <w:r w:rsidRPr="008B5E82">
        <w:rPr>
          <w:rFonts w:hint="eastAsia"/>
        </w:rPr>
        <w:t>、</w:t>
      </w:r>
      <w:r w:rsidRPr="008B5E82">
        <w:rPr>
          <w:rFonts w:hint="eastAsia"/>
        </w:rPr>
        <w:t>584</w:t>
      </w:r>
      <w:r w:rsidRPr="008B5E82">
        <w:rPr>
          <w:rFonts w:hint="eastAsia"/>
        </w:rPr>
        <w:t>、</w:t>
      </w:r>
      <w:r w:rsidRPr="008B5E82">
        <w:rPr>
          <w:rFonts w:hint="eastAsia"/>
        </w:rPr>
        <w:t>612</w:t>
      </w:r>
      <w:r w:rsidRPr="008B5E82">
        <w:rPr>
          <w:rFonts w:hint="eastAsia"/>
        </w:rPr>
        <w:t>、</w:t>
      </w:r>
      <w:r w:rsidRPr="008B5E82">
        <w:rPr>
          <w:rFonts w:hint="eastAsia"/>
        </w:rPr>
        <w:t>634</w:t>
      </w:r>
      <w:r w:rsidRPr="008B5E82">
        <w:rPr>
          <w:rFonts w:hint="eastAsia"/>
        </w:rPr>
        <w:t>、</w:t>
      </w:r>
      <w:r w:rsidRPr="008B5E82">
        <w:rPr>
          <w:rFonts w:hint="eastAsia"/>
        </w:rPr>
        <w:t>637</w:t>
      </w:r>
      <w:r w:rsidRPr="008B5E82">
        <w:rPr>
          <w:rFonts w:hint="eastAsia"/>
        </w:rPr>
        <w:t>、</w:t>
      </w:r>
      <w:r w:rsidRPr="008B5E82">
        <w:rPr>
          <w:rFonts w:hint="eastAsia"/>
        </w:rPr>
        <w:t>649</w:t>
      </w:r>
      <w:r w:rsidRPr="008B5E82">
        <w:rPr>
          <w:rFonts w:hint="eastAsia"/>
        </w:rPr>
        <w:t>、</w:t>
      </w:r>
      <w:r w:rsidRPr="008B5E82">
        <w:rPr>
          <w:rFonts w:hint="eastAsia"/>
        </w:rPr>
        <w:t>726</w:t>
      </w:r>
      <w:r w:rsidRPr="008B5E82">
        <w:rPr>
          <w:rFonts w:hint="eastAsia"/>
        </w:rPr>
        <w:t>等號解釋。</w:t>
      </w:r>
    </w:p>
  </w:footnote>
  <w:footnote w:id="17">
    <w:p w:rsidR="00970832" w:rsidRPr="008B5E82" w:rsidRDefault="00970832" w:rsidP="00F010B7">
      <w:pPr>
        <w:pStyle w:val="2---"/>
        <w:adjustRightInd w:val="0"/>
        <w:ind w:left="273" w:hangingChars="130" w:hanging="273"/>
      </w:pPr>
      <w:r w:rsidRPr="009D0553">
        <w:rPr>
          <w:rStyle w:val="aff2"/>
          <w:sz w:val="21"/>
          <w:szCs w:val="21"/>
        </w:rPr>
        <w:footnoteRef/>
      </w:r>
      <w:r>
        <w:rPr>
          <w:rFonts w:hint="eastAsia"/>
        </w:rPr>
        <w:tab/>
      </w:r>
      <w:r w:rsidRPr="008B5E82">
        <w:rPr>
          <w:rFonts w:hint="eastAsia"/>
        </w:rPr>
        <w:t>106</w:t>
      </w:r>
      <w:r w:rsidRPr="008B5E82">
        <w:rPr>
          <w:rFonts w:hint="eastAsia"/>
        </w:rPr>
        <w:t>司調</w:t>
      </w:r>
      <w:r w:rsidRPr="008B5E82">
        <w:rPr>
          <w:rFonts w:hint="eastAsia"/>
        </w:rPr>
        <w:t>0011</w:t>
      </w:r>
      <w:r w:rsidRPr="008B5E82">
        <w:rPr>
          <w:rFonts w:hint="eastAsia"/>
        </w:rPr>
        <w:t>，林雅鋒</w:t>
      </w:r>
      <w:r w:rsidRPr="008B5E82">
        <w:rPr>
          <w:rFonts w:hint="eastAsia"/>
          <w:lang w:eastAsia="zh-HK"/>
        </w:rPr>
        <w:t>調查。</w:t>
      </w:r>
    </w:p>
  </w:footnote>
  <w:footnote w:id="18">
    <w:p w:rsidR="00970832" w:rsidRPr="008B5E82" w:rsidRDefault="00970832" w:rsidP="00F010B7">
      <w:pPr>
        <w:pStyle w:val="2---"/>
        <w:adjustRightInd w:val="0"/>
        <w:ind w:left="273" w:hangingChars="130" w:hanging="273"/>
      </w:pPr>
      <w:r w:rsidRPr="009D0553">
        <w:rPr>
          <w:rStyle w:val="aff2"/>
          <w:sz w:val="21"/>
          <w:szCs w:val="21"/>
        </w:rPr>
        <w:footnoteRef/>
      </w:r>
      <w:r>
        <w:rPr>
          <w:rFonts w:hint="eastAsia"/>
        </w:rPr>
        <w:tab/>
      </w:r>
      <w:r w:rsidRPr="008B5E82">
        <w:rPr>
          <w:rFonts w:hint="eastAsia"/>
        </w:rPr>
        <w:t>106</w:t>
      </w:r>
      <w:r w:rsidRPr="008B5E82">
        <w:rPr>
          <w:rFonts w:hint="eastAsia"/>
        </w:rPr>
        <w:t>司調</w:t>
      </w:r>
      <w:r w:rsidRPr="008B5E82">
        <w:rPr>
          <w:rFonts w:hint="eastAsia"/>
        </w:rPr>
        <w:t>0032</w:t>
      </w:r>
      <w:r w:rsidRPr="008B5E82">
        <w:rPr>
          <w:rFonts w:hint="eastAsia"/>
        </w:rPr>
        <w:t>，江明蒼、方萬富調查。</w:t>
      </w:r>
    </w:p>
  </w:footnote>
  <w:footnote w:id="19">
    <w:p w:rsidR="00970832" w:rsidRPr="008B5E82" w:rsidRDefault="00970832" w:rsidP="00F010B7">
      <w:pPr>
        <w:pStyle w:val="2---"/>
        <w:adjustRightInd w:val="0"/>
        <w:ind w:left="273" w:hangingChars="130" w:hanging="273"/>
      </w:pPr>
      <w:r w:rsidRPr="009D0553">
        <w:rPr>
          <w:rStyle w:val="aff2"/>
          <w:sz w:val="21"/>
          <w:szCs w:val="21"/>
        </w:rPr>
        <w:footnoteRef/>
      </w:r>
      <w:r>
        <w:rPr>
          <w:rFonts w:hint="eastAsia"/>
        </w:rPr>
        <w:tab/>
      </w:r>
      <w:r w:rsidRPr="008B5E82">
        <w:rPr>
          <w:rFonts w:hint="eastAsia"/>
        </w:rPr>
        <w:t>106</w:t>
      </w:r>
      <w:r w:rsidRPr="008B5E82">
        <w:rPr>
          <w:rFonts w:hint="eastAsia"/>
        </w:rPr>
        <w:t>國調</w:t>
      </w:r>
      <w:r w:rsidRPr="008B5E82">
        <w:rPr>
          <w:rFonts w:hint="eastAsia"/>
        </w:rPr>
        <w:t>0025</w:t>
      </w:r>
      <w:r w:rsidRPr="008B5E82">
        <w:rPr>
          <w:rFonts w:hint="eastAsia"/>
        </w:rPr>
        <w:t>，劉德勳、高鳳仙、章仁香、陳慶財調查。</w:t>
      </w:r>
    </w:p>
  </w:footnote>
  <w:footnote w:id="20">
    <w:p w:rsidR="00970832" w:rsidRPr="008B5E82" w:rsidRDefault="00970832" w:rsidP="00F010B7">
      <w:pPr>
        <w:pStyle w:val="2---"/>
        <w:adjustRightInd w:val="0"/>
        <w:ind w:left="273" w:hangingChars="130" w:hanging="273"/>
      </w:pPr>
      <w:r w:rsidRPr="009D0553">
        <w:rPr>
          <w:rStyle w:val="aff2"/>
          <w:sz w:val="21"/>
          <w:szCs w:val="21"/>
        </w:rPr>
        <w:footnoteRef/>
      </w:r>
      <w:r>
        <w:rPr>
          <w:rFonts w:hint="eastAsia"/>
        </w:rPr>
        <w:tab/>
      </w:r>
      <w:r w:rsidRPr="008B5E82">
        <w:rPr>
          <w:rFonts w:hint="eastAsia"/>
        </w:rPr>
        <w:t>106</w:t>
      </w:r>
      <w:r w:rsidRPr="008B5E82">
        <w:rPr>
          <w:rFonts w:hint="eastAsia"/>
        </w:rPr>
        <w:t>國調</w:t>
      </w:r>
      <w:r w:rsidRPr="008B5E82">
        <w:rPr>
          <w:rFonts w:hint="eastAsia"/>
        </w:rPr>
        <w:t>0018</w:t>
      </w:r>
      <w:r w:rsidRPr="008B5E82">
        <w:rPr>
          <w:rFonts w:hint="eastAsia"/>
        </w:rPr>
        <w:t>，高鳳仙、楊美鈴</w:t>
      </w:r>
      <w:r w:rsidRPr="008B5E82">
        <w:rPr>
          <w:rFonts w:hint="eastAsia"/>
          <w:lang w:eastAsia="zh-HK"/>
        </w:rPr>
        <w:t>調查。</w:t>
      </w:r>
    </w:p>
  </w:footnote>
  <w:footnote w:id="21">
    <w:p w:rsidR="00970832" w:rsidRPr="008B5E82" w:rsidRDefault="00970832" w:rsidP="00F010B7">
      <w:pPr>
        <w:pStyle w:val="2---"/>
        <w:adjustRightInd w:val="0"/>
        <w:ind w:left="273" w:hangingChars="130" w:hanging="273"/>
        <w:rPr>
          <w:lang w:eastAsia="zh-HK"/>
        </w:rPr>
      </w:pPr>
      <w:r w:rsidRPr="008B2F3D">
        <w:rPr>
          <w:rStyle w:val="aff2"/>
          <w:sz w:val="21"/>
          <w:szCs w:val="21"/>
        </w:rPr>
        <w:footnoteRef/>
      </w:r>
      <w:r>
        <w:rPr>
          <w:rFonts w:hint="eastAsia"/>
        </w:rPr>
        <w:tab/>
      </w:r>
      <w:r w:rsidRPr="008B5E82">
        <w:rPr>
          <w:rFonts w:hint="eastAsia"/>
        </w:rPr>
        <w:t>106</w:t>
      </w:r>
      <w:r w:rsidRPr="008B5E82">
        <w:rPr>
          <w:rFonts w:hint="eastAsia"/>
        </w:rPr>
        <w:t>外調</w:t>
      </w:r>
      <w:r w:rsidRPr="008B5E82">
        <w:rPr>
          <w:rFonts w:hint="eastAsia"/>
        </w:rPr>
        <w:t>0006</w:t>
      </w:r>
      <w:r w:rsidRPr="008B5E82">
        <w:rPr>
          <w:rFonts w:hint="eastAsia"/>
        </w:rPr>
        <w:t>，包宗和、孫大川、王美玉</w:t>
      </w:r>
      <w:r w:rsidRPr="008B5E82">
        <w:rPr>
          <w:rFonts w:hint="eastAsia"/>
          <w:lang w:eastAsia="zh-HK"/>
        </w:rPr>
        <w:t>調查。</w:t>
      </w:r>
    </w:p>
  </w:footnote>
  <w:footnote w:id="22">
    <w:p w:rsidR="00970832" w:rsidRPr="008B5E82" w:rsidRDefault="00970832" w:rsidP="00F010B7">
      <w:pPr>
        <w:pStyle w:val="2---"/>
        <w:adjustRightInd w:val="0"/>
        <w:ind w:left="273" w:hangingChars="130" w:hanging="273"/>
        <w:rPr>
          <w:lang w:eastAsia="zh-HK"/>
        </w:rPr>
      </w:pPr>
      <w:r w:rsidRPr="008B2F3D">
        <w:rPr>
          <w:rStyle w:val="aff2"/>
          <w:sz w:val="21"/>
          <w:szCs w:val="21"/>
        </w:rPr>
        <w:footnoteRef/>
      </w:r>
      <w:r w:rsidRPr="008B5E82">
        <w:t xml:space="preserve"> </w:t>
      </w:r>
      <w:r>
        <w:rPr>
          <w:rFonts w:hint="eastAsia"/>
        </w:rPr>
        <w:tab/>
      </w:r>
      <w:r w:rsidRPr="008B5E82">
        <w:rPr>
          <w:rFonts w:hint="eastAsia"/>
        </w:rPr>
        <w:t>106</w:t>
      </w:r>
      <w:r w:rsidRPr="008B5E82">
        <w:rPr>
          <w:rFonts w:hint="eastAsia"/>
        </w:rPr>
        <w:t>內調</w:t>
      </w:r>
      <w:r w:rsidRPr="008B5E82">
        <w:rPr>
          <w:rFonts w:hint="eastAsia"/>
        </w:rPr>
        <w:t>0075</w:t>
      </w:r>
      <w:r w:rsidRPr="008B5E82">
        <w:rPr>
          <w:rFonts w:hint="eastAsia"/>
        </w:rPr>
        <w:t>，高鳳仙、江綺雯</w:t>
      </w:r>
      <w:r w:rsidRPr="008B5E82">
        <w:rPr>
          <w:rFonts w:hint="eastAsia"/>
          <w:lang w:eastAsia="zh-HK"/>
        </w:rPr>
        <w:t>調查。</w:t>
      </w:r>
    </w:p>
  </w:footnote>
  <w:footnote w:id="23">
    <w:p w:rsidR="00970832" w:rsidRPr="008B5E82" w:rsidRDefault="00970832" w:rsidP="00F010B7">
      <w:pPr>
        <w:pStyle w:val="2---"/>
        <w:adjustRightInd w:val="0"/>
        <w:ind w:left="273" w:hangingChars="130" w:hanging="273"/>
      </w:pPr>
      <w:r w:rsidRPr="008B2F3D">
        <w:rPr>
          <w:rStyle w:val="aff2"/>
          <w:sz w:val="21"/>
          <w:szCs w:val="21"/>
        </w:rPr>
        <w:footnoteRef/>
      </w:r>
      <w:r w:rsidRPr="008B5E82">
        <w:rPr>
          <w:rFonts w:hint="eastAsia"/>
        </w:rPr>
        <w:t xml:space="preserve"> </w:t>
      </w:r>
      <w:r>
        <w:rPr>
          <w:rFonts w:hint="eastAsia"/>
        </w:rPr>
        <w:tab/>
      </w:r>
      <w:r w:rsidRPr="008B5E82">
        <w:rPr>
          <w:rFonts w:hint="eastAsia"/>
        </w:rPr>
        <w:t>美國國務院民主、人權暨勞工事務局</w:t>
      </w:r>
      <w:r w:rsidRPr="000D4120">
        <w:rPr>
          <w:rFonts w:hint="eastAsia"/>
          <w:spacing w:val="-26"/>
        </w:rPr>
        <w:t>，</w:t>
      </w:r>
      <w:r w:rsidRPr="008B5E82">
        <w:rPr>
          <w:rFonts w:hint="eastAsia"/>
        </w:rPr>
        <w:t>《</w:t>
      </w:r>
      <w:r w:rsidRPr="008B5E82">
        <w:rPr>
          <w:rFonts w:hint="eastAsia"/>
        </w:rPr>
        <w:t>2017</w:t>
      </w:r>
      <w:r w:rsidRPr="008B5E82">
        <w:rPr>
          <w:rFonts w:hint="eastAsia"/>
        </w:rPr>
        <w:t>年度各國人權報告</w:t>
      </w:r>
      <w:r>
        <w:rPr>
          <w:rFonts w:hint="eastAsia"/>
        </w:rPr>
        <w:t>－</w:t>
      </w:r>
      <w:r w:rsidRPr="008B5E82">
        <w:rPr>
          <w:rFonts w:hint="eastAsia"/>
        </w:rPr>
        <w:t>臺灣部分</w:t>
      </w:r>
      <w:r w:rsidRPr="000D4120">
        <w:rPr>
          <w:rFonts w:hint="eastAsia"/>
          <w:spacing w:val="-26"/>
        </w:rPr>
        <w:t>》</w:t>
      </w:r>
      <w:r w:rsidRPr="008B5E82">
        <w:rPr>
          <w:rFonts w:hint="eastAsia"/>
        </w:rPr>
        <w:t>，</w:t>
      </w:r>
      <w:r w:rsidRPr="008B5E82">
        <w:rPr>
          <w:rFonts w:hint="eastAsia"/>
        </w:rPr>
        <w:t>2018</w:t>
      </w:r>
      <w:r w:rsidRPr="008B5E82">
        <w:rPr>
          <w:rFonts w:hint="eastAsia"/>
        </w:rPr>
        <w:t>年</w:t>
      </w:r>
      <w:r w:rsidRPr="008B5E82">
        <w:rPr>
          <w:rFonts w:hint="eastAsia"/>
        </w:rPr>
        <w:t>4</w:t>
      </w:r>
      <w:r w:rsidRPr="008B5E82">
        <w:rPr>
          <w:rFonts w:hint="eastAsia"/>
        </w:rPr>
        <w:t>月</w:t>
      </w:r>
      <w:r w:rsidRPr="008B5E82">
        <w:rPr>
          <w:rFonts w:hint="eastAsia"/>
        </w:rPr>
        <w:t>20</w:t>
      </w:r>
      <w:r w:rsidRPr="008B5E82">
        <w:rPr>
          <w:rFonts w:hint="eastAsia"/>
        </w:rPr>
        <w:t>日發表：美國在臺協會網站</w:t>
      </w:r>
      <w:r w:rsidRPr="00CD2B44">
        <w:rPr>
          <w:rFonts w:hint="eastAsia"/>
        </w:rPr>
        <w:t>https://www.ait.org.tw/zhtw/</w:t>
      </w:r>
      <w:r>
        <w:rPr>
          <w:rFonts w:hint="eastAsia"/>
        </w:rPr>
        <w:t xml:space="preserve">　</w:t>
      </w:r>
      <w:r w:rsidRPr="008B5E82">
        <w:rPr>
          <w:rFonts w:hint="eastAsia"/>
        </w:rPr>
        <w:t>2017-human-rights-report-taiwan-part-zh/</w:t>
      </w:r>
      <w:r w:rsidRPr="008B5E82">
        <w:rPr>
          <w:rFonts w:hint="eastAsia"/>
        </w:rPr>
        <w:t>，最後查詢日期：</w:t>
      </w:r>
      <w:r w:rsidRPr="008B5E82">
        <w:rPr>
          <w:rFonts w:hint="eastAsia"/>
        </w:rPr>
        <w:t>107</w:t>
      </w:r>
      <w:r w:rsidRPr="008B5E82">
        <w:rPr>
          <w:rFonts w:hint="eastAsia"/>
        </w:rPr>
        <w:t>年</w:t>
      </w:r>
      <w:r w:rsidRPr="008B5E82">
        <w:rPr>
          <w:rFonts w:hint="eastAsia"/>
        </w:rPr>
        <w:t>9</w:t>
      </w:r>
      <w:r w:rsidRPr="008B5E82">
        <w:rPr>
          <w:rFonts w:hint="eastAsia"/>
        </w:rPr>
        <w:t>月</w:t>
      </w:r>
      <w:r w:rsidRPr="008B5E82">
        <w:rPr>
          <w:rFonts w:hint="eastAsia"/>
        </w:rPr>
        <w:t>27</w:t>
      </w:r>
      <w:r w:rsidRPr="008B5E82">
        <w:rPr>
          <w:rFonts w:hint="eastAsia"/>
        </w:rPr>
        <w:t>日。</w:t>
      </w:r>
    </w:p>
  </w:footnote>
  <w:footnote w:id="24">
    <w:p w:rsidR="00970832" w:rsidRPr="008B5E82" w:rsidRDefault="00970832" w:rsidP="00F010B7">
      <w:pPr>
        <w:pStyle w:val="2---"/>
        <w:adjustRightInd w:val="0"/>
        <w:ind w:left="273" w:hangingChars="130" w:hanging="273"/>
      </w:pPr>
      <w:r w:rsidRPr="008B2F3D">
        <w:rPr>
          <w:rStyle w:val="aff2"/>
          <w:sz w:val="21"/>
          <w:szCs w:val="21"/>
        </w:rPr>
        <w:footnoteRef/>
      </w:r>
      <w:r w:rsidRPr="008B5E82">
        <w:rPr>
          <w:rFonts w:hint="eastAsia"/>
        </w:rPr>
        <w:t xml:space="preserve"> </w:t>
      </w:r>
      <w:r>
        <w:rPr>
          <w:rFonts w:hint="eastAsia"/>
        </w:rPr>
        <w:tab/>
      </w:r>
      <w:r w:rsidRPr="008B5E82">
        <w:rPr>
          <w:rFonts w:hint="eastAsia"/>
          <w:lang w:eastAsia="zh-HK"/>
        </w:rPr>
        <w:t>李西潭</w:t>
      </w:r>
      <w:r w:rsidRPr="000D4120">
        <w:rPr>
          <w:rFonts w:hint="eastAsia"/>
          <w:spacing w:val="-26"/>
          <w:lang w:eastAsia="zh-HK"/>
        </w:rPr>
        <w:t>，</w:t>
      </w:r>
      <w:r w:rsidRPr="008B5E82">
        <w:rPr>
          <w:rFonts w:hint="eastAsia"/>
        </w:rPr>
        <w:t>《</w:t>
      </w:r>
      <w:r w:rsidRPr="008B5E82">
        <w:rPr>
          <w:rFonts w:hint="eastAsia"/>
          <w:lang w:eastAsia="zh-HK"/>
        </w:rPr>
        <w:t>自由、平等與民主</w:t>
      </w:r>
      <w:r>
        <w:rPr>
          <w:rFonts w:hint="eastAsia"/>
        </w:rPr>
        <w:t>－</w:t>
      </w:r>
      <w:r w:rsidRPr="008B5E82">
        <w:rPr>
          <w:rFonts w:hint="eastAsia"/>
          <w:lang w:eastAsia="zh-HK"/>
        </w:rPr>
        <w:t>約翰彌勒與孫中山的政治思想</w:t>
      </w:r>
      <w:r w:rsidRPr="000D4120">
        <w:rPr>
          <w:rFonts w:hint="eastAsia"/>
          <w:spacing w:val="-26"/>
        </w:rPr>
        <w:t>》</w:t>
      </w:r>
      <w:r w:rsidRPr="008B5E82">
        <w:rPr>
          <w:rFonts w:hint="eastAsia"/>
        </w:rPr>
        <w:t>，臺北：</w:t>
      </w:r>
      <w:r w:rsidRPr="008B5E82">
        <w:rPr>
          <w:rFonts w:hint="eastAsia"/>
          <w:lang w:eastAsia="zh-HK"/>
        </w:rPr>
        <w:t>國立編譯館，</w:t>
      </w:r>
      <w:r w:rsidRPr="008B5E82">
        <w:rPr>
          <w:rFonts w:hint="eastAsia"/>
          <w:lang w:eastAsia="zh-HK"/>
        </w:rPr>
        <w:t>1999</w:t>
      </w:r>
      <w:r w:rsidRPr="008B5E82">
        <w:rPr>
          <w:rFonts w:hint="eastAsia"/>
          <w:lang w:eastAsia="zh-HK"/>
        </w:rPr>
        <w:t>年，頁</w:t>
      </w:r>
      <w:r w:rsidRPr="008B5E82">
        <w:rPr>
          <w:rFonts w:hint="eastAsia"/>
          <w:lang w:eastAsia="zh-HK"/>
        </w:rPr>
        <w:t>87-154</w:t>
      </w:r>
      <w:r w:rsidRPr="008B5E82">
        <w:rPr>
          <w:rFonts w:hint="eastAsia"/>
          <w:lang w:eastAsia="zh-HK"/>
        </w:rPr>
        <w:t>。</w:t>
      </w:r>
    </w:p>
  </w:footnote>
  <w:footnote w:id="25">
    <w:p w:rsidR="00970832" w:rsidRPr="008B5E82" w:rsidRDefault="00970832" w:rsidP="00F010B7">
      <w:pPr>
        <w:pStyle w:val="2---"/>
        <w:adjustRightInd w:val="0"/>
        <w:ind w:left="273" w:hangingChars="130" w:hanging="273"/>
      </w:pPr>
      <w:r w:rsidRPr="008B2F3D">
        <w:rPr>
          <w:rStyle w:val="aff2"/>
          <w:sz w:val="21"/>
          <w:szCs w:val="21"/>
        </w:rPr>
        <w:footnoteRef/>
      </w:r>
      <w:r w:rsidRPr="008B5E82">
        <w:t xml:space="preserve"> </w:t>
      </w:r>
      <w:r>
        <w:rPr>
          <w:rFonts w:hint="eastAsia"/>
        </w:rPr>
        <w:tab/>
      </w:r>
      <w:r w:rsidRPr="008B5E82">
        <w:rPr>
          <w:rFonts w:hint="eastAsia"/>
          <w:lang w:eastAsia="zh-HK"/>
        </w:rPr>
        <w:t>蔡祈賢</w:t>
      </w:r>
      <w:r w:rsidRPr="000D4120">
        <w:rPr>
          <w:rFonts w:hint="eastAsia"/>
          <w:spacing w:val="-26"/>
          <w:lang w:eastAsia="zh-HK"/>
        </w:rPr>
        <w:t>，</w:t>
      </w:r>
      <w:r w:rsidRPr="008B5E82">
        <w:rPr>
          <w:rFonts w:hint="eastAsia"/>
        </w:rPr>
        <w:t>《</w:t>
      </w:r>
      <w:r w:rsidRPr="008B5E82">
        <w:rPr>
          <w:rFonts w:hint="eastAsia"/>
          <w:lang w:eastAsia="zh-HK"/>
        </w:rPr>
        <w:t>平等思想與我國教育機會均等政策</w:t>
      </w:r>
      <w:r w:rsidRPr="000D4120">
        <w:rPr>
          <w:rFonts w:hint="eastAsia"/>
          <w:spacing w:val="-26"/>
        </w:rPr>
        <w:t>》</w:t>
      </w:r>
      <w:r w:rsidRPr="008B5E82">
        <w:rPr>
          <w:rFonts w:hint="eastAsia"/>
        </w:rPr>
        <w:t>，臺北：</w:t>
      </w:r>
      <w:r w:rsidRPr="008B5E82">
        <w:rPr>
          <w:rFonts w:hint="eastAsia"/>
          <w:lang w:eastAsia="zh-HK"/>
        </w:rPr>
        <w:t>五南圖書出版公司，</w:t>
      </w:r>
      <w:r w:rsidRPr="008B5E82">
        <w:rPr>
          <w:rFonts w:hint="eastAsia"/>
          <w:lang w:eastAsia="zh-HK"/>
        </w:rPr>
        <w:t>1994</w:t>
      </w:r>
      <w:r w:rsidRPr="008B5E82">
        <w:rPr>
          <w:rFonts w:hint="eastAsia"/>
          <w:lang w:eastAsia="zh-HK"/>
        </w:rPr>
        <w:t>年，頁</w:t>
      </w:r>
      <w:r w:rsidRPr="008B5E82">
        <w:rPr>
          <w:rFonts w:hint="eastAsia"/>
          <w:lang w:eastAsia="zh-HK"/>
        </w:rPr>
        <w:t>6-7</w:t>
      </w:r>
      <w:r w:rsidRPr="008B5E82">
        <w:rPr>
          <w:rFonts w:hint="eastAsia"/>
          <w:lang w:eastAsia="zh-HK"/>
        </w:rPr>
        <w:t>。</w:t>
      </w:r>
    </w:p>
  </w:footnote>
  <w:footnote w:id="26">
    <w:p w:rsidR="00970832" w:rsidRPr="008B5E82" w:rsidRDefault="00970832" w:rsidP="00F010B7">
      <w:pPr>
        <w:pStyle w:val="2---"/>
        <w:adjustRightInd w:val="0"/>
        <w:ind w:left="273" w:hangingChars="130" w:hanging="273"/>
      </w:pPr>
      <w:r w:rsidRPr="008B2F3D">
        <w:rPr>
          <w:rStyle w:val="aff2"/>
          <w:sz w:val="21"/>
          <w:szCs w:val="21"/>
        </w:rPr>
        <w:footnoteRef/>
      </w:r>
      <w:r w:rsidRPr="008B5E82">
        <w:rPr>
          <w:rFonts w:hint="eastAsia"/>
        </w:rPr>
        <w:t xml:space="preserve"> </w:t>
      </w:r>
      <w:r>
        <w:rPr>
          <w:rFonts w:hint="eastAsia"/>
        </w:rPr>
        <w:tab/>
      </w:r>
      <w:r w:rsidRPr="008B5E82">
        <w:rPr>
          <w:rFonts w:hint="eastAsia"/>
        </w:rPr>
        <w:t>法務部</w:t>
      </w:r>
      <w:r w:rsidRPr="000D4120">
        <w:rPr>
          <w:rFonts w:hint="eastAsia"/>
          <w:spacing w:val="-26"/>
        </w:rPr>
        <w:t>，</w:t>
      </w:r>
      <w:r w:rsidRPr="008B5E82">
        <w:rPr>
          <w:rFonts w:hint="eastAsia"/>
        </w:rPr>
        <w:t>《人權大步走－落實兩公約種子培訓營總論講義</w:t>
      </w:r>
      <w:r w:rsidRPr="000D4120">
        <w:rPr>
          <w:rFonts w:hint="eastAsia"/>
          <w:spacing w:val="-26"/>
        </w:rPr>
        <w:t>》</w:t>
      </w:r>
      <w:r w:rsidRPr="008B5E82">
        <w:rPr>
          <w:rFonts w:hint="eastAsia"/>
        </w:rPr>
        <w:t>，臺北：法務部，</w:t>
      </w:r>
      <w:r w:rsidRPr="008B5E82">
        <w:rPr>
          <w:rFonts w:hint="eastAsia"/>
        </w:rPr>
        <w:t>2009</w:t>
      </w:r>
      <w:r w:rsidRPr="008B5E82">
        <w:rPr>
          <w:rFonts w:hint="eastAsia"/>
        </w:rPr>
        <w:t>年，頁</w:t>
      </w:r>
      <w:r w:rsidRPr="008B5E82">
        <w:rPr>
          <w:rFonts w:hint="eastAsia"/>
        </w:rPr>
        <w:t>30-31</w:t>
      </w:r>
      <w:r w:rsidRPr="008B5E82">
        <w:rPr>
          <w:rFonts w:hint="eastAsia"/>
        </w:rPr>
        <w:t>。</w:t>
      </w:r>
    </w:p>
  </w:footnote>
  <w:footnote w:id="27">
    <w:p w:rsidR="00970832" w:rsidRPr="008B5E82" w:rsidRDefault="00970832" w:rsidP="00F010B7">
      <w:pPr>
        <w:pStyle w:val="2---"/>
        <w:adjustRightInd w:val="0"/>
        <w:ind w:left="273" w:hangingChars="130" w:hanging="273"/>
      </w:pPr>
      <w:r w:rsidRPr="008B2F3D">
        <w:rPr>
          <w:sz w:val="21"/>
          <w:szCs w:val="21"/>
          <w:vertAlign w:val="superscript"/>
        </w:rPr>
        <w:footnoteRef/>
      </w:r>
      <w:r w:rsidRPr="008B5E82">
        <w:rPr>
          <w:rFonts w:hint="eastAsia"/>
        </w:rPr>
        <w:t xml:space="preserve"> </w:t>
      </w:r>
      <w:r>
        <w:rPr>
          <w:rFonts w:hint="eastAsia"/>
        </w:rPr>
        <w:tab/>
      </w:r>
      <w:r w:rsidRPr="008B5E82">
        <w:rPr>
          <w:rFonts w:hint="eastAsia"/>
          <w:lang w:eastAsia="zh-HK"/>
        </w:rPr>
        <w:t>參見司法院</w:t>
      </w:r>
      <w:r w:rsidRPr="008B5E82">
        <w:rPr>
          <w:rFonts w:hint="eastAsia"/>
        </w:rPr>
        <w:t>釋字第</w:t>
      </w:r>
      <w:r w:rsidRPr="008B5E82">
        <w:rPr>
          <w:rFonts w:hint="eastAsia"/>
        </w:rPr>
        <w:t>179</w:t>
      </w:r>
      <w:r w:rsidRPr="008B5E82">
        <w:rPr>
          <w:rFonts w:hint="eastAsia"/>
        </w:rPr>
        <w:t>號、</w:t>
      </w:r>
      <w:r w:rsidRPr="008B5E82">
        <w:rPr>
          <w:rFonts w:hint="eastAsia"/>
        </w:rPr>
        <w:t>205</w:t>
      </w:r>
      <w:r w:rsidRPr="008B5E82">
        <w:rPr>
          <w:rFonts w:hint="eastAsia"/>
        </w:rPr>
        <w:t>號、</w:t>
      </w:r>
      <w:r w:rsidRPr="008B5E82">
        <w:rPr>
          <w:rFonts w:hint="eastAsia"/>
        </w:rPr>
        <w:t>211</w:t>
      </w:r>
      <w:r w:rsidRPr="008B5E82">
        <w:rPr>
          <w:rFonts w:hint="eastAsia"/>
        </w:rPr>
        <w:t>號、</w:t>
      </w:r>
      <w:r w:rsidRPr="008B5E82">
        <w:rPr>
          <w:rFonts w:hint="eastAsia"/>
        </w:rPr>
        <w:t>341</w:t>
      </w:r>
      <w:r w:rsidRPr="008B5E82">
        <w:rPr>
          <w:rFonts w:hint="eastAsia"/>
        </w:rPr>
        <w:t>號、</w:t>
      </w:r>
      <w:r w:rsidRPr="008B5E82">
        <w:rPr>
          <w:rFonts w:hint="eastAsia"/>
        </w:rPr>
        <w:t>365</w:t>
      </w:r>
      <w:r w:rsidRPr="008B5E82">
        <w:rPr>
          <w:rFonts w:hint="eastAsia"/>
        </w:rPr>
        <w:t>號、</w:t>
      </w:r>
      <w:r w:rsidRPr="008B5E82">
        <w:rPr>
          <w:rFonts w:hint="eastAsia"/>
        </w:rPr>
        <w:t>369</w:t>
      </w:r>
      <w:r w:rsidRPr="008B5E82">
        <w:rPr>
          <w:rFonts w:hint="eastAsia"/>
        </w:rPr>
        <w:t>號、</w:t>
      </w:r>
      <w:r w:rsidRPr="008B5E82">
        <w:rPr>
          <w:rFonts w:hint="eastAsia"/>
        </w:rPr>
        <w:t>400</w:t>
      </w:r>
      <w:r w:rsidRPr="008B5E82">
        <w:rPr>
          <w:rFonts w:hint="eastAsia"/>
        </w:rPr>
        <w:t>號、</w:t>
      </w:r>
      <w:r w:rsidRPr="008B5E82">
        <w:rPr>
          <w:rFonts w:hint="eastAsia"/>
        </w:rPr>
        <w:t>410</w:t>
      </w:r>
      <w:r w:rsidRPr="008B5E82">
        <w:rPr>
          <w:rFonts w:hint="eastAsia"/>
        </w:rPr>
        <w:t>號、</w:t>
      </w:r>
      <w:r w:rsidRPr="008B5E82">
        <w:rPr>
          <w:rFonts w:hint="eastAsia"/>
        </w:rPr>
        <w:t>412</w:t>
      </w:r>
      <w:r w:rsidRPr="008B5E82">
        <w:rPr>
          <w:rFonts w:hint="eastAsia"/>
        </w:rPr>
        <w:t>號、</w:t>
      </w:r>
      <w:r w:rsidRPr="008B5E82">
        <w:rPr>
          <w:rFonts w:hint="eastAsia"/>
        </w:rPr>
        <w:t>438</w:t>
      </w:r>
      <w:r w:rsidRPr="008B5E82">
        <w:rPr>
          <w:rFonts w:hint="eastAsia"/>
        </w:rPr>
        <w:t>號、</w:t>
      </w:r>
      <w:r w:rsidRPr="008B5E82">
        <w:rPr>
          <w:rFonts w:hint="eastAsia"/>
        </w:rPr>
        <w:t>452</w:t>
      </w:r>
      <w:r w:rsidRPr="008B5E82">
        <w:rPr>
          <w:rFonts w:hint="eastAsia"/>
        </w:rPr>
        <w:t>號、</w:t>
      </w:r>
      <w:r w:rsidRPr="008B5E82">
        <w:rPr>
          <w:rFonts w:hint="eastAsia"/>
        </w:rPr>
        <w:t>455</w:t>
      </w:r>
      <w:r w:rsidRPr="008B5E82">
        <w:rPr>
          <w:rFonts w:hint="eastAsia"/>
        </w:rPr>
        <w:t>號、</w:t>
      </w:r>
      <w:r w:rsidRPr="008B5E82">
        <w:rPr>
          <w:rFonts w:hint="eastAsia"/>
        </w:rPr>
        <w:t>457</w:t>
      </w:r>
      <w:r w:rsidRPr="008B5E82">
        <w:rPr>
          <w:rFonts w:hint="eastAsia"/>
        </w:rPr>
        <w:t>號、</w:t>
      </w:r>
      <w:r w:rsidRPr="008B5E82">
        <w:rPr>
          <w:rFonts w:hint="eastAsia"/>
        </w:rPr>
        <w:t>468</w:t>
      </w:r>
      <w:r w:rsidRPr="008B5E82">
        <w:rPr>
          <w:rFonts w:hint="eastAsia"/>
        </w:rPr>
        <w:t>號、</w:t>
      </w:r>
      <w:r w:rsidRPr="008B5E82">
        <w:rPr>
          <w:rFonts w:hint="eastAsia"/>
        </w:rPr>
        <w:t>477</w:t>
      </w:r>
      <w:r w:rsidRPr="008B5E82">
        <w:rPr>
          <w:rFonts w:hint="eastAsia"/>
        </w:rPr>
        <w:t>號、</w:t>
      </w:r>
      <w:r w:rsidRPr="008B5E82">
        <w:rPr>
          <w:rFonts w:hint="eastAsia"/>
        </w:rPr>
        <w:t>481</w:t>
      </w:r>
      <w:r w:rsidRPr="008B5E82">
        <w:rPr>
          <w:rFonts w:hint="eastAsia"/>
        </w:rPr>
        <w:t>號、</w:t>
      </w:r>
      <w:r w:rsidRPr="008B5E82">
        <w:rPr>
          <w:rFonts w:hint="eastAsia"/>
        </w:rPr>
        <w:t>485</w:t>
      </w:r>
      <w:r w:rsidRPr="008B5E82">
        <w:rPr>
          <w:rFonts w:hint="eastAsia"/>
        </w:rPr>
        <w:t>號、</w:t>
      </w:r>
      <w:r w:rsidRPr="008B5E82">
        <w:rPr>
          <w:rFonts w:hint="eastAsia"/>
        </w:rPr>
        <w:t>490</w:t>
      </w:r>
      <w:r w:rsidRPr="008B5E82">
        <w:rPr>
          <w:rFonts w:hint="eastAsia"/>
        </w:rPr>
        <w:t>號、</w:t>
      </w:r>
      <w:r w:rsidRPr="008B5E82">
        <w:rPr>
          <w:rFonts w:hint="eastAsia"/>
        </w:rPr>
        <w:t>491</w:t>
      </w:r>
      <w:r w:rsidRPr="008B5E82">
        <w:rPr>
          <w:rFonts w:hint="eastAsia"/>
        </w:rPr>
        <w:t>號、</w:t>
      </w:r>
      <w:r w:rsidRPr="008B5E82">
        <w:rPr>
          <w:rFonts w:hint="eastAsia"/>
        </w:rPr>
        <w:t>500</w:t>
      </w:r>
      <w:r w:rsidRPr="008B5E82">
        <w:rPr>
          <w:rFonts w:hint="eastAsia"/>
        </w:rPr>
        <w:t>號、</w:t>
      </w:r>
      <w:r w:rsidRPr="008B5E82">
        <w:rPr>
          <w:rFonts w:hint="eastAsia"/>
        </w:rPr>
        <w:t>508</w:t>
      </w:r>
      <w:r w:rsidRPr="008B5E82">
        <w:rPr>
          <w:rFonts w:hint="eastAsia"/>
        </w:rPr>
        <w:t>號、</w:t>
      </w:r>
      <w:r w:rsidRPr="008B5E82">
        <w:rPr>
          <w:rFonts w:hint="eastAsia"/>
        </w:rPr>
        <w:t>542</w:t>
      </w:r>
      <w:r w:rsidRPr="008B5E82">
        <w:rPr>
          <w:rFonts w:hint="eastAsia"/>
        </w:rPr>
        <w:t>號、</w:t>
      </w:r>
      <w:r w:rsidRPr="008B5E82">
        <w:rPr>
          <w:rFonts w:hint="eastAsia"/>
        </w:rPr>
        <w:t>547</w:t>
      </w:r>
      <w:r w:rsidRPr="008B5E82">
        <w:rPr>
          <w:rFonts w:hint="eastAsia"/>
        </w:rPr>
        <w:t>號、</w:t>
      </w:r>
      <w:r w:rsidRPr="008B5E82">
        <w:rPr>
          <w:rFonts w:hint="eastAsia"/>
        </w:rPr>
        <w:t>554</w:t>
      </w:r>
      <w:r w:rsidRPr="008B5E82">
        <w:rPr>
          <w:rFonts w:hint="eastAsia"/>
        </w:rPr>
        <w:t>號、</w:t>
      </w:r>
      <w:r w:rsidRPr="008B5E82">
        <w:rPr>
          <w:rFonts w:hint="eastAsia"/>
        </w:rPr>
        <w:t>555</w:t>
      </w:r>
      <w:r w:rsidRPr="008B5E82">
        <w:rPr>
          <w:rFonts w:hint="eastAsia"/>
        </w:rPr>
        <w:t>號、</w:t>
      </w:r>
      <w:r w:rsidRPr="008B5E82">
        <w:rPr>
          <w:rFonts w:hint="eastAsia"/>
        </w:rPr>
        <w:t>565</w:t>
      </w:r>
      <w:r w:rsidRPr="008B5E82">
        <w:rPr>
          <w:rFonts w:hint="eastAsia"/>
        </w:rPr>
        <w:t>號、</w:t>
      </w:r>
      <w:r w:rsidRPr="008B5E82">
        <w:rPr>
          <w:rFonts w:hint="eastAsia"/>
        </w:rPr>
        <w:t>567</w:t>
      </w:r>
      <w:r w:rsidRPr="008B5E82">
        <w:rPr>
          <w:rFonts w:hint="eastAsia"/>
        </w:rPr>
        <w:t>號、</w:t>
      </w:r>
      <w:r w:rsidRPr="008B5E82">
        <w:rPr>
          <w:rFonts w:hint="eastAsia"/>
        </w:rPr>
        <w:t>571</w:t>
      </w:r>
      <w:r w:rsidRPr="008B5E82">
        <w:rPr>
          <w:rFonts w:hint="eastAsia"/>
        </w:rPr>
        <w:t>號、</w:t>
      </w:r>
      <w:r w:rsidRPr="008B5E82">
        <w:rPr>
          <w:rFonts w:hint="eastAsia"/>
        </w:rPr>
        <w:t>573</w:t>
      </w:r>
      <w:r w:rsidRPr="008B5E82">
        <w:rPr>
          <w:rFonts w:hint="eastAsia"/>
        </w:rPr>
        <w:t>號、</w:t>
      </w:r>
      <w:r w:rsidRPr="008B5E82">
        <w:rPr>
          <w:rFonts w:hint="eastAsia"/>
        </w:rPr>
        <w:t>575</w:t>
      </w:r>
      <w:r w:rsidRPr="008B5E82">
        <w:rPr>
          <w:rFonts w:hint="eastAsia"/>
        </w:rPr>
        <w:t>號、</w:t>
      </w:r>
      <w:r w:rsidRPr="008B5E82">
        <w:rPr>
          <w:rFonts w:hint="eastAsia"/>
        </w:rPr>
        <w:t>577</w:t>
      </w:r>
      <w:r w:rsidRPr="008B5E82">
        <w:rPr>
          <w:rFonts w:hint="eastAsia"/>
        </w:rPr>
        <w:t>號、</w:t>
      </w:r>
      <w:r w:rsidRPr="008B5E82">
        <w:rPr>
          <w:rFonts w:hint="eastAsia"/>
        </w:rPr>
        <w:t>578</w:t>
      </w:r>
      <w:r w:rsidRPr="008B5E82">
        <w:rPr>
          <w:rFonts w:hint="eastAsia"/>
        </w:rPr>
        <w:t>號、</w:t>
      </w:r>
      <w:r w:rsidRPr="008B5E82">
        <w:rPr>
          <w:rFonts w:hint="eastAsia"/>
        </w:rPr>
        <w:t>580</w:t>
      </w:r>
      <w:r w:rsidRPr="008B5E82">
        <w:rPr>
          <w:rFonts w:hint="eastAsia"/>
        </w:rPr>
        <w:t>號、</w:t>
      </w:r>
      <w:r w:rsidRPr="008B5E82">
        <w:rPr>
          <w:rFonts w:hint="eastAsia"/>
        </w:rPr>
        <w:t>584</w:t>
      </w:r>
      <w:r w:rsidRPr="008B5E82">
        <w:rPr>
          <w:rFonts w:hint="eastAsia"/>
        </w:rPr>
        <w:t>號、</w:t>
      </w:r>
      <w:r w:rsidRPr="008B5E82">
        <w:rPr>
          <w:rFonts w:hint="eastAsia"/>
        </w:rPr>
        <w:t>585</w:t>
      </w:r>
      <w:r w:rsidRPr="008B5E82">
        <w:rPr>
          <w:rFonts w:hint="eastAsia"/>
        </w:rPr>
        <w:t>號、</w:t>
      </w:r>
      <w:r w:rsidRPr="008B5E82">
        <w:rPr>
          <w:rFonts w:hint="eastAsia"/>
        </w:rPr>
        <w:t>593</w:t>
      </w:r>
      <w:r w:rsidRPr="008B5E82">
        <w:rPr>
          <w:rFonts w:hint="eastAsia"/>
        </w:rPr>
        <w:t>號、</w:t>
      </w:r>
      <w:r w:rsidRPr="008B5E82">
        <w:rPr>
          <w:rFonts w:hint="eastAsia"/>
        </w:rPr>
        <w:t>596</w:t>
      </w:r>
      <w:r w:rsidRPr="008B5E82">
        <w:rPr>
          <w:rFonts w:hint="eastAsia"/>
        </w:rPr>
        <w:t>號、</w:t>
      </w:r>
      <w:r w:rsidRPr="008B5E82">
        <w:rPr>
          <w:rFonts w:hint="eastAsia"/>
        </w:rPr>
        <w:t>605</w:t>
      </w:r>
      <w:r w:rsidRPr="008B5E82">
        <w:rPr>
          <w:rFonts w:hint="eastAsia"/>
        </w:rPr>
        <w:t>號、</w:t>
      </w:r>
      <w:r w:rsidRPr="008B5E82">
        <w:rPr>
          <w:rFonts w:hint="eastAsia"/>
        </w:rPr>
        <w:t>607</w:t>
      </w:r>
      <w:r w:rsidRPr="008B5E82">
        <w:rPr>
          <w:rFonts w:hint="eastAsia"/>
        </w:rPr>
        <w:t>號、</w:t>
      </w:r>
      <w:r w:rsidRPr="008B5E82">
        <w:rPr>
          <w:rFonts w:hint="eastAsia"/>
        </w:rPr>
        <w:t>610</w:t>
      </w:r>
      <w:r w:rsidRPr="008B5E82">
        <w:rPr>
          <w:rFonts w:hint="eastAsia"/>
        </w:rPr>
        <w:t>號、</w:t>
      </w:r>
      <w:r w:rsidRPr="008B5E82">
        <w:rPr>
          <w:rFonts w:hint="eastAsia"/>
        </w:rPr>
        <w:t>614</w:t>
      </w:r>
      <w:r w:rsidRPr="008B5E82">
        <w:rPr>
          <w:rFonts w:hint="eastAsia"/>
        </w:rPr>
        <w:t>號、</w:t>
      </w:r>
      <w:r w:rsidRPr="008B5E82">
        <w:rPr>
          <w:rFonts w:hint="eastAsia"/>
        </w:rPr>
        <w:t>618</w:t>
      </w:r>
      <w:r w:rsidRPr="008B5E82">
        <w:rPr>
          <w:rFonts w:hint="eastAsia"/>
        </w:rPr>
        <w:t>號、</w:t>
      </w:r>
      <w:r w:rsidRPr="008B5E82">
        <w:rPr>
          <w:rFonts w:hint="eastAsia"/>
        </w:rPr>
        <w:t>624</w:t>
      </w:r>
      <w:r w:rsidRPr="008B5E82">
        <w:rPr>
          <w:rFonts w:hint="eastAsia"/>
        </w:rPr>
        <w:t>號、</w:t>
      </w:r>
      <w:r w:rsidRPr="008B5E82">
        <w:rPr>
          <w:rFonts w:hint="eastAsia"/>
        </w:rPr>
        <w:t>626</w:t>
      </w:r>
      <w:r w:rsidRPr="008B5E82">
        <w:rPr>
          <w:rFonts w:hint="eastAsia"/>
        </w:rPr>
        <w:t>號、</w:t>
      </w:r>
      <w:r w:rsidRPr="008B5E82">
        <w:rPr>
          <w:rFonts w:hint="eastAsia"/>
        </w:rPr>
        <w:t>635</w:t>
      </w:r>
      <w:r w:rsidRPr="008B5E82">
        <w:rPr>
          <w:rFonts w:hint="eastAsia"/>
        </w:rPr>
        <w:t>號、</w:t>
      </w:r>
      <w:r w:rsidRPr="008B5E82">
        <w:rPr>
          <w:rFonts w:hint="eastAsia"/>
        </w:rPr>
        <w:t>639</w:t>
      </w:r>
      <w:r w:rsidRPr="008B5E82">
        <w:rPr>
          <w:rFonts w:hint="eastAsia"/>
        </w:rPr>
        <w:t>號、</w:t>
      </w:r>
      <w:r w:rsidRPr="008B5E82">
        <w:rPr>
          <w:rFonts w:hint="eastAsia"/>
        </w:rPr>
        <w:t>647</w:t>
      </w:r>
      <w:r w:rsidRPr="008B5E82">
        <w:rPr>
          <w:rFonts w:hint="eastAsia"/>
        </w:rPr>
        <w:t>號、</w:t>
      </w:r>
      <w:r w:rsidRPr="008B5E82">
        <w:rPr>
          <w:rFonts w:hint="eastAsia"/>
        </w:rPr>
        <w:t>648</w:t>
      </w:r>
      <w:r w:rsidRPr="008B5E82">
        <w:rPr>
          <w:rFonts w:hint="eastAsia"/>
        </w:rPr>
        <w:t>號、</w:t>
      </w:r>
      <w:r w:rsidRPr="008B5E82">
        <w:rPr>
          <w:rFonts w:hint="eastAsia"/>
        </w:rPr>
        <w:t>649</w:t>
      </w:r>
      <w:r w:rsidRPr="008B5E82">
        <w:rPr>
          <w:rFonts w:hint="eastAsia"/>
        </w:rPr>
        <w:t>號、</w:t>
      </w:r>
      <w:r w:rsidRPr="008B5E82">
        <w:rPr>
          <w:rFonts w:hint="eastAsia"/>
        </w:rPr>
        <w:t>666</w:t>
      </w:r>
      <w:r w:rsidRPr="008B5E82">
        <w:rPr>
          <w:rFonts w:hint="eastAsia"/>
        </w:rPr>
        <w:t>號、</w:t>
      </w:r>
      <w:r w:rsidRPr="008B5E82">
        <w:rPr>
          <w:rFonts w:hint="eastAsia"/>
        </w:rPr>
        <w:t>670</w:t>
      </w:r>
      <w:r w:rsidRPr="008B5E82">
        <w:rPr>
          <w:rFonts w:hint="eastAsia"/>
        </w:rPr>
        <w:t>號、</w:t>
      </w:r>
      <w:r w:rsidRPr="008B5E82">
        <w:rPr>
          <w:rFonts w:hint="eastAsia"/>
        </w:rPr>
        <w:t>728</w:t>
      </w:r>
      <w:r w:rsidRPr="008B5E82">
        <w:rPr>
          <w:rFonts w:hint="eastAsia"/>
        </w:rPr>
        <w:t>號、</w:t>
      </w:r>
      <w:r w:rsidRPr="008B5E82">
        <w:rPr>
          <w:rFonts w:hint="eastAsia"/>
        </w:rPr>
        <w:t>748</w:t>
      </w:r>
      <w:r w:rsidRPr="008B5E82">
        <w:rPr>
          <w:rFonts w:hint="eastAsia"/>
        </w:rPr>
        <w:t>號</w:t>
      </w:r>
      <w:r>
        <w:rPr>
          <w:rFonts w:hint="eastAsia"/>
        </w:rPr>
        <w:t>、</w:t>
      </w:r>
      <w:r>
        <w:rPr>
          <w:rFonts w:hint="eastAsia"/>
        </w:rPr>
        <w:t>764</w:t>
      </w:r>
      <w:r>
        <w:rPr>
          <w:rFonts w:hint="eastAsia"/>
          <w:lang w:eastAsia="zh-HK"/>
        </w:rPr>
        <w:t>號</w:t>
      </w:r>
      <w:r w:rsidRPr="008B5E82">
        <w:rPr>
          <w:rFonts w:hint="eastAsia"/>
        </w:rPr>
        <w:t>等多號解釋。</w:t>
      </w:r>
    </w:p>
  </w:footnote>
  <w:footnote w:id="28">
    <w:p w:rsidR="00970832" w:rsidRPr="008B5E82" w:rsidRDefault="00970832" w:rsidP="00F010B7">
      <w:pPr>
        <w:pStyle w:val="2---"/>
        <w:adjustRightInd w:val="0"/>
        <w:ind w:left="273" w:hangingChars="130" w:hanging="273"/>
      </w:pPr>
      <w:r w:rsidRPr="008B2F3D">
        <w:rPr>
          <w:sz w:val="21"/>
          <w:szCs w:val="21"/>
          <w:vertAlign w:val="superscript"/>
        </w:rPr>
        <w:footnoteRef/>
      </w:r>
      <w:r w:rsidRPr="008B5E82">
        <w:rPr>
          <w:rFonts w:hint="eastAsia"/>
        </w:rPr>
        <w:t xml:space="preserve"> </w:t>
      </w:r>
      <w:r>
        <w:rPr>
          <w:rFonts w:hint="eastAsia"/>
        </w:rPr>
        <w:tab/>
      </w:r>
      <w:r w:rsidRPr="008B5E82">
        <w:rPr>
          <w:rFonts w:hint="eastAsia"/>
        </w:rPr>
        <w:t>許育典</w:t>
      </w:r>
      <w:r w:rsidRPr="000D4120">
        <w:rPr>
          <w:rFonts w:hint="eastAsia"/>
          <w:spacing w:val="-26"/>
        </w:rPr>
        <w:t>，</w:t>
      </w:r>
      <w:r w:rsidRPr="008B5E82">
        <w:rPr>
          <w:rFonts w:hint="eastAsia"/>
        </w:rPr>
        <w:t>《人權、民主與法治－當人民遇到憲法</w:t>
      </w:r>
      <w:r w:rsidRPr="000D4120">
        <w:rPr>
          <w:rFonts w:hint="eastAsia"/>
          <w:spacing w:val="-26"/>
        </w:rPr>
        <w:t>》</w:t>
      </w:r>
      <w:r w:rsidRPr="008B5E82">
        <w:rPr>
          <w:rFonts w:hint="eastAsia"/>
        </w:rPr>
        <w:t>，臺北：元照出版公司，</w:t>
      </w:r>
      <w:r w:rsidRPr="008B5E82">
        <w:rPr>
          <w:rFonts w:hint="eastAsia"/>
        </w:rPr>
        <w:t>2011</w:t>
      </w:r>
      <w:r w:rsidRPr="008B5E82">
        <w:rPr>
          <w:rFonts w:hint="eastAsia"/>
        </w:rPr>
        <w:t>年，頁</w:t>
      </w:r>
      <w:r w:rsidRPr="008B5E82">
        <w:rPr>
          <w:rFonts w:hint="eastAsia"/>
        </w:rPr>
        <w:t>66-69</w:t>
      </w:r>
      <w:r w:rsidRPr="008B5E82">
        <w:rPr>
          <w:rFonts w:hint="eastAsia"/>
        </w:rPr>
        <w:t>。</w:t>
      </w:r>
    </w:p>
  </w:footnote>
  <w:footnote w:id="29">
    <w:p w:rsidR="00970832" w:rsidRPr="008B5E82" w:rsidRDefault="00970832" w:rsidP="00F010B7">
      <w:pPr>
        <w:pStyle w:val="2---"/>
        <w:adjustRightInd w:val="0"/>
        <w:ind w:left="273" w:hangingChars="130" w:hanging="273"/>
      </w:pPr>
      <w:r w:rsidRPr="00F7536D">
        <w:rPr>
          <w:rStyle w:val="aff2"/>
          <w:sz w:val="21"/>
          <w:szCs w:val="21"/>
        </w:rPr>
        <w:footnoteRef/>
      </w:r>
      <w:r w:rsidRPr="008B5E82">
        <w:t xml:space="preserve"> </w:t>
      </w:r>
      <w:r>
        <w:rPr>
          <w:rFonts w:hint="eastAsia"/>
        </w:rPr>
        <w:tab/>
      </w:r>
      <w:r w:rsidRPr="008B5E82">
        <w:rPr>
          <w:rFonts w:hint="eastAsia"/>
        </w:rPr>
        <w:t>106</w:t>
      </w:r>
      <w:r w:rsidRPr="008B5E82">
        <w:rPr>
          <w:rFonts w:hint="eastAsia"/>
        </w:rPr>
        <w:t>內調</w:t>
      </w:r>
      <w:r w:rsidRPr="008B5E82">
        <w:rPr>
          <w:rFonts w:hint="eastAsia"/>
        </w:rPr>
        <w:t>0044</w:t>
      </w:r>
      <w:r w:rsidRPr="008B5E82">
        <w:rPr>
          <w:rFonts w:hint="eastAsia"/>
        </w:rPr>
        <w:t>，林雅鋒、尹祚芊</w:t>
      </w:r>
      <w:r w:rsidRPr="008B5E82">
        <w:rPr>
          <w:rFonts w:hint="eastAsia"/>
          <w:lang w:eastAsia="zh-HK"/>
        </w:rPr>
        <w:t>調查。</w:t>
      </w:r>
    </w:p>
  </w:footnote>
  <w:footnote w:id="30">
    <w:p w:rsidR="00970832" w:rsidRPr="008B5E82" w:rsidRDefault="00970832" w:rsidP="00F010B7">
      <w:pPr>
        <w:pStyle w:val="2---"/>
        <w:adjustRightInd w:val="0"/>
        <w:ind w:left="273" w:hangingChars="130" w:hanging="273"/>
        <w:rPr>
          <w:lang w:eastAsia="zh-HK"/>
        </w:rPr>
      </w:pPr>
      <w:r w:rsidRPr="00F7536D">
        <w:rPr>
          <w:rStyle w:val="aff2"/>
          <w:sz w:val="21"/>
          <w:szCs w:val="21"/>
        </w:rPr>
        <w:footnoteRef/>
      </w:r>
      <w:r w:rsidRPr="008B5E82">
        <w:t xml:space="preserve"> </w:t>
      </w:r>
      <w:r>
        <w:rPr>
          <w:rFonts w:hint="eastAsia"/>
        </w:rPr>
        <w:tab/>
      </w:r>
      <w:r w:rsidRPr="008B5E82">
        <w:rPr>
          <w:rFonts w:hint="eastAsia"/>
        </w:rPr>
        <w:t>106</w:t>
      </w:r>
      <w:r w:rsidRPr="008B5E82">
        <w:rPr>
          <w:rFonts w:hint="eastAsia"/>
        </w:rPr>
        <w:t>外調</w:t>
      </w:r>
      <w:r w:rsidRPr="008B5E82">
        <w:rPr>
          <w:rFonts w:hint="eastAsia"/>
        </w:rPr>
        <w:t>0005</w:t>
      </w:r>
      <w:r w:rsidRPr="008B5E82">
        <w:rPr>
          <w:rFonts w:hint="eastAsia"/>
        </w:rPr>
        <w:t>，陳小紅、劉德勳</w:t>
      </w:r>
      <w:r w:rsidRPr="008B5E82">
        <w:rPr>
          <w:rFonts w:hint="eastAsia"/>
          <w:lang w:eastAsia="zh-HK"/>
        </w:rPr>
        <w:t>調查。</w:t>
      </w:r>
    </w:p>
  </w:footnote>
  <w:footnote w:id="31">
    <w:p w:rsidR="00970832" w:rsidRPr="008B5E82" w:rsidRDefault="00970832" w:rsidP="00F010B7">
      <w:pPr>
        <w:pStyle w:val="2---"/>
        <w:adjustRightInd w:val="0"/>
        <w:ind w:left="273" w:hangingChars="130" w:hanging="273"/>
      </w:pPr>
      <w:r w:rsidRPr="00F7536D">
        <w:rPr>
          <w:rStyle w:val="aff2"/>
          <w:sz w:val="21"/>
          <w:szCs w:val="21"/>
        </w:rPr>
        <w:footnoteRef/>
      </w:r>
      <w:r w:rsidRPr="008B5E82">
        <w:t xml:space="preserve"> </w:t>
      </w:r>
      <w:r>
        <w:rPr>
          <w:rFonts w:hint="eastAsia"/>
        </w:rPr>
        <w:tab/>
      </w:r>
      <w:r w:rsidRPr="008B5E82">
        <w:rPr>
          <w:rFonts w:hint="eastAsia"/>
        </w:rPr>
        <w:t>106</w:t>
      </w:r>
      <w:r w:rsidRPr="008B5E82">
        <w:rPr>
          <w:rFonts w:hint="eastAsia"/>
        </w:rPr>
        <w:t>內調</w:t>
      </w:r>
      <w:r w:rsidRPr="008B5E82">
        <w:rPr>
          <w:rFonts w:hint="eastAsia"/>
        </w:rPr>
        <w:t>0076</w:t>
      </w:r>
      <w:r w:rsidRPr="008B5E82">
        <w:rPr>
          <w:rFonts w:hint="eastAsia"/>
        </w:rPr>
        <w:t>，王美玉、尹祚芊、仉桂美、蔡培村、劉德勳</w:t>
      </w:r>
      <w:r w:rsidRPr="008B5E82">
        <w:rPr>
          <w:rFonts w:hint="eastAsia"/>
          <w:lang w:eastAsia="zh-HK"/>
        </w:rPr>
        <w:t>調查。</w:t>
      </w:r>
    </w:p>
  </w:footnote>
  <w:footnote w:id="32">
    <w:p w:rsidR="00970832" w:rsidRPr="008B5E82" w:rsidRDefault="00970832" w:rsidP="00F010B7">
      <w:pPr>
        <w:pStyle w:val="2---"/>
        <w:adjustRightInd w:val="0"/>
        <w:ind w:left="273" w:hangingChars="130" w:hanging="273"/>
        <w:rPr>
          <w:lang w:eastAsia="zh-HK"/>
        </w:rPr>
      </w:pPr>
      <w:r w:rsidRPr="00F7536D">
        <w:rPr>
          <w:rStyle w:val="aff2"/>
          <w:sz w:val="21"/>
          <w:szCs w:val="21"/>
        </w:rPr>
        <w:footnoteRef/>
      </w:r>
      <w:r w:rsidRPr="008B5E82">
        <w:t xml:space="preserve"> </w:t>
      </w:r>
      <w:r>
        <w:rPr>
          <w:rFonts w:hint="eastAsia"/>
        </w:rPr>
        <w:tab/>
      </w:r>
      <w:r w:rsidRPr="008B5E82">
        <w:rPr>
          <w:rFonts w:hint="eastAsia"/>
        </w:rPr>
        <w:t>106</w:t>
      </w:r>
      <w:r w:rsidRPr="008B5E82">
        <w:rPr>
          <w:rFonts w:hint="eastAsia"/>
        </w:rPr>
        <w:t>內調</w:t>
      </w:r>
      <w:r w:rsidRPr="008B5E82">
        <w:rPr>
          <w:rFonts w:hint="eastAsia"/>
        </w:rPr>
        <w:t>0009</w:t>
      </w:r>
      <w:r w:rsidRPr="008B5E82">
        <w:rPr>
          <w:rFonts w:hint="eastAsia"/>
        </w:rPr>
        <w:t>，王美玉、尹祚芊</w:t>
      </w:r>
      <w:r w:rsidRPr="008B5E82">
        <w:rPr>
          <w:rFonts w:hint="eastAsia"/>
          <w:lang w:eastAsia="zh-HK"/>
        </w:rPr>
        <w:t>調查。</w:t>
      </w:r>
    </w:p>
  </w:footnote>
  <w:footnote w:id="33">
    <w:p w:rsidR="00970832" w:rsidRPr="008B5E82" w:rsidRDefault="00970832" w:rsidP="00F010B7">
      <w:pPr>
        <w:pStyle w:val="2---"/>
        <w:adjustRightInd w:val="0"/>
        <w:ind w:left="273" w:hangingChars="130" w:hanging="273"/>
      </w:pPr>
      <w:r w:rsidRPr="00F7536D">
        <w:rPr>
          <w:rStyle w:val="aff2"/>
          <w:sz w:val="21"/>
          <w:szCs w:val="21"/>
        </w:rPr>
        <w:footnoteRef/>
      </w:r>
      <w:r w:rsidRPr="008B5E82">
        <w:t xml:space="preserve"> </w:t>
      </w:r>
      <w:r>
        <w:rPr>
          <w:rFonts w:hint="eastAsia"/>
        </w:rPr>
        <w:tab/>
      </w:r>
      <w:r w:rsidRPr="008B5E82">
        <w:rPr>
          <w:rFonts w:hint="eastAsia"/>
        </w:rPr>
        <w:t>106</w:t>
      </w:r>
      <w:r w:rsidRPr="008B5E82">
        <w:rPr>
          <w:rFonts w:hint="eastAsia"/>
        </w:rPr>
        <w:t>國調</w:t>
      </w:r>
      <w:r w:rsidRPr="008B5E82">
        <w:rPr>
          <w:rFonts w:hint="eastAsia"/>
        </w:rPr>
        <w:t>0007</w:t>
      </w:r>
      <w:r w:rsidRPr="008B5E82">
        <w:rPr>
          <w:rFonts w:hint="eastAsia"/>
        </w:rPr>
        <w:t>，高鳳仙</w:t>
      </w:r>
      <w:r w:rsidRPr="008B5E82">
        <w:rPr>
          <w:rFonts w:hint="eastAsia"/>
          <w:lang w:eastAsia="zh-HK"/>
        </w:rPr>
        <w:t>調查。</w:t>
      </w:r>
    </w:p>
  </w:footnote>
  <w:footnote w:id="34">
    <w:p w:rsidR="00970832" w:rsidRPr="008B5E82" w:rsidRDefault="00970832" w:rsidP="00F010B7">
      <w:pPr>
        <w:pStyle w:val="2---"/>
        <w:adjustRightInd w:val="0"/>
        <w:ind w:left="273" w:hangingChars="130" w:hanging="273"/>
        <w:rPr>
          <w:rFonts w:asciiTheme="majorEastAsia" w:eastAsiaTheme="majorEastAsia" w:hAnsiTheme="majorEastAsia"/>
        </w:rPr>
      </w:pPr>
      <w:r w:rsidRPr="00F7536D">
        <w:rPr>
          <w:rStyle w:val="aff2"/>
          <w:sz w:val="21"/>
          <w:szCs w:val="21"/>
        </w:rPr>
        <w:footnoteRef/>
      </w:r>
      <w:r w:rsidRPr="00C26D06">
        <w:rPr>
          <w:rStyle w:val="aff2"/>
          <w:rFonts w:hint="eastAsia"/>
        </w:rPr>
        <w:t xml:space="preserve"> </w:t>
      </w:r>
      <w:r>
        <w:rPr>
          <w:rFonts w:hint="eastAsia"/>
        </w:rPr>
        <w:tab/>
      </w:r>
      <w:r w:rsidRPr="00C26D06">
        <w:rPr>
          <w:rFonts w:hint="eastAsia"/>
        </w:rPr>
        <w:t>106</w:t>
      </w:r>
      <w:r w:rsidRPr="00C26D06">
        <w:rPr>
          <w:rFonts w:hint="eastAsia"/>
        </w:rPr>
        <w:t>國調</w:t>
      </w:r>
      <w:r w:rsidRPr="008B5E82">
        <w:rPr>
          <w:rFonts w:hint="eastAsia"/>
        </w:rPr>
        <w:t>0011</w:t>
      </w:r>
      <w:r w:rsidRPr="00C26D06">
        <w:rPr>
          <w:rFonts w:hint="eastAsia"/>
        </w:rPr>
        <w:t>，高鳳仙、楊美鈴調查。</w:t>
      </w:r>
    </w:p>
  </w:footnote>
  <w:footnote w:id="35">
    <w:p w:rsidR="00970832" w:rsidRPr="008B5E82" w:rsidRDefault="00970832" w:rsidP="00F010B7">
      <w:pPr>
        <w:pStyle w:val="2---"/>
        <w:adjustRightInd w:val="0"/>
        <w:ind w:left="273" w:hangingChars="130" w:hanging="273"/>
      </w:pPr>
      <w:r w:rsidRPr="00F7536D">
        <w:rPr>
          <w:rStyle w:val="aff2"/>
          <w:sz w:val="21"/>
          <w:szCs w:val="21"/>
        </w:rPr>
        <w:footnoteRef/>
      </w:r>
      <w:r w:rsidRPr="008B5E82">
        <w:t xml:space="preserve"> </w:t>
      </w:r>
      <w:r>
        <w:rPr>
          <w:rFonts w:hint="eastAsia"/>
        </w:rPr>
        <w:tab/>
      </w:r>
      <w:r w:rsidRPr="008B5E82">
        <w:rPr>
          <w:rFonts w:hint="eastAsia"/>
        </w:rPr>
        <w:t>106</w:t>
      </w:r>
      <w:r w:rsidRPr="008B5E82">
        <w:rPr>
          <w:rFonts w:hint="eastAsia"/>
        </w:rPr>
        <w:t>教調</w:t>
      </w:r>
      <w:r w:rsidRPr="008B5E82">
        <w:rPr>
          <w:rFonts w:hint="eastAsia"/>
        </w:rPr>
        <w:t>0030</w:t>
      </w:r>
      <w:r w:rsidRPr="008B5E82">
        <w:rPr>
          <w:rFonts w:hint="eastAsia"/>
        </w:rPr>
        <w:t>，高鳳仙</w:t>
      </w:r>
      <w:r w:rsidRPr="008B5E82">
        <w:rPr>
          <w:rFonts w:hint="eastAsia"/>
          <w:lang w:eastAsia="zh-HK"/>
        </w:rPr>
        <w:t>調查。</w:t>
      </w:r>
    </w:p>
  </w:footnote>
  <w:footnote w:id="36">
    <w:p w:rsidR="00970832" w:rsidRPr="008B5E82" w:rsidRDefault="00970832" w:rsidP="00F010B7">
      <w:pPr>
        <w:pStyle w:val="2---"/>
        <w:adjustRightInd w:val="0"/>
        <w:ind w:left="273" w:hangingChars="130" w:hanging="273"/>
      </w:pPr>
      <w:r w:rsidRPr="00F7536D">
        <w:rPr>
          <w:rStyle w:val="aff2"/>
          <w:sz w:val="21"/>
          <w:szCs w:val="21"/>
        </w:rPr>
        <w:footnoteRef/>
      </w:r>
      <w:r w:rsidRPr="008B5E82">
        <w:t xml:space="preserve"> </w:t>
      </w:r>
      <w:r>
        <w:rPr>
          <w:rFonts w:hint="eastAsia"/>
        </w:rPr>
        <w:tab/>
      </w:r>
      <w:r w:rsidRPr="008B5E82">
        <w:rPr>
          <w:rFonts w:hint="eastAsia"/>
        </w:rPr>
        <w:t>106</w:t>
      </w:r>
      <w:r w:rsidRPr="008B5E82">
        <w:rPr>
          <w:rFonts w:hint="eastAsia"/>
        </w:rPr>
        <w:t>教調</w:t>
      </w:r>
      <w:r w:rsidRPr="008B5E82">
        <w:rPr>
          <w:rFonts w:hint="eastAsia"/>
        </w:rPr>
        <w:t>0041</w:t>
      </w:r>
      <w:r w:rsidRPr="008B5E82">
        <w:rPr>
          <w:rFonts w:hint="eastAsia"/>
        </w:rPr>
        <w:t>，高鳳仙</w:t>
      </w:r>
      <w:r w:rsidRPr="008B5E82">
        <w:rPr>
          <w:rFonts w:hint="eastAsia"/>
          <w:lang w:eastAsia="zh-HK"/>
        </w:rPr>
        <w:t>調查。</w:t>
      </w:r>
    </w:p>
  </w:footnote>
  <w:footnote w:id="37">
    <w:p w:rsidR="00970832" w:rsidRPr="008B5E82" w:rsidRDefault="00970832" w:rsidP="00F010B7">
      <w:pPr>
        <w:pStyle w:val="2---"/>
        <w:adjustRightInd w:val="0"/>
        <w:ind w:left="273" w:hangingChars="130" w:hanging="273"/>
      </w:pPr>
      <w:r w:rsidRPr="00F7536D">
        <w:rPr>
          <w:rStyle w:val="aff2"/>
          <w:sz w:val="21"/>
          <w:szCs w:val="21"/>
        </w:rPr>
        <w:footnoteRef/>
      </w:r>
      <w:r w:rsidRPr="008B5E82">
        <w:t xml:space="preserve"> </w:t>
      </w:r>
      <w:r>
        <w:rPr>
          <w:rFonts w:hint="eastAsia"/>
        </w:rPr>
        <w:tab/>
      </w:r>
      <w:r w:rsidRPr="008B5E82">
        <w:rPr>
          <w:rFonts w:hint="eastAsia"/>
        </w:rPr>
        <w:t>106</w:t>
      </w:r>
      <w:r w:rsidRPr="008B5E82">
        <w:rPr>
          <w:rFonts w:hint="eastAsia"/>
        </w:rPr>
        <w:t>國調</w:t>
      </w:r>
      <w:r w:rsidRPr="008B5E82">
        <w:rPr>
          <w:rFonts w:hint="eastAsia"/>
        </w:rPr>
        <w:t>0023</w:t>
      </w:r>
      <w:r w:rsidRPr="008B5E82">
        <w:rPr>
          <w:rFonts w:hint="eastAsia"/>
        </w:rPr>
        <w:t>，陳小紅</w:t>
      </w:r>
      <w:r w:rsidRPr="008B5E82">
        <w:rPr>
          <w:rFonts w:hint="eastAsia"/>
          <w:lang w:eastAsia="zh-HK"/>
        </w:rPr>
        <w:t>調查。</w:t>
      </w:r>
    </w:p>
  </w:footnote>
  <w:footnote w:id="38">
    <w:p w:rsidR="00970832" w:rsidRPr="008B5E82" w:rsidRDefault="00970832" w:rsidP="00F010B7">
      <w:pPr>
        <w:pStyle w:val="2---"/>
        <w:adjustRightInd w:val="0"/>
        <w:ind w:left="273" w:hangingChars="130" w:hanging="273"/>
      </w:pPr>
      <w:r w:rsidRPr="00F7536D">
        <w:rPr>
          <w:rStyle w:val="aff2"/>
          <w:sz w:val="21"/>
          <w:szCs w:val="21"/>
        </w:rPr>
        <w:footnoteRef/>
      </w:r>
      <w:r w:rsidRPr="008B5E82">
        <w:rPr>
          <w:rFonts w:hint="eastAsia"/>
        </w:rPr>
        <w:t xml:space="preserve"> </w:t>
      </w:r>
      <w:r>
        <w:rPr>
          <w:rFonts w:hint="eastAsia"/>
        </w:rPr>
        <w:tab/>
      </w:r>
      <w:r w:rsidRPr="008B5E82">
        <w:rPr>
          <w:rFonts w:hint="eastAsia"/>
        </w:rPr>
        <w:t>美國國務院民主、人權暨勞工事務局</w:t>
      </w:r>
      <w:r w:rsidRPr="000D4120">
        <w:rPr>
          <w:rFonts w:hint="eastAsia"/>
          <w:spacing w:val="-26"/>
        </w:rPr>
        <w:t>，</w:t>
      </w:r>
      <w:r w:rsidRPr="008B5E82">
        <w:rPr>
          <w:rFonts w:hint="eastAsia"/>
        </w:rPr>
        <w:t>《</w:t>
      </w:r>
      <w:r w:rsidRPr="008B5E82">
        <w:rPr>
          <w:rFonts w:hint="eastAsia"/>
        </w:rPr>
        <w:t>2017</w:t>
      </w:r>
      <w:r w:rsidRPr="008B5E82">
        <w:rPr>
          <w:rFonts w:hint="eastAsia"/>
        </w:rPr>
        <w:t>年度各國人權報告</w:t>
      </w:r>
      <w:r>
        <w:rPr>
          <w:rFonts w:hint="eastAsia"/>
        </w:rPr>
        <w:t>－</w:t>
      </w:r>
      <w:r w:rsidRPr="008B5E82">
        <w:rPr>
          <w:rFonts w:hint="eastAsia"/>
        </w:rPr>
        <w:t>臺灣部分</w:t>
      </w:r>
      <w:r w:rsidRPr="000D4120">
        <w:rPr>
          <w:rFonts w:hint="eastAsia"/>
          <w:spacing w:val="-26"/>
        </w:rPr>
        <w:t>》</w:t>
      </w:r>
      <w:r w:rsidRPr="008B5E82">
        <w:rPr>
          <w:rFonts w:hint="eastAsia"/>
        </w:rPr>
        <w:t>，</w:t>
      </w:r>
      <w:r w:rsidRPr="008B5E82">
        <w:rPr>
          <w:rFonts w:hint="eastAsia"/>
        </w:rPr>
        <w:t>2018</w:t>
      </w:r>
      <w:r w:rsidRPr="008B5E82">
        <w:rPr>
          <w:rFonts w:hint="eastAsia"/>
        </w:rPr>
        <w:t>年</w:t>
      </w:r>
      <w:r w:rsidRPr="008B5E82">
        <w:rPr>
          <w:rFonts w:hint="eastAsia"/>
        </w:rPr>
        <w:t>4</w:t>
      </w:r>
      <w:r w:rsidRPr="008B5E82">
        <w:rPr>
          <w:rFonts w:hint="eastAsia"/>
        </w:rPr>
        <w:t>月</w:t>
      </w:r>
      <w:r w:rsidRPr="008B5E82">
        <w:rPr>
          <w:rFonts w:hint="eastAsia"/>
        </w:rPr>
        <w:t>20</w:t>
      </w:r>
      <w:r w:rsidRPr="008B5E82">
        <w:rPr>
          <w:rFonts w:hint="eastAsia"/>
        </w:rPr>
        <w:t>日發表：美國在臺協會網站</w:t>
      </w:r>
      <w:r w:rsidRPr="00CD4B54">
        <w:rPr>
          <w:rFonts w:hint="eastAsia"/>
        </w:rPr>
        <w:t>https://www.ait.org.tw/zhtw/</w:t>
      </w:r>
      <w:r>
        <w:rPr>
          <w:rFonts w:hint="eastAsia"/>
        </w:rPr>
        <w:t xml:space="preserve"> </w:t>
      </w:r>
      <w:r w:rsidRPr="008B5E82">
        <w:rPr>
          <w:rFonts w:hint="eastAsia"/>
        </w:rPr>
        <w:t>2017-human-rights-report-taiwan-part-zh/</w:t>
      </w:r>
      <w:r w:rsidRPr="008B5E82">
        <w:rPr>
          <w:rFonts w:hint="eastAsia"/>
        </w:rPr>
        <w:t>，最後查詢日期：</w:t>
      </w:r>
      <w:r w:rsidRPr="008B5E82">
        <w:rPr>
          <w:rFonts w:hint="eastAsia"/>
        </w:rPr>
        <w:t>107</w:t>
      </w:r>
      <w:r w:rsidRPr="008B5E82">
        <w:rPr>
          <w:rFonts w:hint="eastAsia"/>
        </w:rPr>
        <w:t>年</w:t>
      </w:r>
      <w:r w:rsidRPr="008B5E82">
        <w:rPr>
          <w:rFonts w:hint="eastAsia"/>
        </w:rPr>
        <w:t>9</w:t>
      </w:r>
      <w:r w:rsidRPr="008B5E82">
        <w:rPr>
          <w:rFonts w:hint="eastAsia"/>
        </w:rPr>
        <w:t>月</w:t>
      </w:r>
      <w:r w:rsidRPr="008B5E82">
        <w:rPr>
          <w:rFonts w:hint="eastAsia"/>
        </w:rPr>
        <w:t>27</w:t>
      </w:r>
      <w:r w:rsidRPr="008B5E82">
        <w:rPr>
          <w:rFonts w:hint="eastAsia"/>
        </w:rPr>
        <w:t>日。</w:t>
      </w:r>
    </w:p>
  </w:footnote>
  <w:footnote w:id="39">
    <w:p w:rsidR="00970832" w:rsidRDefault="00970832" w:rsidP="00F010B7">
      <w:pPr>
        <w:pStyle w:val="2---"/>
        <w:adjustRightInd w:val="0"/>
        <w:ind w:left="273" w:hangingChars="130" w:hanging="273"/>
      </w:pPr>
      <w:r w:rsidRPr="00F7536D">
        <w:rPr>
          <w:rStyle w:val="aff2"/>
          <w:sz w:val="21"/>
          <w:szCs w:val="21"/>
        </w:rPr>
        <w:footnoteRef/>
      </w:r>
      <w:r>
        <w:t xml:space="preserve"> </w:t>
      </w:r>
      <w:r>
        <w:rPr>
          <w:rFonts w:hint="eastAsia"/>
        </w:rPr>
        <w:tab/>
      </w:r>
      <w:r>
        <w:rPr>
          <w:rFonts w:hint="eastAsia"/>
        </w:rPr>
        <w:t>蔡百銓</w:t>
      </w:r>
      <w:r w:rsidRPr="00CD4B54">
        <w:rPr>
          <w:rFonts w:hint="eastAsia"/>
          <w:spacing w:val="-30"/>
          <w:lang w:eastAsia="zh-HK"/>
        </w:rPr>
        <w:t>，</w:t>
      </w:r>
      <w:r w:rsidRPr="008B5E82">
        <w:rPr>
          <w:rFonts w:hint="eastAsia"/>
        </w:rPr>
        <w:t>《</w:t>
      </w:r>
      <w:r>
        <w:rPr>
          <w:rFonts w:hint="eastAsia"/>
          <w:lang w:eastAsia="zh-HK"/>
        </w:rPr>
        <w:t>邁向人權國家</w:t>
      </w:r>
      <w:r>
        <w:rPr>
          <w:rFonts w:hint="eastAsia"/>
        </w:rPr>
        <w:t xml:space="preserve"> </w:t>
      </w:r>
      <w:r>
        <w:rPr>
          <w:rFonts w:hint="eastAsia"/>
          <w:lang w:eastAsia="zh-HK"/>
        </w:rPr>
        <w:t>人權</w:t>
      </w:r>
      <w:r w:rsidRPr="007C385B">
        <w:rPr>
          <w:rFonts w:hint="eastAsia"/>
          <w:spacing w:val="-12"/>
          <w:lang w:eastAsia="zh-HK"/>
        </w:rPr>
        <w:t>學</w:t>
      </w:r>
      <w:r>
        <w:rPr>
          <w:rFonts w:hint="eastAsia"/>
          <w:lang w:eastAsia="zh-HK"/>
        </w:rPr>
        <w:t>1</w:t>
      </w:r>
      <w:r w:rsidRPr="007C385B">
        <w:rPr>
          <w:rFonts w:hint="eastAsia"/>
          <w:spacing w:val="-12"/>
          <w:lang w:eastAsia="zh-HK"/>
        </w:rPr>
        <w:t>8</w:t>
      </w:r>
      <w:r>
        <w:rPr>
          <w:rFonts w:hint="eastAsia"/>
          <w:lang w:eastAsia="zh-HK"/>
        </w:rPr>
        <w:t>講</w:t>
      </w:r>
      <w:r w:rsidRPr="00CD4B54">
        <w:rPr>
          <w:rFonts w:hint="eastAsia"/>
          <w:spacing w:val="-30"/>
        </w:rPr>
        <w:t>》</w:t>
      </w:r>
      <w:r w:rsidRPr="008B5E82">
        <w:rPr>
          <w:rFonts w:hint="eastAsia"/>
        </w:rPr>
        <w:t>，</w:t>
      </w:r>
      <w:r>
        <w:rPr>
          <w:rFonts w:hint="eastAsia"/>
          <w:lang w:eastAsia="zh-HK"/>
        </w:rPr>
        <w:t>臺北：前衛出版社，</w:t>
      </w:r>
      <w:r w:rsidRPr="008B5E82">
        <w:rPr>
          <w:rFonts w:hint="eastAsia"/>
        </w:rPr>
        <w:t>2</w:t>
      </w:r>
      <w:r>
        <w:rPr>
          <w:rFonts w:hint="eastAsia"/>
        </w:rPr>
        <w:t>007</w:t>
      </w:r>
      <w:r w:rsidRPr="008B5E82">
        <w:rPr>
          <w:rFonts w:hint="eastAsia"/>
        </w:rPr>
        <w:t>年</w:t>
      </w:r>
      <w:r>
        <w:rPr>
          <w:rFonts w:hint="eastAsia"/>
        </w:rPr>
        <w:t>，</w:t>
      </w:r>
      <w:r w:rsidRPr="00F7126B">
        <w:rPr>
          <w:rFonts w:hint="eastAsia"/>
        </w:rPr>
        <w:t>頁</w:t>
      </w:r>
      <w:r>
        <w:rPr>
          <w:rFonts w:hint="eastAsia"/>
        </w:rPr>
        <w:t>188</w:t>
      </w:r>
      <w:r w:rsidRPr="00F7126B">
        <w:rPr>
          <w:rFonts w:hint="eastAsia"/>
        </w:rPr>
        <w:t>-</w:t>
      </w:r>
      <w:r>
        <w:rPr>
          <w:rFonts w:hint="eastAsia"/>
        </w:rPr>
        <w:t>193</w:t>
      </w:r>
      <w:r w:rsidRPr="00F7126B">
        <w:rPr>
          <w:rFonts w:hint="eastAsia"/>
        </w:rPr>
        <w:t>。</w:t>
      </w:r>
    </w:p>
  </w:footnote>
  <w:footnote w:id="40">
    <w:p w:rsidR="00970832" w:rsidRPr="008B5E82" w:rsidRDefault="00970832" w:rsidP="00F010B7">
      <w:pPr>
        <w:pStyle w:val="2---"/>
        <w:adjustRightInd w:val="0"/>
        <w:ind w:left="273" w:hangingChars="130" w:hanging="273"/>
      </w:pPr>
      <w:r w:rsidRPr="00F7536D">
        <w:rPr>
          <w:rStyle w:val="aff2"/>
          <w:sz w:val="21"/>
          <w:szCs w:val="21"/>
        </w:rPr>
        <w:footnoteRef/>
      </w:r>
      <w:r w:rsidRPr="008B5E82">
        <w:tab/>
      </w:r>
      <w:r w:rsidRPr="008B5E82">
        <w:t>羅志淵主編，雲五社會科學大辭典，第三冊（臺北：臺灣商務印書館，</w:t>
      </w:r>
      <w:r w:rsidRPr="008B5E82">
        <w:t>1976</w:t>
      </w:r>
      <w:r w:rsidRPr="008B5E82">
        <w:t>年</w:t>
      </w:r>
      <w:r w:rsidRPr="000D4120">
        <w:rPr>
          <w:spacing w:val="-26"/>
        </w:rPr>
        <w:t>）</w:t>
      </w:r>
      <w:r w:rsidRPr="008B5E82">
        <w:t>，頁</w:t>
      </w:r>
      <w:r w:rsidRPr="008B5E82">
        <w:t>93</w:t>
      </w:r>
      <w:r w:rsidRPr="008B5E82">
        <w:t>。</w:t>
      </w:r>
    </w:p>
  </w:footnote>
  <w:footnote w:id="41">
    <w:p w:rsidR="00970832" w:rsidRPr="008B5E82" w:rsidRDefault="00970832" w:rsidP="00F010B7">
      <w:pPr>
        <w:pStyle w:val="2---"/>
        <w:adjustRightInd w:val="0"/>
        <w:ind w:left="273" w:hangingChars="130" w:hanging="273"/>
      </w:pPr>
      <w:r w:rsidRPr="00F7536D">
        <w:rPr>
          <w:rStyle w:val="aff2"/>
          <w:sz w:val="21"/>
          <w:szCs w:val="21"/>
        </w:rPr>
        <w:footnoteRef/>
      </w:r>
      <w:r w:rsidRPr="008B5E82">
        <w:tab/>
      </w:r>
      <w:r w:rsidRPr="008B5E82">
        <w:t>陳新民，憲法導論（臺北：新學林出版公司，</w:t>
      </w:r>
      <w:r w:rsidRPr="008B5E82">
        <w:t>2008</w:t>
      </w:r>
      <w:r w:rsidRPr="008B5E82">
        <w:t>年</w:t>
      </w:r>
      <w:r w:rsidRPr="000D4120">
        <w:rPr>
          <w:spacing w:val="-26"/>
        </w:rPr>
        <w:t>）</w:t>
      </w:r>
      <w:r w:rsidRPr="008B5E82">
        <w:t>，頁</w:t>
      </w:r>
      <w:r w:rsidRPr="008B5E82">
        <w:t>130</w:t>
      </w:r>
      <w:r w:rsidRPr="008B5E82">
        <w:t>。</w:t>
      </w:r>
    </w:p>
  </w:footnote>
  <w:footnote w:id="42">
    <w:p w:rsidR="00970832" w:rsidRPr="008B5E82" w:rsidRDefault="00970832" w:rsidP="00F010B7">
      <w:pPr>
        <w:pStyle w:val="2---"/>
        <w:adjustRightInd w:val="0"/>
        <w:ind w:left="273" w:hangingChars="130" w:hanging="273"/>
      </w:pPr>
      <w:r w:rsidRPr="00F7536D">
        <w:rPr>
          <w:rStyle w:val="aff2"/>
          <w:spacing w:val="-2"/>
          <w:sz w:val="21"/>
          <w:szCs w:val="21"/>
        </w:rPr>
        <w:footnoteRef/>
      </w:r>
      <w:r w:rsidRPr="008B5E82">
        <w:rPr>
          <w:spacing w:val="-2"/>
        </w:rPr>
        <w:tab/>
      </w:r>
      <w:r w:rsidRPr="008B5E82">
        <w:rPr>
          <w:spacing w:val="-2"/>
        </w:rPr>
        <w:t>涂懷瑩，中華民國憲法與人權保障（臺北：作者自行出版，</w:t>
      </w:r>
      <w:r w:rsidRPr="008B5E82">
        <w:rPr>
          <w:spacing w:val="-2"/>
        </w:rPr>
        <w:t>1987</w:t>
      </w:r>
      <w:r w:rsidRPr="008B5E82">
        <w:rPr>
          <w:spacing w:val="-2"/>
        </w:rPr>
        <w:t>年</w:t>
      </w:r>
      <w:r w:rsidRPr="000D4120">
        <w:rPr>
          <w:spacing w:val="-26"/>
        </w:rPr>
        <w:t>）</w:t>
      </w:r>
      <w:r w:rsidRPr="008B5E82">
        <w:rPr>
          <w:spacing w:val="-2"/>
        </w:rPr>
        <w:t>，頁</w:t>
      </w:r>
      <w:r w:rsidRPr="008B5E82">
        <w:rPr>
          <w:spacing w:val="-2"/>
        </w:rPr>
        <w:t>217</w:t>
      </w:r>
      <w:r w:rsidRPr="008B5E82">
        <w:t>。</w:t>
      </w:r>
    </w:p>
  </w:footnote>
  <w:footnote w:id="43">
    <w:p w:rsidR="00970832" w:rsidRPr="008B5E82" w:rsidRDefault="00970832" w:rsidP="00F010B7">
      <w:pPr>
        <w:pStyle w:val="2---"/>
        <w:adjustRightInd w:val="0"/>
        <w:ind w:left="273" w:hangingChars="130" w:hanging="273"/>
        <w:rPr>
          <w:lang w:eastAsia="zh-HK"/>
        </w:rPr>
      </w:pPr>
      <w:r w:rsidRPr="00F7536D">
        <w:rPr>
          <w:rStyle w:val="aff2"/>
          <w:sz w:val="21"/>
          <w:szCs w:val="21"/>
        </w:rPr>
        <w:footnoteRef/>
      </w:r>
      <w:r w:rsidRPr="008B5E82">
        <w:t xml:space="preserve"> </w:t>
      </w:r>
      <w:r>
        <w:rPr>
          <w:rFonts w:hint="eastAsia"/>
        </w:rPr>
        <w:tab/>
      </w:r>
      <w:r w:rsidRPr="008B5E82">
        <w:rPr>
          <w:rFonts w:hint="eastAsia"/>
        </w:rPr>
        <w:t>106</w:t>
      </w:r>
      <w:r w:rsidRPr="008B5E82">
        <w:rPr>
          <w:rFonts w:hint="eastAsia"/>
        </w:rPr>
        <w:t>國調</w:t>
      </w:r>
      <w:r w:rsidRPr="008B5E82">
        <w:rPr>
          <w:rFonts w:hint="eastAsia"/>
        </w:rPr>
        <w:t>0009</w:t>
      </w:r>
      <w:r w:rsidRPr="008B5E82">
        <w:rPr>
          <w:rFonts w:hint="eastAsia"/>
        </w:rPr>
        <w:t>，高鳳仙、尹祚芊</w:t>
      </w:r>
      <w:r w:rsidRPr="008B5E82">
        <w:rPr>
          <w:rFonts w:hint="eastAsia"/>
          <w:lang w:eastAsia="zh-HK"/>
        </w:rPr>
        <w:t>調查。</w:t>
      </w:r>
    </w:p>
  </w:footnote>
  <w:footnote w:id="44">
    <w:p w:rsidR="00970832" w:rsidRPr="008B5E82" w:rsidRDefault="00970832" w:rsidP="00F010B7">
      <w:pPr>
        <w:pStyle w:val="2---"/>
        <w:adjustRightInd w:val="0"/>
        <w:ind w:left="273" w:hangingChars="130" w:hanging="273"/>
      </w:pPr>
      <w:r w:rsidRPr="00F7536D">
        <w:rPr>
          <w:rStyle w:val="aff2"/>
          <w:sz w:val="21"/>
          <w:szCs w:val="21"/>
        </w:rPr>
        <w:footnoteRef/>
      </w:r>
      <w:r w:rsidRPr="008B5E82">
        <w:t xml:space="preserve"> </w:t>
      </w:r>
      <w:r>
        <w:rPr>
          <w:rFonts w:hint="eastAsia"/>
        </w:rPr>
        <w:tab/>
      </w:r>
      <w:r w:rsidRPr="008B5E82">
        <w:rPr>
          <w:rFonts w:hint="eastAsia"/>
        </w:rPr>
        <w:t>106</w:t>
      </w:r>
      <w:r w:rsidRPr="008B5E82">
        <w:rPr>
          <w:rFonts w:hint="eastAsia"/>
        </w:rPr>
        <w:t>國調</w:t>
      </w:r>
      <w:r w:rsidRPr="008B5E82">
        <w:rPr>
          <w:rFonts w:hint="eastAsia"/>
        </w:rPr>
        <w:t>0006</w:t>
      </w:r>
      <w:r w:rsidRPr="008B5E82">
        <w:rPr>
          <w:rFonts w:hint="eastAsia"/>
        </w:rPr>
        <w:t>，尹祚芊、章仁香</w:t>
      </w:r>
      <w:r w:rsidRPr="008B5E82">
        <w:rPr>
          <w:rFonts w:hint="eastAsia"/>
          <w:lang w:eastAsia="zh-HK"/>
        </w:rPr>
        <w:t>調查。</w:t>
      </w:r>
    </w:p>
  </w:footnote>
  <w:footnote w:id="45">
    <w:p w:rsidR="00970832" w:rsidRPr="008B5E82" w:rsidRDefault="00970832" w:rsidP="00F010B7">
      <w:pPr>
        <w:pStyle w:val="2---"/>
        <w:adjustRightInd w:val="0"/>
        <w:ind w:left="273" w:hangingChars="130" w:hanging="273"/>
        <w:rPr>
          <w:lang w:eastAsia="zh-HK"/>
        </w:rPr>
      </w:pPr>
      <w:r w:rsidRPr="00F7536D">
        <w:rPr>
          <w:rStyle w:val="aff2"/>
          <w:sz w:val="21"/>
          <w:szCs w:val="21"/>
        </w:rPr>
        <w:footnoteRef/>
      </w:r>
      <w:r w:rsidRPr="008B5E82">
        <w:t xml:space="preserve"> </w:t>
      </w:r>
      <w:r>
        <w:rPr>
          <w:rFonts w:hint="eastAsia"/>
        </w:rPr>
        <w:tab/>
      </w:r>
      <w:r w:rsidRPr="008B5E82">
        <w:rPr>
          <w:rFonts w:hint="eastAsia"/>
        </w:rPr>
        <w:t>106</w:t>
      </w:r>
      <w:r w:rsidRPr="008B5E82">
        <w:rPr>
          <w:rFonts w:hint="eastAsia"/>
        </w:rPr>
        <w:t>內調</w:t>
      </w:r>
      <w:r w:rsidRPr="008B5E82">
        <w:rPr>
          <w:rFonts w:hint="eastAsia"/>
        </w:rPr>
        <w:t>0056</w:t>
      </w:r>
      <w:r w:rsidRPr="008B5E82">
        <w:rPr>
          <w:rFonts w:hint="eastAsia"/>
        </w:rPr>
        <w:t>，仉桂美、江綺雯</w:t>
      </w:r>
      <w:r w:rsidRPr="008B5E82">
        <w:rPr>
          <w:rFonts w:hint="eastAsia"/>
          <w:lang w:eastAsia="zh-HK"/>
        </w:rPr>
        <w:t>調查。</w:t>
      </w:r>
    </w:p>
  </w:footnote>
  <w:footnote w:id="46">
    <w:p w:rsidR="00970832" w:rsidRPr="008B5E82" w:rsidRDefault="00970832" w:rsidP="00F010B7">
      <w:pPr>
        <w:pStyle w:val="2---"/>
        <w:adjustRightInd w:val="0"/>
        <w:ind w:left="273" w:hangingChars="130" w:hanging="273"/>
        <w:rPr>
          <w:lang w:eastAsia="zh-HK"/>
        </w:rPr>
      </w:pPr>
      <w:r w:rsidRPr="00F7536D">
        <w:rPr>
          <w:rStyle w:val="aff2"/>
          <w:sz w:val="21"/>
          <w:szCs w:val="21"/>
        </w:rPr>
        <w:footnoteRef/>
      </w:r>
      <w:r w:rsidRPr="008B5E82">
        <w:t xml:space="preserve"> </w:t>
      </w:r>
      <w:r>
        <w:rPr>
          <w:rFonts w:hint="eastAsia"/>
        </w:rPr>
        <w:tab/>
      </w:r>
      <w:r w:rsidRPr="008B5E82">
        <w:rPr>
          <w:rFonts w:hint="eastAsia"/>
        </w:rPr>
        <w:t>106</w:t>
      </w:r>
      <w:r w:rsidRPr="008B5E82">
        <w:rPr>
          <w:rFonts w:hint="eastAsia"/>
        </w:rPr>
        <w:t>內調</w:t>
      </w:r>
      <w:r w:rsidRPr="008B5E82">
        <w:rPr>
          <w:rFonts w:hint="eastAsia"/>
        </w:rPr>
        <w:t>0032</w:t>
      </w:r>
      <w:r w:rsidRPr="008B5E82">
        <w:rPr>
          <w:rFonts w:hint="eastAsia"/>
        </w:rPr>
        <w:t>，高鳳仙、蔡培村</w:t>
      </w:r>
      <w:r w:rsidRPr="008B5E82">
        <w:rPr>
          <w:rFonts w:hint="eastAsia"/>
          <w:lang w:eastAsia="zh-HK"/>
        </w:rPr>
        <w:t>調查。</w:t>
      </w:r>
    </w:p>
  </w:footnote>
  <w:footnote w:id="47">
    <w:p w:rsidR="00970832" w:rsidRPr="008B5E82" w:rsidRDefault="00970832" w:rsidP="00F010B7">
      <w:pPr>
        <w:pStyle w:val="2---"/>
        <w:adjustRightInd w:val="0"/>
        <w:ind w:left="273" w:hangingChars="130" w:hanging="273"/>
        <w:rPr>
          <w:lang w:eastAsia="zh-HK"/>
        </w:rPr>
      </w:pPr>
      <w:r w:rsidRPr="00F7536D">
        <w:rPr>
          <w:rStyle w:val="aff2"/>
          <w:sz w:val="21"/>
          <w:szCs w:val="21"/>
        </w:rPr>
        <w:footnoteRef/>
      </w:r>
      <w:r w:rsidRPr="008B5E82">
        <w:t xml:space="preserve"> </w:t>
      </w:r>
      <w:r>
        <w:rPr>
          <w:rFonts w:hint="eastAsia"/>
        </w:rPr>
        <w:tab/>
      </w:r>
      <w:r w:rsidRPr="008B5E82">
        <w:rPr>
          <w:rFonts w:hint="eastAsia"/>
        </w:rPr>
        <w:t>106</w:t>
      </w:r>
      <w:r w:rsidRPr="008B5E82">
        <w:rPr>
          <w:rFonts w:hint="eastAsia"/>
        </w:rPr>
        <w:t>內調</w:t>
      </w:r>
      <w:r w:rsidRPr="008B5E82">
        <w:rPr>
          <w:rFonts w:hint="eastAsia"/>
        </w:rPr>
        <w:t>0065</w:t>
      </w:r>
      <w:r w:rsidRPr="008B5E82">
        <w:rPr>
          <w:rFonts w:hint="eastAsia"/>
        </w:rPr>
        <w:t>，高鳳仙、章仁香、江綺雯</w:t>
      </w:r>
      <w:r w:rsidRPr="008B5E82">
        <w:rPr>
          <w:rFonts w:hint="eastAsia"/>
          <w:lang w:eastAsia="zh-HK"/>
        </w:rPr>
        <w:t>調查。</w:t>
      </w:r>
    </w:p>
  </w:footnote>
  <w:footnote w:id="48">
    <w:p w:rsidR="00970832" w:rsidRPr="008B5E82" w:rsidRDefault="00970832" w:rsidP="00F010B7">
      <w:pPr>
        <w:pStyle w:val="2---"/>
        <w:adjustRightInd w:val="0"/>
        <w:ind w:left="273" w:hangingChars="130" w:hanging="273"/>
      </w:pPr>
      <w:r w:rsidRPr="00F7536D">
        <w:rPr>
          <w:rStyle w:val="aff2"/>
          <w:sz w:val="21"/>
          <w:szCs w:val="21"/>
        </w:rPr>
        <w:footnoteRef/>
      </w:r>
      <w:r w:rsidRPr="008B5E82">
        <w:t xml:space="preserve"> </w:t>
      </w:r>
      <w:r>
        <w:rPr>
          <w:rFonts w:hint="eastAsia"/>
        </w:rPr>
        <w:tab/>
      </w:r>
      <w:r w:rsidRPr="008B5E82">
        <w:rPr>
          <w:rFonts w:hint="eastAsia"/>
        </w:rPr>
        <w:t>106</w:t>
      </w:r>
      <w:r w:rsidRPr="008B5E82">
        <w:rPr>
          <w:rFonts w:hint="eastAsia"/>
        </w:rPr>
        <w:t>內調</w:t>
      </w:r>
      <w:r w:rsidRPr="008B5E82">
        <w:rPr>
          <w:rFonts w:hint="eastAsia"/>
        </w:rPr>
        <w:t>0058</w:t>
      </w:r>
      <w:r w:rsidRPr="008B5E82">
        <w:rPr>
          <w:rFonts w:hint="eastAsia"/>
        </w:rPr>
        <w:t>，章仁香、包宗和、楊美鈴調查。</w:t>
      </w:r>
    </w:p>
  </w:footnote>
  <w:footnote w:id="49">
    <w:p w:rsidR="00970832" w:rsidRPr="008B5E82" w:rsidRDefault="00970832" w:rsidP="00F010B7">
      <w:pPr>
        <w:pStyle w:val="2---"/>
        <w:adjustRightInd w:val="0"/>
        <w:ind w:left="273" w:hangingChars="130" w:hanging="273"/>
        <w:rPr>
          <w:lang w:eastAsia="zh-HK"/>
        </w:rPr>
      </w:pPr>
      <w:r w:rsidRPr="00F7536D">
        <w:rPr>
          <w:rStyle w:val="aff2"/>
          <w:sz w:val="21"/>
          <w:szCs w:val="21"/>
        </w:rPr>
        <w:footnoteRef/>
      </w:r>
      <w:r w:rsidRPr="008B5E82">
        <w:t xml:space="preserve"> </w:t>
      </w:r>
      <w:r>
        <w:rPr>
          <w:rFonts w:hint="eastAsia"/>
        </w:rPr>
        <w:tab/>
      </w:r>
      <w:r w:rsidRPr="008B5E82">
        <w:rPr>
          <w:rFonts w:hint="eastAsia"/>
        </w:rPr>
        <w:t>106</w:t>
      </w:r>
      <w:r w:rsidRPr="008B5E82">
        <w:rPr>
          <w:rFonts w:hint="eastAsia"/>
        </w:rPr>
        <w:t>交調</w:t>
      </w:r>
      <w:r w:rsidRPr="008B5E82">
        <w:rPr>
          <w:rFonts w:hint="eastAsia"/>
        </w:rPr>
        <w:t>0007</w:t>
      </w:r>
      <w:r w:rsidRPr="008B5E82">
        <w:rPr>
          <w:rFonts w:hint="eastAsia"/>
        </w:rPr>
        <w:t>，仉桂美、劉德勳、王美玉</w:t>
      </w:r>
      <w:r w:rsidRPr="008B5E82">
        <w:rPr>
          <w:rFonts w:hint="eastAsia"/>
          <w:lang w:eastAsia="zh-HK"/>
        </w:rPr>
        <w:t>調查。</w:t>
      </w:r>
    </w:p>
  </w:footnote>
  <w:footnote w:id="50">
    <w:p w:rsidR="00970832" w:rsidRPr="008B5E82" w:rsidRDefault="00970832" w:rsidP="00F010B7">
      <w:pPr>
        <w:pStyle w:val="2---"/>
        <w:adjustRightInd w:val="0"/>
        <w:ind w:left="273" w:hangingChars="130" w:hanging="273"/>
        <w:rPr>
          <w:lang w:eastAsia="zh-HK"/>
        </w:rPr>
      </w:pPr>
      <w:r w:rsidRPr="00F7536D">
        <w:rPr>
          <w:rStyle w:val="aff2"/>
          <w:sz w:val="21"/>
          <w:szCs w:val="21"/>
        </w:rPr>
        <w:footnoteRef/>
      </w:r>
      <w:r w:rsidRPr="008B5E82">
        <w:t xml:space="preserve"> </w:t>
      </w:r>
      <w:r>
        <w:rPr>
          <w:rFonts w:hint="eastAsia"/>
        </w:rPr>
        <w:tab/>
      </w:r>
      <w:r w:rsidRPr="008B5E82">
        <w:rPr>
          <w:rFonts w:hint="eastAsia"/>
        </w:rPr>
        <w:t>106</w:t>
      </w:r>
      <w:r w:rsidRPr="008B5E82">
        <w:rPr>
          <w:rFonts w:hint="eastAsia"/>
        </w:rPr>
        <w:t>交調</w:t>
      </w:r>
      <w:r w:rsidRPr="008B5E82">
        <w:rPr>
          <w:rFonts w:hint="eastAsia"/>
        </w:rPr>
        <w:t>0019</w:t>
      </w:r>
      <w:r w:rsidRPr="008B5E82">
        <w:rPr>
          <w:rFonts w:hint="eastAsia"/>
        </w:rPr>
        <w:t>，王美玉、仉桂美</w:t>
      </w:r>
      <w:r w:rsidRPr="008B5E82">
        <w:rPr>
          <w:rFonts w:hint="eastAsia"/>
          <w:lang w:eastAsia="zh-HK"/>
        </w:rPr>
        <w:t>調查。</w:t>
      </w:r>
    </w:p>
  </w:footnote>
  <w:footnote w:id="51">
    <w:p w:rsidR="00970832" w:rsidRPr="008B5E82" w:rsidRDefault="00970832" w:rsidP="00F010B7">
      <w:pPr>
        <w:pStyle w:val="2---"/>
        <w:adjustRightInd w:val="0"/>
        <w:ind w:left="273" w:hangingChars="130" w:hanging="273"/>
        <w:rPr>
          <w:lang w:eastAsia="zh-HK"/>
        </w:rPr>
      </w:pPr>
      <w:r w:rsidRPr="00F7536D">
        <w:rPr>
          <w:rStyle w:val="aff2"/>
          <w:sz w:val="21"/>
          <w:szCs w:val="21"/>
        </w:rPr>
        <w:footnoteRef/>
      </w:r>
      <w:r w:rsidRPr="008B5E82">
        <w:t xml:space="preserve"> </w:t>
      </w:r>
      <w:r>
        <w:rPr>
          <w:rFonts w:hint="eastAsia"/>
        </w:rPr>
        <w:tab/>
      </w:r>
      <w:r w:rsidRPr="008B5E82">
        <w:rPr>
          <w:rFonts w:hint="eastAsia"/>
        </w:rPr>
        <w:t>106</w:t>
      </w:r>
      <w:r w:rsidRPr="008B5E82">
        <w:rPr>
          <w:rFonts w:hint="eastAsia"/>
        </w:rPr>
        <w:t>交調</w:t>
      </w:r>
      <w:r w:rsidRPr="008B5E82">
        <w:rPr>
          <w:rFonts w:hint="eastAsia"/>
        </w:rPr>
        <w:t>0009</w:t>
      </w:r>
      <w:r w:rsidRPr="008B5E82">
        <w:rPr>
          <w:rFonts w:hint="eastAsia"/>
        </w:rPr>
        <w:t>，楊美鈴、蔡培村、方萬富</w:t>
      </w:r>
      <w:r w:rsidRPr="008B5E82">
        <w:rPr>
          <w:rFonts w:hint="eastAsia"/>
          <w:lang w:eastAsia="zh-HK"/>
        </w:rPr>
        <w:t>調查。</w:t>
      </w:r>
    </w:p>
  </w:footnote>
  <w:footnote w:id="52">
    <w:p w:rsidR="00970832" w:rsidRPr="008B5E82" w:rsidRDefault="00970832" w:rsidP="00F010B7">
      <w:pPr>
        <w:pStyle w:val="2---"/>
        <w:adjustRightInd w:val="0"/>
        <w:ind w:left="273" w:hangingChars="130" w:hanging="273"/>
      </w:pPr>
      <w:r w:rsidRPr="00F7536D">
        <w:rPr>
          <w:rStyle w:val="aff2"/>
          <w:sz w:val="21"/>
          <w:szCs w:val="21"/>
        </w:rPr>
        <w:footnoteRef/>
      </w:r>
      <w:r w:rsidRPr="008B5E82">
        <w:t xml:space="preserve"> </w:t>
      </w:r>
      <w:r>
        <w:rPr>
          <w:rFonts w:hint="eastAsia"/>
        </w:rPr>
        <w:tab/>
      </w:r>
      <w:r w:rsidRPr="008B5E82">
        <w:rPr>
          <w:rFonts w:hint="eastAsia"/>
        </w:rPr>
        <w:t>106</w:t>
      </w:r>
      <w:r w:rsidRPr="008B5E82">
        <w:rPr>
          <w:rFonts w:hint="eastAsia"/>
        </w:rPr>
        <w:t>國調</w:t>
      </w:r>
      <w:r w:rsidRPr="008B5E82">
        <w:rPr>
          <w:rFonts w:hint="eastAsia"/>
        </w:rPr>
        <w:t>0017</w:t>
      </w:r>
      <w:r w:rsidRPr="008B5E82">
        <w:rPr>
          <w:rFonts w:hint="eastAsia"/>
        </w:rPr>
        <w:t>，仉桂美</w:t>
      </w:r>
      <w:r w:rsidRPr="008B5E82">
        <w:rPr>
          <w:rFonts w:hint="eastAsia"/>
          <w:lang w:eastAsia="zh-HK"/>
        </w:rPr>
        <w:t>調查。</w:t>
      </w:r>
    </w:p>
  </w:footnote>
  <w:footnote w:id="53">
    <w:p w:rsidR="00970832" w:rsidRPr="008B5E82" w:rsidRDefault="00970832" w:rsidP="00F010B7">
      <w:pPr>
        <w:pStyle w:val="2---"/>
        <w:adjustRightInd w:val="0"/>
        <w:ind w:left="273" w:hangingChars="130" w:hanging="273"/>
      </w:pPr>
      <w:r w:rsidRPr="00F7536D">
        <w:rPr>
          <w:rStyle w:val="aff2"/>
          <w:sz w:val="21"/>
          <w:szCs w:val="21"/>
        </w:rPr>
        <w:footnoteRef/>
      </w:r>
      <w:r w:rsidRPr="008B5E82">
        <w:tab/>
      </w:r>
      <w:r w:rsidRPr="008B5E82">
        <w:t>人權大步走－種子培訓營總論講義（臺北：法務部編印，</w:t>
      </w:r>
      <w:r w:rsidRPr="008B5E82">
        <w:t>98</w:t>
      </w:r>
      <w:r w:rsidRPr="008B5E82">
        <w:t>年</w:t>
      </w:r>
      <w:r w:rsidRPr="00977876">
        <w:rPr>
          <w:spacing w:val="-26"/>
        </w:rPr>
        <w:t>）</w:t>
      </w:r>
      <w:r w:rsidRPr="008B5E82">
        <w:t>，頁</w:t>
      </w:r>
      <w:r w:rsidRPr="008B5E82">
        <w:t>56</w:t>
      </w:r>
      <w:r w:rsidRPr="008B5E82">
        <w:t>。</w:t>
      </w:r>
    </w:p>
  </w:footnote>
  <w:footnote w:id="54">
    <w:p w:rsidR="00970832" w:rsidRPr="008B5E82" w:rsidRDefault="00970832" w:rsidP="00F010B7">
      <w:pPr>
        <w:pStyle w:val="2---"/>
        <w:adjustRightInd w:val="0"/>
        <w:ind w:left="273" w:hangingChars="130" w:hanging="273"/>
        <w:rPr>
          <w:color w:val="000000"/>
        </w:rPr>
      </w:pPr>
      <w:r w:rsidRPr="00F7536D">
        <w:rPr>
          <w:rStyle w:val="aff2"/>
          <w:color w:val="000000"/>
          <w:sz w:val="21"/>
          <w:szCs w:val="21"/>
        </w:rPr>
        <w:footnoteRef/>
      </w:r>
      <w:r w:rsidRPr="008B5E82">
        <w:rPr>
          <w:color w:val="000000"/>
        </w:rPr>
        <w:tab/>
      </w:r>
      <w:r w:rsidRPr="008B5E82">
        <w:rPr>
          <w:color w:val="000000"/>
        </w:rPr>
        <w:t>「五</w:t>
      </w:r>
      <w:r w:rsidRPr="008B5E82">
        <w:t>權中的司</w:t>
      </w:r>
      <w:r w:rsidRPr="008B5E82">
        <w:rPr>
          <w:color w:val="000000"/>
        </w:rPr>
        <w:t>法權</w:t>
      </w:r>
      <w:r w:rsidRPr="00977876">
        <w:rPr>
          <w:spacing w:val="-26"/>
        </w:rPr>
        <w:t>」，</w:t>
      </w:r>
      <w:r w:rsidRPr="008B5E82">
        <w:rPr>
          <w:color w:val="000000"/>
        </w:rPr>
        <w:t>《司法院法治教育網</w:t>
      </w:r>
      <w:r w:rsidRPr="00977876">
        <w:rPr>
          <w:spacing w:val="-26"/>
        </w:rPr>
        <w:t>》</w:t>
      </w:r>
      <w:r w:rsidRPr="008B5E82">
        <w:rPr>
          <w:color w:val="000000"/>
        </w:rPr>
        <w:t>，</w:t>
      </w:r>
      <w:r w:rsidRPr="004F2226">
        <w:t>http://www.judicial.gov.tw/By</w:t>
      </w:r>
      <w:r>
        <w:rPr>
          <w:rFonts w:hint="eastAsia"/>
        </w:rPr>
        <w:t xml:space="preserve">　</w:t>
      </w:r>
      <w:r w:rsidRPr="004F2226">
        <w:t>Law/</w:t>
      </w:r>
      <w:r w:rsidRPr="001E1478">
        <w:t>law_ch_class1_3.jsp</w:t>
      </w:r>
      <w:r w:rsidRPr="008B5E82">
        <w:t>，</w:t>
      </w:r>
      <w:r w:rsidRPr="008B5E82">
        <w:rPr>
          <w:rFonts w:hint="eastAsia"/>
        </w:rPr>
        <w:t>最後瀏覽日期：</w:t>
      </w:r>
      <w:r w:rsidRPr="008B5E82">
        <w:rPr>
          <w:rFonts w:hint="eastAsia"/>
        </w:rPr>
        <w:t>201</w:t>
      </w:r>
      <w:r>
        <w:rPr>
          <w:rFonts w:hint="eastAsia"/>
        </w:rPr>
        <w:t>7</w:t>
      </w:r>
      <w:r w:rsidRPr="008B5E82">
        <w:rPr>
          <w:rFonts w:hint="eastAsia"/>
          <w:color w:val="000000"/>
        </w:rPr>
        <w:t>年</w:t>
      </w:r>
      <w:r>
        <w:rPr>
          <w:rFonts w:hint="eastAsia"/>
          <w:color w:val="000000"/>
        </w:rPr>
        <w:t>10</w:t>
      </w:r>
      <w:r w:rsidRPr="008B5E82">
        <w:rPr>
          <w:rFonts w:hint="eastAsia"/>
          <w:color w:val="000000"/>
        </w:rPr>
        <w:t>月</w:t>
      </w:r>
      <w:r w:rsidRPr="008B5E82">
        <w:rPr>
          <w:rFonts w:hint="eastAsia"/>
          <w:color w:val="000000"/>
        </w:rPr>
        <w:t>1</w:t>
      </w:r>
      <w:r>
        <w:rPr>
          <w:rFonts w:hint="eastAsia"/>
          <w:color w:val="000000"/>
        </w:rPr>
        <w:t>5</w:t>
      </w:r>
      <w:r w:rsidRPr="008B5E82">
        <w:rPr>
          <w:rFonts w:hint="eastAsia"/>
          <w:color w:val="000000"/>
        </w:rPr>
        <w:t>日</w:t>
      </w:r>
      <w:r w:rsidRPr="008B5E82">
        <w:rPr>
          <w:color w:val="000000"/>
        </w:rPr>
        <w:t>。</w:t>
      </w:r>
    </w:p>
  </w:footnote>
  <w:footnote w:id="55">
    <w:p w:rsidR="00970832" w:rsidRPr="008B5E82" w:rsidRDefault="00970832" w:rsidP="00F010B7">
      <w:pPr>
        <w:pStyle w:val="2---"/>
        <w:adjustRightInd w:val="0"/>
        <w:ind w:left="273" w:hangingChars="130" w:hanging="273"/>
      </w:pPr>
      <w:r w:rsidRPr="00F7536D">
        <w:rPr>
          <w:rStyle w:val="aff2"/>
          <w:sz w:val="21"/>
          <w:szCs w:val="21"/>
        </w:rPr>
        <w:footnoteRef/>
      </w:r>
      <w:r w:rsidRPr="008B5E82">
        <w:t xml:space="preserve"> </w:t>
      </w:r>
      <w:r>
        <w:rPr>
          <w:rFonts w:hint="eastAsia"/>
        </w:rPr>
        <w:tab/>
      </w:r>
      <w:r w:rsidRPr="008B5E82">
        <w:rPr>
          <w:rFonts w:hint="eastAsia"/>
        </w:rPr>
        <w:t>106</w:t>
      </w:r>
      <w:r w:rsidRPr="008B5E82">
        <w:rPr>
          <w:rFonts w:hint="eastAsia"/>
        </w:rPr>
        <w:t>司調</w:t>
      </w:r>
      <w:r w:rsidRPr="008B5E82">
        <w:rPr>
          <w:rFonts w:hint="eastAsia"/>
        </w:rPr>
        <w:t>0028</w:t>
      </w:r>
      <w:r w:rsidRPr="008B5E82">
        <w:rPr>
          <w:rFonts w:hint="eastAsia"/>
        </w:rPr>
        <w:t>，高鳳仙</w:t>
      </w:r>
      <w:r w:rsidRPr="008B5E82">
        <w:rPr>
          <w:rFonts w:hint="eastAsia"/>
          <w:lang w:eastAsia="zh-HK"/>
        </w:rPr>
        <w:t>調查。</w:t>
      </w:r>
    </w:p>
  </w:footnote>
  <w:footnote w:id="56">
    <w:p w:rsidR="00970832" w:rsidRPr="008B5E82" w:rsidRDefault="00970832" w:rsidP="00F010B7">
      <w:pPr>
        <w:pStyle w:val="2---"/>
        <w:adjustRightInd w:val="0"/>
        <w:ind w:left="273" w:hangingChars="130" w:hanging="273"/>
        <w:rPr>
          <w:lang w:eastAsia="zh-HK"/>
        </w:rPr>
      </w:pPr>
      <w:r w:rsidRPr="00F7536D">
        <w:rPr>
          <w:rStyle w:val="aff2"/>
          <w:sz w:val="21"/>
          <w:szCs w:val="21"/>
        </w:rPr>
        <w:footnoteRef/>
      </w:r>
      <w:r w:rsidRPr="008B5E82">
        <w:t xml:space="preserve"> </w:t>
      </w:r>
      <w:r>
        <w:rPr>
          <w:rFonts w:hint="eastAsia"/>
        </w:rPr>
        <w:tab/>
      </w:r>
      <w:r w:rsidRPr="008B5E82">
        <w:rPr>
          <w:rFonts w:hint="eastAsia"/>
        </w:rPr>
        <w:t>106</w:t>
      </w:r>
      <w:r w:rsidRPr="008B5E82">
        <w:rPr>
          <w:rFonts w:hint="eastAsia"/>
        </w:rPr>
        <w:t>內調</w:t>
      </w:r>
      <w:r w:rsidRPr="008B5E82">
        <w:rPr>
          <w:rFonts w:hint="eastAsia"/>
        </w:rPr>
        <w:t>0063</w:t>
      </w:r>
      <w:r w:rsidRPr="008B5E82">
        <w:rPr>
          <w:rFonts w:hint="eastAsia"/>
        </w:rPr>
        <w:t>，王美玉、劉德勳</w:t>
      </w:r>
      <w:r w:rsidRPr="008B5E82">
        <w:rPr>
          <w:rFonts w:hint="eastAsia"/>
          <w:lang w:eastAsia="zh-HK"/>
        </w:rPr>
        <w:t>調查。</w:t>
      </w:r>
    </w:p>
  </w:footnote>
  <w:footnote w:id="57">
    <w:p w:rsidR="00970832" w:rsidRPr="008B5E82" w:rsidRDefault="00970832" w:rsidP="00F010B7">
      <w:pPr>
        <w:pStyle w:val="2---"/>
        <w:adjustRightInd w:val="0"/>
        <w:ind w:left="273" w:hangingChars="130" w:hanging="273"/>
        <w:rPr>
          <w:lang w:eastAsia="zh-HK"/>
        </w:rPr>
      </w:pPr>
      <w:r w:rsidRPr="00F7536D">
        <w:rPr>
          <w:rStyle w:val="aff2"/>
          <w:sz w:val="21"/>
          <w:szCs w:val="21"/>
        </w:rPr>
        <w:footnoteRef/>
      </w:r>
      <w:r w:rsidRPr="008B5E82">
        <w:t xml:space="preserve"> </w:t>
      </w:r>
      <w:r>
        <w:rPr>
          <w:rFonts w:hint="eastAsia"/>
        </w:rPr>
        <w:tab/>
      </w:r>
      <w:r w:rsidRPr="008B5E82">
        <w:rPr>
          <w:rFonts w:hint="eastAsia"/>
        </w:rPr>
        <w:t>106</w:t>
      </w:r>
      <w:r w:rsidRPr="008B5E82">
        <w:rPr>
          <w:rFonts w:hint="eastAsia"/>
        </w:rPr>
        <w:t>司調</w:t>
      </w:r>
      <w:r w:rsidRPr="008B5E82">
        <w:rPr>
          <w:rFonts w:hint="eastAsia"/>
        </w:rPr>
        <w:t>0005</w:t>
      </w:r>
      <w:r w:rsidRPr="008B5E82">
        <w:rPr>
          <w:rFonts w:hint="eastAsia"/>
        </w:rPr>
        <w:t>，林雅鋒、劉德勳</w:t>
      </w:r>
      <w:r w:rsidRPr="008B5E82">
        <w:rPr>
          <w:rFonts w:hint="eastAsia"/>
          <w:lang w:eastAsia="zh-HK"/>
        </w:rPr>
        <w:t>調查。</w:t>
      </w:r>
    </w:p>
  </w:footnote>
  <w:footnote w:id="58">
    <w:p w:rsidR="00970832" w:rsidRPr="008B5E82" w:rsidRDefault="00970832" w:rsidP="00F010B7">
      <w:pPr>
        <w:pStyle w:val="2---"/>
        <w:adjustRightInd w:val="0"/>
        <w:ind w:left="273" w:hangingChars="130" w:hanging="273"/>
      </w:pPr>
      <w:r w:rsidRPr="00D75481">
        <w:rPr>
          <w:rStyle w:val="aff2"/>
          <w:sz w:val="21"/>
          <w:szCs w:val="21"/>
        </w:rPr>
        <w:footnoteRef/>
      </w:r>
      <w:r w:rsidRPr="008B5E82">
        <w:tab/>
      </w:r>
      <w:r w:rsidRPr="008B5E82">
        <w:t>陳新民，憲法導論（臺北：新學林出版公司，</w:t>
      </w:r>
      <w:r w:rsidRPr="008B5E82">
        <w:t>2008</w:t>
      </w:r>
      <w:r w:rsidRPr="008B5E82">
        <w:t>年</w:t>
      </w:r>
      <w:r w:rsidRPr="009F5B62">
        <w:rPr>
          <w:spacing w:val="-30"/>
        </w:rPr>
        <w:t>）</w:t>
      </w:r>
      <w:r w:rsidRPr="008B5E82">
        <w:t>，頁</w:t>
      </w:r>
      <w:r w:rsidRPr="008B5E82">
        <w:t>88-89</w:t>
      </w:r>
      <w:r w:rsidRPr="008B5E82">
        <w:t>。</w:t>
      </w:r>
    </w:p>
  </w:footnote>
  <w:footnote w:id="59">
    <w:p w:rsidR="00970832" w:rsidRPr="008B5E82" w:rsidRDefault="00970832" w:rsidP="00F010B7">
      <w:pPr>
        <w:pStyle w:val="2---"/>
        <w:adjustRightInd w:val="0"/>
        <w:ind w:left="273" w:hangingChars="130" w:hanging="273"/>
        <w:rPr>
          <w:lang w:eastAsia="zh-HK"/>
        </w:rPr>
      </w:pPr>
      <w:r w:rsidRPr="00D75481">
        <w:rPr>
          <w:rStyle w:val="aff2"/>
          <w:sz w:val="21"/>
          <w:szCs w:val="21"/>
        </w:rPr>
        <w:footnoteRef/>
      </w:r>
      <w:r w:rsidRPr="008B5E82">
        <w:t xml:space="preserve"> </w:t>
      </w:r>
      <w:r>
        <w:rPr>
          <w:rFonts w:hint="eastAsia"/>
        </w:rPr>
        <w:tab/>
      </w:r>
      <w:r w:rsidRPr="008B5E82">
        <w:rPr>
          <w:rFonts w:hint="eastAsia"/>
        </w:rPr>
        <w:t>106</w:t>
      </w:r>
      <w:r w:rsidRPr="008B5E82">
        <w:rPr>
          <w:rFonts w:hint="eastAsia"/>
        </w:rPr>
        <w:t>司調</w:t>
      </w:r>
      <w:r w:rsidRPr="008B5E82">
        <w:rPr>
          <w:rFonts w:hint="eastAsia"/>
        </w:rPr>
        <w:t>0034</w:t>
      </w:r>
      <w:r w:rsidRPr="008B5E82">
        <w:rPr>
          <w:rFonts w:hint="eastAsia"/>
        </w:rPr>
        <w:t>，方萬富、陳慶財、李月德</w:t>
      </w:r>
      <w:r w:rsidRPr="008B5E82">
        <w:rPr>
          <w:rFonts w:hint="eastAsia"/>
          <w:lang w:eastAsia="zh-HK"/>
        </w:rPr>
        <w:t>調查。</w:t>
      </w:r>
    </w:p>
  </w:footnote>
  <w:footnote w:id="60">
    <w:p w:rsidR="00970832" w:rsidRPr="008B5E82" w:rsidRDefault="00970832" w:rsidP="00F010B7">
      <w:pPr>
        <w:pStyle w:val="2---"/>
        <w:adjustRightInd w:val="0"/>
        <w:ind w:left="273" w:hangingChars="130" w:hanging="273"/>
        <w:rPr>
          <w:rFonts w:ascii="新細明體" w:hAnsi="新細明體"/>
        </w:rPr>
      </w:pPr>
      <w:r w:rsidRPr="00D75481">
        <w:rPr>
          <w:rStyle w:val="aff2"/>
          <w:sz w:val="21"/>
          <w:szCs w:val="21"/>
        </w:rPr>
        <w:footnoteRef/>
      </w:r>
      <w:r w:rsidRPr="008B5E82">
        <w:rPr>
          <w:rFonts w:ascii="新細明體" w:hAnsi="新細明體" w:hint="eastAsia"/>
        </w:rPr>
        <w:t xml:space="preserve"> </w:t>
      </w:r>
      <w:r>
        <w:rPr>
          <w:rFonts w:ascii="新細明體" w:hAnsi="新細明體" w:hint="eastAsia"/>
        </w:rPr>
        <w:tab/>
      </w:r>
      <w:r w:rsidRPr="001875A2">
        <w:rPr>
          <w:rFonts w:hint="eastAsia"/>
        </w:rPr>
        <w:t>106</w:t>
      </w:r>
      <w:r w:rsidRPr="001875A2">
        <w:rPr>
          <w:rFonts w:hint="eastAsia"/>
        </w:rPr>
        <w:t>國調</w:t>
      </w:r>
      <w:r w:rsidRPr="008B5E82">
        <w:rPr>
          <w:rFonts w:hint="eastAsia"/>
        </w:rPr>
        <w:t>0002</w:t>
      </w:r>
      <w:r w:rsidRPr="001875A2">
        <w:rPr>
          <w:rFonts w:hint="eastAsia"/>
        </w:rPr>
        <w:t>，高鳳仙、楊美鈴調查。</w:t>
      </w:r>
    </w:p>
  </w:footnote>
  <w:footnote w:id="61">
    <w:p w:rsidR="00970832" w:rsidRPr="008B5E82" w:rsidRDefault="00970832" w:rsidP="00F010B7">
      <w:pPr>
        <w:pStyle w:val="2---"/>
        <w:adjustRightInd w:val="0"/>
        <w:ind w:left="273" w:hangingChars="130" w:hanging="273"/>
        <w:rPr>
          <w:lang w:eastAsia="zh-HK"/>
        </w:rPr>
      </w:pPr>
      <w:r w:rsidRPr="00D75481">
        <w:rPr>
          <w:rStyle w:val="aff2"/>
          <w:sz w:val="21"/>
          <w:szCs w:val="21"/>
        </w:rPr>
        <w:footnoteRef/>
      </w:r>
      <w:r w:rsidRPr="008B5E82">
        <w:t xml:space="preserve"> </w:t>
      </w:r>
      <w:r>
        <w:rPr>
          <w:rFonts w:hint="eastAsia"/>
        </w:rPr>
        <w:tab/>
      </w:r>
      <w:r w:rsidRPr="008B5E82">
        <w:rPr>
          <w:rFonts w:hint="eastAsia"/>
        </w:rPr>
        <w:t>106</w:t>
      </w:r>
      <w:r w:rsidRPr="008B5E82">
        <w:rPr>
          <w:rFonts w:hint="eastAsia"/>
        </w:rPr>
        <w:t>司調</w:t>
      </w:r>
      <w:r w:rsidRPr="008B5E82">
        <w:rPr>
          <w:rFonts w:hint="eastAsia"/>
        </w:rPr>
        <w:t>0021</w:t>
      </w:r>
      <w:r w:rsidRPr="008B5E82">
        <w:rPr>
          <w:rFonts w:hint="eastAsia"/>
        </w:rPr>
        <w:t>，林雅鋒</w:t>
      </w:r>
      <w:r w:rsidRPr="008B5E82">
        <w:rPr>
          <w:rFonts w:hint="eastAsia"/>
          <w:lang w:eastAsia="zh-HK"/>
        </w:rPr>
        <w:t>調查。</w:t>
      </w:r>
    </w:p>
  </w:footnote>
  <w:footnote w:id="62">
    <w:p w:rsidR="00970832" w:rsidRPr="008B5E82" w:rsidRDefault="00970832" w:rsidP="00F010B7">
      <w:pPr>
        <w:pStyle w:val="2---"/>
        <w:adjustRightInd w:val="0"/>
        <w:ind w:left="273" w:hangingChars="130" w:hanging="273"/>
        <w:rPr>
          <w:lang w:eastAsia="zh-HK"/>
        </w:rPr>
      </w:pPr>
      <w:r w:rsidRPr="00D75481">
        <w:rPr>
          <w:rStyle w:val="aff2"/>
          <w:sz w:val="21"/>
          <w:szCs w:val="21"/>
        </w:rPr>
        <w:footnoteRef/>
      </w:r>
      <w:r w:rsidRPr="008B5E82">
        <w:t xml:space="preserve"> </w:t>
      </w:r>
      <w:r>
        <w:rPr>
          <w:rFonts w:hint="eastAsia"/>
        </w:rPr>
        <w:tab/>
      </w:r>
      <w:r w:rsidRPr="008B5E82">
        <w:rPr>
          <w:rFonts w:hint="eastAsia"/>
        </w:rPr>
        <w:t>106</w:t>
      </w:r>
      <w:r w:rsidRPr="008B5E82">
        <w:rPr>
          <w:rFonts w:hint="eastAsia"/>
        </w:rPr>
        <w:t>司調</w:t>
      </w:r>
      <w:r w:rsidRPr="008B5E82">
        <w:rPr>
          <w:rFonts w:hint="eastAsia"/>
        </w:rPr>
        <w:t>0002</w:t>
      </w:r>
      <w:r w:rsidRPr="008B5E82">
        <w:rPr>
          <w:rFonts w:hint="eastAsia"/>
        </w:rPr>
        <w:t>，王美玉、仉桂美</w:t>
      </w:r>
      <w:r w:rsidRPr="008B5E82">
        <w:rPr>
          <w:rFonts w:hint="eastAsia"/>
          <w:lang w:eastAsia="zh-HK"/>
        </w:rPr>
        <w:t>調查。</w:t>
      </w:r>
    </w:p>
  </w:footnote>
  <w:footnote w:id="63">
    <w:p w:rsidR="00970832" w:rsidRPr="008B5E82" w:rsidRDefault="00970832" w:rsidP="00F010B7">
      <w:pPr>
        <w:pStyle w:val="2---"/>
        <w:adjustRightInd w:val="0"/>
        <w:ind w:left="273" w:hangingChars="130" w:hanging="273"/>
        <w:rPr>
          <w:lang w:eastAsia="zh-HK"/>
        </w:rPr>
      </w:pPr>
      <w:r w:rsidRPr="00D75481">
        <w:rPr>
          <w:rStyle w:val="aff2"/>
          <w:sz w:val="21"/>
          <w:szCs w:val="21"/>
        </w:rPr>
        <w:footnoteRef/>
      </w:r>
      <w:r w:rsidRPr="008B5E82">
        <w:t xml:space="preserve"> </w:t>
      </w:r>
      <w:r>
        <w:rPr>
          <w:rFonts w:hint="eastAsia"/>
        </w:rPr>
        <w:tab/>
      </w:r>
      <w:r w:rsidRPr="008B5E82">
        <w:rPr>
          <w:rFonts w:hint="eastAsia"/>
        </w:rPr>
        <w:t>106</w:t>
      </w:r>
      <w:r w:rsidRPr="008B5E82">
        <w:rPr>
          <w:rFonts w:hint="eastAsia"/>
        </w:rPr>
        <w:t>司調</w:t>
      </w:r>
      <w:r w:rsidRPr="008B5E82">
        <w:rPr>
          <w:rFonts w:hint="eastAsia"/>
        </w:rPr>
        <w:t>0013</w:t>
      </w:r>
      <w:r w:rsidRPr="008B5E82">
        <w:rPr>
          <w:rFonts w:hint="eastAsia"/>
        </w:rPr>
        <w:t>，仉桂美、王美玉</w:t>
      </w:r>
      <w:r w:rsidRPr="008B5E82">
        <w:rPr>
          <w:rFonts w:hint="eastAsia"/>
          <w:lang w:eastAsia="zh-HK"/>
        </w:rPr>
        <w:t>調查。</w:t>
      </w:r>
    </w:p>
  </w:footnote>
  <w:footnote w:id="64">
    <w:p w:rsidR="00970832" w:rsidRPr="008B5E82" w:rsidRDefault="00970832" w:rsidP="00F010B7">
      <w:pPr>
        <w:pStyle w:val="2---"/>
        <w:adjustRightInd w:val="0"/>
        <w:ind w:left="273" w:hangingChars="130" w:hanging="273"/>
        <w:rPr>
          <w:lang w:eastAsia="zh-HK"/>
        </w:rPr>
      </w:pPr>
      <w:r w:rsidRPr="00D75481">
        <w:rPr>
          <w:rStyle w:val="aff2"/>
          <w:sz w:val="21"/>
          <w:szCs w:val="21"/>
        </w:rPr>
        <w:footnoteRef/>
      </w:r>
      <w:r w:rsidRPr="008B5E82">
        <w:t xml:space="preserve"> </w:t>
      </w:r>
      <w:r>
        <w:rPr>
          <w:rFonts w:hint="eastAsia"/>
        </w:rPr>
        <w:tab/>
      </w:r>
      <w:r w:rsidRPr="008B5E82">
        <w:rPr>
          <w:rFonts w:hint="eastAsia"/>
        </w:rPr>
        <w:t>106</w:t>
      </w:r>
      <w:r w:rsidRPr="008B5E82">
        <w:rPr>
          <w:rFonts w:hint="eastAsia"/>
        </w:rPr>
        <w:t>司調</w:t>
      </w:r>
      <w:r w:rsidRPr="008B5E82">
        <w:rPr>
          <w:rFonts w:hint="eastAsia"/>
        </w:rPr>
        <w:t>0015</w:t>
      </w:r>
      <w:r w:rsidRPr="008B5E82">
        <w:rPr>
          <w:rFonts w:hint="eastAsia"/>
        </w:rPr>
        <w:t>，劉德勳、仉桂美</w:t>
      </w:r>
      <w:r w:rsidRPr="008B5E82">
        <w:rPr>
          <w:rFonts w:hint="eastAsia"/>
          <w:lang w:eastAsia="zh-HK"/>
        </w:rPr>
        <w:t>調查。</w:t>
      </w:r>
    </w:p>
  </w:footnote>
  <w:footnote w:id="65">
    <w:p w:rsidR="00970832" w:rsidRPr="008B5E82" w:rsidRDefault="00970832" w:rsidP="00F010B7">
      <w:pPr>
        <w:pStyle w:val="2---"/>
        <w:adjustRightInd w:val="0"/>
        <w:ind w:left="273" w:hangingChars="130" w:hanging="273"/>
      </w:pPr>
      <w:r w:rsidRPr="00D75481">
        <w:rPr>
          <w:rStyle w:val="aff2"/>
          <w:sz w:val="21"/>
          <w:szCs w:val="21"/>
        </w:rPr>
        <w:footnoteRef/>
      </w:r>
      <w:r w:rsidRPr="008B5E82">
        <w:t xml:space="preserve"> </w:t>
      </w:r>
      <w:r>
        <w:rPr>
          <w:rFonts w:hint="eastAsia"/>
        </w:rPr>
        <w:tab/>
      </w:r>
      <w:r w:rsidRPr="008B5E82">
        <w:rPr>
          <w:rFonts w:hint="eastAsia"/>
        </w:rPr>
        <w:t>106</w:t>
      </w:r>
      <w:r w:rsidRPr="008B5E82">
        <w:rPr>
          <w:rFonts w:hint="eastAsia"/>
        </w:rPr>
        <w:t>司調</w:t>
      </w:r>
      <w:r w:rsidRPr="008B5E82">
        <w:rPr>
          <w:rFonts w:hint="eastAsia"/>
        </w:rPr>
        <w:t>0006</w:t>
      </w:r>
      <w:r w:rsidRPr="008B5E82">
        <w:rPr>
          <w:rFonts w:hint="eastAsia"/>
        </w:rPr>
        <w:t>，江明蒼、仉桂美、王美玉</w:t>
      </w:r>
      <w:r w:rsidRPr="008B5E82">
        <w:rPr>
          <w:rFonts w:hint="eastAsia"/>
          <w:lang w:eastAsia="zh-HK"/>
        </w:rPr>
        <w:t>調查。</w:t>
      </w:r>
    </w:p>
  </w:footnote>
  <w:footnote w:id="66">
    <w:p w:rsidR="00970832" w:rsidRPr="008B5E82" w:rsidRDefault="00970832" w:rsidP="00F010B7">
      <w:pPr>
        <w:pStyle w:val="2---"/>
        <w:adjustRightInd w:val="0"/>
        <w:ind w:left="273" w:hangingChars="130" w:hanging="273"/>
        <w:rPr>
          <w:lang w:eastAsia="zh-HK"/>
        </w:rPr>
      </w:pPr>
      <w:r w:rsidRPr="00D75481">
        <w:rPr>
          <w:rStyle w:val="aff2"/>
          <w:sz w:val="21"/>
          <w:szCs w:val="21"/>
        </w:rPr>
        <w:footnoteRef/>
      </w:r>
      <w:r w:rsidRPr="008B5E82">
        <w:t xml:space="preserve"> </w:t>
      </w:r>
      <w:r>
        <w:rPr>
          <w:rFonts w:hint="eastAsia"/>
        </w:rPr>
        <w:tab/>
      </w:r>
      <w:r w:rsidRPr="008B5E82">
        <w:rPr>
          <w:rFonts w:hint="eastAsia"/>
        </w:rPr>
        <w:t>106</w:t>
      </w:r>
      <w:r w:rsidRPr="008B5E82">
        <w:rPr>
          <w:rFonts w:hint="eastAsia"/>
        </w:rPr>
        <w:t>司調</w:t>
      </w:r>
      <w:r w:rsidRPr="008B5E82">
        <w:rPr>
          <w:rFonts w:hint="eastAsia"/>
        </w:rPr>
        <w:t>0025</w:t>
      </w:r>
      <w:r w:rsidRPr="008B5E82">
        <w:rPr>
          <w:rFonts w:hint="eastAsia"/>
        </w:rPr>
        <w:t>，王美玉、仉桂美</w:t>
      </w:r>
      <w:r w:rsidRPr="008B5E82">
        <w:rPr>
          <w:rFonts w:hint="eastAsia"/>
          <w:lang w:eastAsia="zh-HK"/>
        </w:rPr>
        <w:t>調查。</w:t>
      </w:r>
    </w:p>
  </w:footnote>
  <w:footnote w:id="67">
    <w:p w:rsidR="00970832" w:rsidRPr="008B5E82" w:rsidRDefault="00970832" w:rsidP="00F010B7">
      <w:pPr>
        <w:pStyle w:val="2---"/>
        <w:adjustRightInd w:val="0"/>
        <w:ind w:left="273" w:hangingChars="130" w:hanging="273"/>
        <w:rPr>
          <w:lang w:eastAsia="zh-HK"/>
        </w:rPr>
      </w:pPr>
      <w:r w:rsidRPr="00D75481">
        <w:rPr>
          <w:rStyle w:val="aff2"/>
          <w:sz w:val="21"/>
          <w:szCs w:val="21"/>
        </w:rPr>
        <w:footnoteRef/>
      </w:r>
      <w:r w:rsidRPr="008B5E82">
        <w:t xml:space="preserve"> </w:t>
      </w:r>
      <w:r>
        <w:rPr>
          <w:rFonts w:hint="eastAsia"/>
        </w:rPr>
        <w:tab/>
      </w:r>
      <w:r w:rsidRPr="008B5E82">
        <w:rPr>
          <w:rFonts w:hint="eastAsia"/>
        </w:rPr>
        <w:t>106</w:t>
      </w:r>
      <w:r w:rsidRPr="008B5E82">
        <w:rPr>
          <w:rFonts w:hint="eastAsia"/>
        </w:rPr>
        <w:t>司調</w:t>
      </w:r>
      <w:r w:rsidRPr="008B5E82">
        <w:rPr>
          <w:rFonts w:hint="eastAsia"/>
        </w:rPr>
        <w:t>0037</w:t>
      </w:r>
      <w:r w:rsidRPr="008B5E82">
        <w:rPr>
          <w:rFonts w:hint="eastAsia"/>
        </w:rPr>
        <w:t>，王美玉、仉桂美</w:t>
      </w:r>
      <w:r w:rsidRPr="008B5E82">
        <w:rPr>
          <w:rFonts w:hint="eastAsia"/>
          <w:lang w:eastAsia="zh-HK"/>
        </w:rPr>
        <w:t>調查。</w:t>
      </w:r>
    </w:p>
  </w:footnote>
  <w:footnote w:id="68">
    <w:p w:rsidR="00970832" w:rsidRPr="008B5E82" w:rsidRDefault="00970832" w:rsidP="00F010B7">
      <w:pPr>
        <w:pStyle w:val="2---"/>
        <w:adjustRightInd w:val="0"/>
        <w:ind w:left="273" w:hangingChars="130" w:hanging="273"/>
      </w:pPr>
      <w:r w:rsidRPr="00D75481">
        <w:rPr>
          <w:rStyle w:val="aff2"/>
          <w:sz w:val="21"/>
          <w:szCs w:val="21"/>
        </w:rPr>
        <w:footnoteRef/>
      </w:r>
      <w:r w:rsidRPr="008B5E82">
        <w:t xml:space="preserve"> </w:t>
      </w:r>
      <w:r>
        <w:rPr>
          <w:rFonts w:hint="eastAsia"/>
        </w:rPr>
        <w:tab/>
      </w:r>
      <w:r w:rsidRPr="001875A2">
        <w:rPr>
          <w:rFonts w:hint="eastAsia"/>
        </w:rPr>
        <w:t>106</w:t>
      </w:r>
      <w:r w:rsidRPr="001875A2">
        <w:rPr>
          <w:rFonts w:hint="eastAsia"/>
        </w:rPr>
        <w:t>司調</w:t>
      </w:r>
      <w:r w:rsidRPr="001875A2">
        <w:rPr>
          <w:rFonts w:hint="eastAsia"/>
        </w:rPr>
        <w:t>0035</w:t>
      </w:r>
      <w:r w:rsidRPr="001875A2">
        <w:rPr>
          <w:rFonts w:hint="eastAsia"/>
        </w:rPr>
        <w:t>，王美玉、方萬富、楊美鈴調查。</w:t>
      </w:r>
    </w:p>
  </w:footnote>
  <w:footnote w:id="69">
    <w:p w:rsidR="00970832" w:rsidRPr="008B5E82" w:rsidRDefault="00970832" w:rsidP="00F010B7">
      <w:pPr>
        <w:pStyle w:val="2---"/>
        <w:adjustRightInd w:val="0"/>
        <w:ind w:left="273" w:hangingChars="130" w:hanging="273"/>
        <w:rPr>
          <w:lang w:eastAsia="zh-HK"/>
        </w:rPr>
      </w:pPr>
      <w:r w:rsidRPr="00D75481">
        <w:rPr>
          <w:rStyle w:val="aff2"/>
          <w:sz w:val="21"/>
          <w:szCs w:val="21"/>
        </w:rPr>
        <w:footnoteRef/>
      </w:r>
      <w:r w:rsidRPr="008B5E82">
        <w:t xml:space="preserve"> </w:t>
      </w:r>
      <w:r>
        <w:rPr>
          <w:rFonts w:hint="eastAsia"/>
        </w:rPr>
        <w:tab/>
      </w:r>
      <w:r w:rsidRPr="008B5E82">
        <w:rPr>
          <w:rFonts w:hint="eastAsia"/>
        </w:rPr>
        <w:t>106</w:t>
      </w:r>
      <w:r w:rsidRPr="008B5E82">
        <w:rPr>
          <w:rFonts w:hint="eastAsia"/>
        </w:rPr>
        <w:t>司調</w:t>
      </w:r>
      <w:r w:rsidRPr="008B5E82">
        <w:rPr>
          <w:rFonts w:hint="eastAsia"/>
        </w:rPr>
        <w:t>0012</w:t>
      </w:r>
      <w:r w:rsidRPr="008B5E82">
        <w:rPr>
          <w:rFonts w:hint="eastAsia"/>
        </w:rPr>
        <w:t>，王美玉、仉桂美</w:t>
      </w:r>
      <w:r w:rsidRPr="008B5E82">
        <w:rPr>
          <w:rFonts w:hint="eastAsia"/>
          <w:lang w:eastAsia="zh-HK"/>
        </w:rPr>
        <w:t>調查。</w:t>
      </w:r>
    </w:p>
  </w:footnote>
  <w:footnote w:id="70">
    <w:p w:rsidR="00970832" w:rsidRPr="008B5E82" w:rsidRDefault="00970832" w:rsidP="00F010B7">
      <w:pPr>
        <w:pStyle w:val="2---"/>
        <w:adjustRightInd w:val="0"/>
        <w:ind w:left="273" w:hangingChars="130" w:hanging="273"/>
      </w:pPr>
      <w:r w:rsidRPr="00D75481">
        <w:rPr>
          <w:rStyle w:val="aff2"/>
          <w:sz w:val="21"/>
          <w:szCs w:val="21"/>
        </w:rPr>
        <w:footnoteRef/>
      </w:r>
      <w:r w:rsidRPr="008B5E82">
        <w:t xml:space="preserve"> </w:t>
      </w:r>
      <w:r>
        <w:rPr>
          <w:rFonts w:hint="eastAsia"/>
        </w:rPr>
        <w:tab/>
      </w:r>
      <w:r w:rsidRPr="008B5E82">
        <w:rPr>
          <w:rFonts w:hint="eastAsia"/>
        </w:rPr>
        <w:t>106</w:t>
      </w:r>
      <w:r w:rsidRPr="008B5E82">
        <w:rPr>
          <w:rFonts w:hint="eastAsia"/>
        </w:rPr>
        <w:t>司調</w:t>
      </w:r>
      <w:r w:rsidRPr="008B5E82">
        <w:rPr>
          <w:rFonts w:hint="eastAsia"/>
        </w:rPr>
        <w:t>0033</w:t>
      </w:r>
      <w:r w:rsidRPr="008B5E82">
        <w:rPr>
          <w:rFonts w:hint="eastAsia"/>
        </w:rPr>
        <w:t>，高鳳仙</w:t>
      </w:r>
      <w:r w:rsidRPr="008B5E82">
        <w:rPr>
          <w:rFonts w:hint="eastAsia"/>
          <w:lang w:eastAsia="zh-HK"/>
        </w:rPr>
        <w:t>調查。</w:t>
      </w:r>
    </w:p>
  </w:footnote>
  <w:footnote w:id="71">
    <w:p w:rsidR="00970832" w:rsidRPr="008B5E82" w:rsidRDefault="00970832" w:rsidP="00F010B7">
      <w:pPr>
        <w:pStyle w:val="2---"/>
        <w:adjustRightInd w:val="0"/>
        <w:ind w:left="273" w:hangingChars="130" w:hanging="273"/>
      </w:pPr>
      <w:r w:rsidRPr="00D75481">
        <w:rPr>
          <w:rStyle w:val="aff2"/>
          <w:sz w:val="21"/>
          <w:szCs w:val="21"/>
        </w:rPr>
        <w:footnoteRef/>
      </w:r>
      <w:r w:rsidRPr="008B5E82">
        <w:t xml:space="preserve"> </w:t>
      </w:r>
      <w:r>
        <w:rPr>
          <w:rFonts w:hint="eastAsia"/>
        </w:rPr>
        <w:tab/>
      </w:r>
      <w:r w:rsidRPr="008B5E82">
        <w:rPr>
          <w:rFonts w:hint="eastAsia"/>
        </w:rPr>
        <w:t>106</w:t>
      </w:r>
      <w:r w:rsidRPr="008B5E82">
        <w:rPr>
          <w:rFonts w:hint="eastAsia"/>
        </w:rPr>
        <w:t>司調</w:t>
      </w:r>
      <w:r w:rsidRPr="008B5E82">
        <w:rPr>
          <w:rFonts w:hint="eastAsia"/>
        </w:rPr>
        <w:t>0026</w:t>
      </w:r>
      <w:r w:rsidRPr="008B5E82">
        <w:rPr>
          <w:rFonts w:hint="eastAsia"/>
        </w:rPr>
        <w:t>，高鳳仙</w:t>
      </w:r>
      <w:r w:rsidRPr="008B5E82">
        <w:rPr>
          <w:rFonts w:hint="eastAsia"/>
          <w:lang w:eastAsia="zh-HK"/>
        </w:rPr>
        <w:t>調查。</w:t>
      </w:r>
    </w:p>
  </w:footnote>
  <w:footnote w:id="72">
    <w:p w:rsidR="00970832" w:rsidRPr="008B5E82" w:rsidRDefault="00970832" w:rsidP="00F010B7">
      <w:pPr>
        <w:pStyle w:val="2---"/>
        <w:adjustRightInd w:val="0"/>
        <w:ind w:left="273" w:hangingChars="130" w:hanging="273"/>
      </w:pPr>
      <w:r w:rsidRPr="00D75481">
        <w:rPr>
          <w:rStyle w:val="aff2"/>
          <w:sz w:val="21"/>
          <w:szCs w:val="21"/>
        </w:rPr>
        <w:footnoteRef/>
      </w:r>
      <w:r w:rsidRPr="008B5E82">
        <w:t xml:space="preserve"> </w:t>
      </w:r>
      <w:r>
        <w:rPr>
          <w:rFonts w:hint="eastAsia"/>
        </w:rPr>
        <w:tab/>
      </w:r>
      <w:r w:rsidRPr="008B5E82">
        <w:rPr>
          <w:rFonts w:hint="eastAsia"/>
        </w:rPr>
        <w:t>106</w:t>
      </w:r>
      <w:r w:rsidRPr="008B5E82">
        <w:rPr>
          <w:rFonts w:hint="eastAsia"/>
        </w:rPr>
        <w:t>司調</w:t>
      </w:r>
      <w:r w:rsidRPr="008B5E82">
        <w:rPr>
          <w:rFonts w:hint="eastAsia"/>
        </w:rPr>
        <w:t>0014</w:t>
      </w:r>
      <w:r w:rsidRPr="008B5E82">
        <w:rPr>
          <w:rFonts w:hint="eastAsia"/>
        </w:rPr>
        <w:t>，林雅鋒</w:t>
      </w:r>
      <w:r w:rsidRPr="008B5E82">
        <w:rPr>
          <w:rFonts w:hint="eastAsia"/>
          <w:lang w:eastAsia="zh-HK"/>
        </w:rPr>
        <w:t>調查。</w:t>
      </w:r>
    </w:p>
  </w:footnote>
  <w:footnote w:id="73">
    <w:p w:rsidR="00970832" w:rsidRPr="008B5E82" w:rsidRDefault="00970832" w:rsidP="00F010B7">
      <w:pPr>
        <w:pStyle w:val="2---"/>
        <w:adjustRightInd w:val="0"/>
        <w:ind w:left="273" w:hangingChars="130" w:hanging="273"/>
        <w:rPr>
          <w:lang w:eastAsia="zh-HK"/>
        </w:rPr>
      </w:pPr>
      <w:r w:rsidRPr="00D75481">
        <w:rPr>
          <w:rStyle w:val="aff2"/>
          <w:sz w:val="21"/>
          <w:szCs w:val="21"/>
        </w:rPr>
        <w:footnoteRef/>
      </w:r>
      <w:r w:rsidRPr="008B5E82">
        <w:t xml:space="preserve"> </w:t>
      </w:r>
      <w:r>
        <w:rPr>
          <w:rFonts w:hint="eastAsia"/>
        </w:rPr>
        <w:tab/>
      </w:r>
      <w:r w:rsidRPr="008B5E82">
        <w:rPr>
          <w:rFonts w:hint="eastAsia"/>
        </w:rPr>
        <w:t>106</w:t>
      </w:r>
      <w:r w:rsidRPr="008B5E82">
        <w:rPr>
          <w:rFonts w:hint="eastAsia"/>
        </w:rPr>
        <w:t>司調</w:t>
      </w:r>
      <w:r w:rsidRPr="008B5E82">
        <w:rPr>
          <w:rFonts w:hint="eastAsia"/>
        </w:rPr>
        <w:t>0036</w:t>
      </w:r>
      <w:r w:rsidRPr="008B5E82">
        <w:rPr>
          <w:rFonts w:hint="eastAsia"/>
        </w:rPr>
        <w:t>，林雅鋒</w:t>
      </w:r>
      <w:r w:rsidRPr="008B5E82">
        <w:rPr>
          <w:rFonts w:hint="eastAsia"/>
          <w:lang w:eastAsia="zh-HK"/>
        </w:rPr>
        <w:t>調查。</w:t>
      </w:r>
    </w:p>
  </w:footnote>
  <w:footnote w:id="74">
    <w:p w:rsidR="00970832" w:rsidRPr="008B5E82" w:rsidRDefault="00970832" w:rsidP="00F010B7">
      <w:pPr>
        <w:pStyle w:val="2---"/>
        <w:adjustRightInd w:val="0"/>
        <w:ind w:left="273" w:hangingChars="130" w:hanging="273"/>
        <w:rPr>
          <w:lang w:eastAsia="zh-HK"/>
        </w:rPr>
      </w:pPr>
      <w:r w:rsidRPr="00D75481">
        <w:rPr>
          <w:rStyle w:val="aff2"/>
          <w:sz w:val="21"/>
          <w:szCs w:val="21"/>
        </w:rPr>
        <w:footnoteRef/>
      </w:r>
      <w:r w:rsidRPr="008B5E82">
        <w:t xml:space="preserve"> </w:t>
      </w:r>
      <w:r>
        <w:rPr>
          <w:rFonts w:hint="eastAsia"/>
        </w:rPr>
        <w:tab/>
      </w:r>
      <w:r w:rsidRPr="008B5E82">
        <w:rPr>
          <w:rFonts w:hint="eastAsia"/>
        </w:rPr>
        <w:t>106</w:t>
      </w:r>
      <w:r w:rsidRPr="008B5E82">
        <w:rPr>
          <w:rFonts w:hint="eastAsia"/>
        </w:rPr>
        <w:t>司調</w:t>
      </w:r>
      <w:r w:rsidRPr="008B5E82">
        <w:rPr>
          <w:rFonts w:hint="eastAsia"/>
        </w:rPr>
        <w:t>0003</w:t>
      </w:r>
      <w:r w:rsidRPr="008B5E82">
        <w:rPr>
          <w:rFonts w:hint="eastAsia"/>
        </w:rPr>
        <w:t>，高鳳仙、尹祚芊</w:t>
      </w:r>
      <w:r w:rsidRPr="008B5E82">
        <w:rPr>
          <w:rFonts w:hint="eastAsia"/>
          <w:lang w:eastAsia="zh-HK"/>
        </w:rPr>
        <w:t>調查。</w:t>
      </w:r>
    </w:p>
  </w:footnote>
  <w:footnote w:id="75">
    <w:p w:rsidR="00970832" w:rsidRPr="008B5E82" w:rsidRDefault="00970832" w:rsidP="00F010B7">
      <w:pPr>
        <w:pStyle w:val="2---"/>
        <w:adjustRightInd w:val="0"/>
        <w:ind w:left="273" w:hangingChars="130" w:hanging="273"/>
      </w:pPr>
      <w:r w:rsidRPr="00D75481">
        <w:rPr>
          <w:rStyle w:val="aff2"/>
          <w:sz w:val="21"/>
          <w:szCs w:val="21"/>
        </w:rPr>
        <w:footnoteRef/>
      </w:r>
      <w:r w:rsidRPr="008B5E82">
        <w:t xml:space="preserve"> </w:t>
      </w:r>
      <w:r>
        <w:rPr>
          <w:rFonts w:hint="eastAsia"/>
        </w:rPr>
        <w:tab/>
      </w:r>
      <w:r w:rsidRPr="008B5E82">
        <w:rPr>
          <w:rFonts w:hint="eastAsia"/>
        </w:rPr>
        <w:t>106</w:t>
      </w:r>
      <w:r w:rsidRPr="008B5E82">
        <w:rPr>
          <w:rFonts w:hint="eastAsia"/>
        </w:rPr>
        <w:t>司調</w:t>
      </w:r>
      <w:r w:rsidRPr="008B5E82">
        <w:rPr>
          <w:rFonts w:hint="eastAsia"/>
        </w:rPr>
        <w:t>0008</w:t>
      </w:r>
      <w:r w:rsidRPr="008B5E82">
        <w:rPr>
          <w:rFonts w:hint="eastAsia"/>
        </w:rPr>
        <w:t>，林雅鋒</w:t>
      </w:r>
      <w:r w:rsidRPr="008B5E82">
        <w:rPr>
          <w:rFonts w:hint="eastAsia"/>
          <w:lang w:eastAsia="zh-HK"/>
        </w:rPr>
        <w:t>調查。</w:t>
      </w:r>
    </w:p>
  </w:footnote>
  <w:footnote w:id="76">
    <w:p w:rsidR="00970832" w:rsidRPr="008B5E82" w:rsidRDefault="00970832" w:rsidP="00F010B7">
      <w:pPr>
        <w:pStyle w:val="2---"/>
        <w:adjustRightInd w:val="0"/>
        <w:ind w:left="273" w:hangingChars="130" w:hanging="273"/>
        <w:rPr>
          <w:lang w:eastAsia="zh-HK"/>
        </w:rPr>
      </w:pPr>
      <w:r w:rsidRPr="00D75481">
        <w:rPr>
          <w:rStyle w:val="aff2"/>
          <w:sz w:val="21"/>
          <w:szCs w:val="21"/>
        </w:rPr>
        <w:footnoteRef/>
      </w:r>
      <w:r w:rsidRPr="008B5E82">
        <w:t xml:space="preserve"> </w:t>
      </w:r>
      <w:r>
        <w:rPr>
          <w:rFonts w:hint="eastAsia"/>
        </w:rPr>
        <w:tab/>
      </w:r>
      <w:r w:rsidRPr="008B5E82">
        <w:rPr>
          <w:rFonts w:hint="eastAsia"/>
        </w:rPr>
        <w:t>106</w:t>
      </w:r>
      <w:r w:rsidRPr="008B5E82">
        <w:rPr>
          <w:rFonts w:hint="eastAsia"/>
        </w:rPr>
        <w:t>司調</w:t>
      </w:r>
      <w:r w:rsidRPr="008B5E82">
        <w:rPr>
          <w:rFonts w:hint="eastAsia"/>
        </w:rPr>
        <w:t>0024</w:t>
      </w:r>
      <w:r w:rsidRPr="008B5E82">
        <w:rPr>
          <w:rFonts w:hint="eastAsia"/>
        </w:rPr>
        <w:t>，林雅鋒、江綺雯</w:t>
      </w:r>
      <w:r w:rsidRPr="008B5E82">
        <w:rPr>
          <w:rFonts w:hint="eastAsia"/>
          <w:lang w:eastAsia="zh-HK"/>
        </w:rPr>
        <w:t>調查。</w:t>
      </w:r>
    </w:p>
  </w:footnote>
  <w:footnote w:id="77">
    <w:p w:rsidR="00970832" w:rsidRPr="008B5E82" w:rsidRDefault="00970832" w:rsidP="00F010B7">
      <w:pPr>
        <w:pStyle w:val="2---"/>
        <w:adjustRightInd w:val="0"/>
        <w:ind w:left="273" w:hangingChars="130" w:hanging="273"/>
      </w:pPr>
      <w:r w:rsidRPr="00D75481">
        <w:rPr>
          <w:rStyle w:val="aff2"/>
          <w:sz w:val="21"/>
          <w:szCs w:val="21"/>
        </w:rPr>
        <w:footnoteRef/>
      </w:r>
      <w:r>
        <w:rPr>
          <w:rFonts w:hint="eastAsia"/>
        </w:rPr>
        <w:tab/>
      </w:r>
      <w:r w:rsidRPr="008B5E82">
        <w:rPr>
          <w:rFonts w:hint="eastAsia"/>
        </w:rPr>
        <w:t>106</w:t>
      </w:r>
      <w:r w:rsidRPr="008B5E82">
        <w:rPr>
          <w:rFonts w:hint="eastAsia"/>
        </w:rPr>
        <w:t>司調</w:t>
      </w:r>
      <w:r w:rsidRPr="008B5E82">
        <w:rPr>
          <w:rFonts w:hint="eastAsia"/>
        </w:rPr>
        <w:t>0010</w:t>
      </w:r>
      <w:r w:rsidRPr="008B5E82">
        <w:rPr>
          <w:rFonts w:hint="eastAsia"/>
        </w:rPr>
        <w:t>，方萬富、江明蒼、蔡培村</w:t>
      </w:r>
      <w:r w:rsidRPr="008B5E82">
        <w:rPr>
          <w:rFonts w:hint="eastAsia"/>
          <w:lang w:eastAsia="zh-HK"/>
        </w:rPr>
        <w:t>調查。</w:t>
      </w:r>
    </w:p>
  </w:footnote>
  <w:footnote w:id="78">
    <w:p w:rsidR="00970832" w:rsidRPr="008B5E82" w:rsidRDefault="00970832" w:rsidP="00F010B7">
      <w:pPr>
        <w:pStyle w:val="2---"/>
        <w:adjustRightInd w:val="0"/>
        <w:ind w:left="273" w:hangingChars="130" w:hanging="273"/>
        <w:rPr>
          <w:lang w:eastAsia="zh-HK"/>
        </w:rPr>
      </w:pPr>
      <w:r w:rsidRPr="00D75481">
        <w:rPr>
          <w:rStyle w:val="aff2"/>
          <w:sz w:val="21"/>
          <w:szCs w:val="21"/>
        </w:rPr>
        <w:footnoteRef/>
      </w:r>
      <w:r w:rsidRPr="008B5E82">
        <w:t xml:space="preserve"> </w:t>
      </w:r>
      <w:r>
        <w:rPr>
          <w:rFonts w:hint="eastAsia"/>
        </w:rPr>
        <w:tab/>
      </w:r>
      <w:r w:rsidRPr="008B5E82">
        <w:rPr>
          <w:rFonts w:hint="eastAsia"/>
        </w:rPr>
        <w:t>106</w:t>
      </w:r>
      <w:r w:rsidRPr="008B5E82">
        <w:rPr>
          <w:rFonts w:hint="eastAsia"/>
        </w:rPr>
        <w:t>外調</w:t>
      </w:r>
      <w:r w:rsidRPr="008B5E82">
        <w:rPr>
          <w:rFonts w:hint="eastAsia"/>
        </w:rPr>
        <w:t>0002</w:t>
      </w:r>
      <w:r w:rsidRPr="008B5E82">
        <w:rPr>
          <w:rFonts w:hint="eastAsia"/>
        </w:rPr>
        <w:t>，江綺雯、江明蒼</w:t>
      </w:r>
      <w:r w:rsidRPr="008B5E82">
        <w:rPr>
          <w:rFonts w:hint="eastAsia"/>
          <w:lang w:eastAsia="zh-HK"/>
        </w:rPr>
        <w:t>調查。</w:t>
      </w:r>
    </w:p>
  </w:footnote>
  <w:footnote w:id="79">
    <w:p w:rsidR="00970832" w:rsidRPr="008B5E82" w:rsidRDefault="00970832" w:rsidP="00F010B7">
      <w:pPr>
        <w:pStyle w:val="2---"/>
        <w:adjustRightInd w:val="0"/>
        <w:ind w:left="273" w:hangingChars="130" w:hanging="273"/>
        <w:rPr>
          <w:lang w:eastAsia="zh-HK"/>
        </w:rPr>
      </w:pPr>
      <w:r w:rsidRPr="00D75481">
        <w:rPr>
          <w:rStyle w:val="aff2"/>
          <w:sz w:val="21"/>
          <w:szCs w:val="21"/>
        </w:rPr>
        <w:footnoteRef/>
      </w:r>
      <w:r w:rsidRPr="008B5E82">
        <w:t xml:space="preserve"> </w:t>
      </w:r>
      <w:r>
        <w:rPr>
          <w:rFonts w:hint="eastAsia"/>
        </w:rPr>
        <w:tab/>
      </w:r>
      <w:r w:rsidRPr="008B5E82">
        <w:rPr>
          <w:rFonts w:hint="eastAsia"/>
        </w:rPr>
        <w:t>106</w:t>
      </w:r>
      <w:r w:rsidRPr="008B5E82">
        <w:rPr>
          <w:rFonts w:hint="eastAsia"/>
        </w:rPr>
        <w:t>交調</w:t>
      </w:r>
      <w:r w:rsidRPr="008B5E82">
        <w:rPr>
          <w:rFonts w:hint="eastAsia"/>
        </w:rPr>
        <w:t>0013</w:t>
      </w:r>
      <w:r w:rsidRPr="008B5E82">
        <w:rPr>
          <w:rFonts w:hint="eastAsia"/>
        </w:rPr>
        <w:t>，李月德、江明蒼</w:t>
      </w:r>
      <w:r w:rsidRPr="008B5E82">
        <w:rPr>
          <w:rFonts w:hint="eastAsia"/>
          <w:lang w:eastAsia="zh-HK"/>
        </w:rPr>
        <w:t>調查。</w:t>
      </w:r>
    </w:p>
  </w:footnote>
  <w:footnote w:id="80">
    <w:p w:rsidR="00970832" w:rsidRPr="008B5E82" w:rsidRDefault="00970832" w:rsidP="00F010B7">
      <w:pPr>
        <w:pStyle w:val="2---"/>
        <w:adjustRightInd w:val="0"/>
        <w:ind w:left="273" w:hangingChars="130" w:hanging="273"/>
        <w:rPr>
          <w:lang w:eastAsia="zh-HK"/>
        </w:rPr>
      </w:pPr>
      <w:r w:rsidRPr="00E359EF">
        <w:rPr>
          <w:rStyle w:val="aff2"/>
          <w:sz w:val="21"/>
          <w:szCs w:val="21"/>
        </w:rPr>
        <w:footnoteRef/>
      </w:r>
      <w:r w:rsidRPr="008B5E82">
        <w:t xml:space="preserve"> </w:t>
      </w:r>
      <w:r>
        <w:rPr>
          <w:rFonts w:hint="eastAsia"/>
        </w:rPr>
        <w:tab/>
      </w:r>
      <w:r w:rsidRPr="008B5E82">
        <w:rPr>
          <w:rFonts w:hint="eastAsia"/>
        </w:rPr>
        <w:t>106</w:t>
      </w:r>
      <w:r w:rsidRPr="008B5E82">
        <w:rPr>
          <w:rFonts w:hint="eastAsia"/>
        </w:rPr>
        <w:t>司調</w:t>
      </w:r>
      <w:r w:rsidRPr="008B5E82">
        <w:rPr>
          <w:rFonts w:hint="eastAsia"/>
        </w:rPr>
        <w:t>0020</w:t>
      </w:r>
      <w:r w:rsidRPr="008B5E82">
        <w:rPr>
          <w:rFonts w:hint="eastAsia"/>
        </w:rPr>
        <w:t>，王美玉、仉桂美</w:t>
      </w:r>
      <w:r w:rsidRPr="008B5E82">
        <w:rPr>
          <w:rFonts w:hint="eastAsia"/>
          <w:lang w:eastAsia="zh-HK"/>
        </w:rPr>
        <w:t>調查。</w:t>
      </w:r>
    </w:p>
  </w:footnote>
  <w:footnote w:id="81">
    <w:p w:rsidR="00970832" w:rsidRPr="008B5E82" w:rsidRDefault="00970832" w:rsidP="00F010B7">
      <w:pPr>
        <w:pStyle w:val="2---"/>
        <w:adjustRightInd w:val="0"/>
        <w:ind w:left="273" w:hangingChars="130" w:hanging="273"/>
        <w:rPr>
          <w:rFonts w:ascii="新細明體" w:hAnsi="新細明體"/>
        </w:rPr>
      </w:pPr>
      <w:r w:rsidRPr="00E359EF">
        <w:rPr>
          <w:rStyle w:val="aff2"/>
          <w:sz w:val="21"/>
          <w:szCs w:val="21"/>
        </w:rPr>
        <w:footnoteRef/>
      </w:r>
      <w:r>
        <w:rPr>
          <w:rFonts w:hint="eastAsia"/>
        </w:rPr>
        <w:t xml:space="preserve"> </w:t>
      </w:r>
      <w:r>
        <w:rPr>
          <w:rFonts w:hint="eastAsia"/>
        </w:rPr>
        <w:tab/>
      </w:r>
      <w:r w:rsidRPr="008B5E82">
        <w:rPr>
          <w:rFonts w:hint="eastAsia"/>
        </w:rPr>
        <w:t>106</w:t>
      </w:r>
      <w:r w:rsidRPr="008B5E82">
        <w:rPr>
          <w:rFonts w:hint="eastAsia"/>
        </w:rPr>
        <w:t>國調</w:t>
      </w:r>
      <w:r w:rsidRPr="008B5E82">
        <w:rPr>
          <w:rFonts w:hint="eastAsia"/>
        </w:rPr>
        <w:t>0022</w:t>
      </w:r>
      <w:r w:rsidRPr="008B5E82">
        <w:rPr>
          <w:rFonts w:hint="eastAsia"/>
        </w:rPr>
        <w:t>，高鳳仙、楊美鈴</w:t>
      </w:r>
      <w:r w:rsidRPr="008B5E82">
        <w:rPr>
          <w:rFonts w:hint="eastAsia"/>
          <w:lang w:eastAsia="zh-HK"/>
        </w:rPr>
        <w:t>調查</w:t>
      </w:r>
      <w:r w:rsidRPr="008B5E82">
        <w:rPr>
          <w:rFonts w:hint="eastAsia"/>
        </w:rPr>
        <w:t>。</w:t>
      </w:r>
    </w:p>
  </w:footnote>
  <w:footnote w:id="82">
    <w:p w:rsidR="00970832" w:rsidRPr="008B5E82" w:rsidRDefault="00970832" w:rsidP="00F010B7">
      <w:pPr>
        <w:pStyle w:val="2---"/>
        <w:adjustRightInd w:val="0"/>
        <w:ind w:left="273" w:hangingChars="130" w:hanging="273"/>
        <w:rPr>
          <w:lang w:eastAsia="zh-HK"/>
        </w:rPr>
      </w:pPr>
      <w:r w:rsidRPr="00E359EF">
        <w:rPr>
          <w:rStyle w:val="aff2"/>
          <w:sz w:val="21"/>
          <w:szCs w:val="21"/>
        </w:rPr>
        <w:footnoteRef/>
      </w:r>
      <w:r w:rsidRPr="008B5E82">
        <w:t xml:space="preserve"> </w:t>
      </w:r>
      <w:r>
        <w:rPr>
          <w:rFonts w:hint="eastAsia"/>
        </w:rPr>
        <w:tab/>
      </w:r>
      <w:r w:rsidRPr="008B5E82">
        <w:rPr>
          <w:rFonts w:hint="eastAsia"/>
        </w:rPr>
        <w:t>106</w:t>
      </w:r>
      <w:r w:rsidRPr="008B5E82">
        <w:rPr>
          <w:rFonts w:hint="eastAsia"/>
        </w:rPr>
        <w:t>內調</w:t>
      </w:r>
      <w:r w:rsidRPr="008B5E82">
        <w:rPr>
          <w:rFonts w:hint="eastAsia"/>
        </w:rPr>
        <w:t>0012</w:t>
      </w:r>
      <w:r w:rsidRPr="008B5E82">
        <w:rPr>
          <w:rFonts w:hint="eastAsia"/>
        </w:rPr>
        <w:t>，仉桂美、劉德勳</w:t>
      </w:r>
      <w:r w:rsidRPr="008B5E82">
        <w:rPr>
          <w:rFonts w:hint="eastAsia"/>
          <w:lang w:eastAsia="zh-HK"/>
        </w:rPr>
        <w:t>調查。</w:t>
      </w:r>
    </w:p>
  </w:footnote>
  <w:footnote w:id="83">
    <w:p w:rsidR="00970832" w:rsidRPr="008B5E82" w:rsidRDefault="00970832" w:rsidP="00F010B7">
      <w:pPr>
        <w:pStyle w:val="2---"/>
        <w:adjustRightInd w:val="0"/>
        <w:ind w:left="273" w:hangingChars="130" w:hanging="273"/>
      </w:pPr>
      <w:r w:rsidRPr="00E359EF">
        <w:rPr>
          <w:rStyle w:val="aff2"/>
          <w:sz w:val="21"/>
          <w:szCs w:val="21"/>
        </w:rPr>
        <w:footnoteRef/>
      </w:r>
      <w:r w:rsidRPr="008B5E82">
        <w:rPr>
          <w:rFonts w:hint="eastAsia"/>
        </w:rPr>
        <w:t xml:space="preserve"> </w:t>
      </w:r>
      <w:r>
        <w:rPr>
          <w:rFonts w:hint="eastAsia"/>
        </w:rPr>
        <w:tab/>
      </w:r>
      <w:r w:rsidRPr="008B5E82">
        <w:rPr>
          <w:rFonts w:hint="eastAsia"/>
        </w:rPr>
        <w:t>美國國務院民主、人權暨勞工事務局</w:t>
      </w:r>
      <w:r w:rsidRPr="00977876">
        <w:rPr>
          <w:rFonts w:hint="eastAsia"/>
          <w:spacing w:val="-26"/>
        </w:rPr>
        <w:t>，</w:t>
      </w:r>
      <w:r w:rsidRPr="008B5E82">
        <w:rPr>
          <w:rFonts w:hint="eastAsia"/>
        </w:rPr>
        <w:t>《</w:t>
      </w:r>
      <w:r w:rsidRPr="008B5E82">
        <w:rPr>
          <w:rFonts w:hint="eastAsia"/>
        </w:rPr>
        <w:t>2017</w:t>
      </w:r>
      <w:r w:rsidRPr="008B5E82">
        <w:rPr>
          <w:rFonts w:hint="eastAsia"/>
        </w:rPr>
        <w:t>年度各國人權報告</w:t>
      </w:r>
      <w:r>
        <w:rPr>
          <w:rFonts w:hint="eastAsia"/>
        </w:rPr>
        <w:t>－</w:t>
      </w:r>
      <w:r w:rsidRPr="008B5E82">
        <w:rPr>
          <w:rFonts w:hint="eastAsia"/>
        </w:rPr>
        <w:t>臺灣部分</w:t>
      </w:r>
      <w:r w:rsidRPr="00977876">
        <w:rPr>
          <w:rFonts w:hint="eastAsia"/>
          <w:spacing w:val="-26"/>
        </w:rPr>
        <w:t>》</w:t>
      </w:r>
      <w:r w:rsidRPr="008B5E82">
        <w:rPr>
          <w:rFonts w:hint="eastAsia"/>
        </w:rPr>
        <w:t>，</w:t>
      </w:r>
      <w:r w:rsidRPr="008B5E82">
        <w:rPr>
          <w:rFonts w:hint="eastAsia"/>
        </w:rPr>
        <w:t>2018</w:t>
      </w:r>
      <w:r w:rsidRPr="008B5E82">
        <w:rPr>
          <w:rFonts w:hint="eastAsia"/>
        </w:rPr>
        <w:t>年</w:t>
      </w:r>
      <w:r w:rsidRPr="008B5E82">
        <w:rPr>
          <w:rFonts w:hint="eastAsia"/>
        </w:rPr>
        <w:t>4</w:t>
      </w:r>
      <w:r w:rsidRPr="008B5E82">
        <w:rPr>
          <w:rFonts w:hint="eastAsia"/>
        </w:rPr>
        <w:t>月</w:t>
      </w:r>
      <w:r w:rsidRPr="008B5E82">
        <w:rPr>
          <w:rFonts w:hint="eastAsia"/>
        </w:rPr>
        <w:t>20</w:t>
      </w:r>
      <w:r w:rsidRPr="008B5E82">
        <w:rPr>
          <w:rFonts w:hint="eastAsia"/>
        </w:rPr>
        <w:t>日發表：美國在臺協會網站</w:t>
      </w:r>
      <w:r w:rsidRPr="00196868">
        <w:rPr>
          <w:rFonts w:hint="eastAsia"/>
        </w:rPr>
        <w:t>https://www.ait.org.tw/zhtw/</w:t>
      </w:r>
      <w:r>
        <w:rPr>
          <w:rFonts w:hint="eastAsia"/>
        </w:rPr>
        <w:t xml:space="preserve"> </w:t>
      </w:r>
      <w:r w:rsidRPr="008B5E82">
        <w:rPr>
          <w:rFonts w:hint="eastAsia"/>
        </w:rPr>
        <w:t>2017-human-rights-report-taiwan-part-zh/</w:t>
      </w:r>
      <w:r w:rsidRPr="008B5E82">
        <w:rPr>
          <w:rFonts w:hint="eastAsia"/>
        </w:rPr>
        <w:t>，最後查詢日期：</w:t>
      </w:r>
      <w:r w:rsidRPr="008B5E82">
        <w:rPr>
          <w:rFonts w:hint="eastAsia"/>
        </w:rPr>
        <w:t>107</w:t>
      </w:r>
      <w:r w:rsidRPr="008B5E82">
        <w:rPr>
          <w:rFonts w:hint="eastAsia"/>
        </w:rPr>
        <w:t>年</w:t>
      </w:r>
      <w:r w:rsidRPr="008B5E82">
        <w:rPr>
          <w:rFonts w:hint="eastAsia"/>
        </w:rPr>
        <w:t>9</w:t>
      </w:r>
      <w:r w:rsidRPr="008B5E82">
        <w:rPr>
          <w:rFonts w:hint="eastAsia"/>
        </w:rPr>
        <w:t>月</w:t>
      </w:r>
      <w:r w:rsidRPr="008B5E82">
        <w:rPr>
          <w:rFonts w:hint="eastAsia"/>
        </w:rPr>
        <w:t>27</w:t>
      </w:r>
      <w:r w:rsidRPr="008B5E82">
        <w:rPr>
          <w:rFonts w:hint="eastAsia"/>
        </w:rPr>
        <w:t>日。</w:t>
      </w:r>
    </w:p>
  </w:footnote>
  <w:footnote w:id="84">
    <w:p w:rsidR="00970832" w:rsidRPr="008B5E82" w:rsidRDefault="00970832" w:rsidP="005D3186">
      <w:pPr>
        <w:pStyle w:val="2---"/>
        <w:adjustRightInd w:val="0"/>
        <w:ind w:left="273" w:hangingChars="130" w:hanging="273"/>
      </w:pPr>
      <w:r w:rsidRPr="00E359EF">
        <w:rPr>
          <w:sz w:val="21"/>
          <w:szCs w:val="21"/>
          <w:vertAlign w:val="superscript"/>
        </w:rPr>
        <w:footnoteRef/>
      </w:r>
      <w:r w:rsidRPr="008B5E82">
        <w:rPr>
          <w:rFonts w:hint="eastAsia"/>
        </w:rPr>
        <w:t xml:space="preserve"> </w:t>
      </w:r>
      <w:r>
        <w:rPr>
          <w:rFonts w:hint="eastAsia"/>
        </w:rPr>
        <w:tab/>
      </w:r>
      <w:r w:rsidRPr="005D3186">
        <w:rPr>
          <w:rFonts w:hint="eastAsia"/>
          <w:spacing w:val="-2"/>
        </w:rPr>
        <w:t>徐揮彥</w:t>
      </w:r>
      <w:r w:rsidRPr="005D3186">
        <w:rPr>
          <w:rFonts w:hint="eastAsia"/>
          <w:spacing w:val="-30"/>
        </w:rPr>
        <w:t>，</w:t>
      </w:r>
      <w:r w:rsidRPr="005D3186">
        <w:rPr>
          <w:rFonts w:hint="eastAsia"/>
          <w:spacing w:val="-2"/>
        </w:rPr>
        <w:t>〈經濟社會文化權利國際公約第十一條及第十二條—適當生活水準之</w:t>
      </w:r>
      <w:r w:rsidRPr="008B5E82">
        <w:rPr>
          <w:rFonts w:hint="eastAsia"/>
        </w:rPr>
        <w:t>權利及健康權</w:t>
      </w:r>
      <w:r w:rsidRPr="00977876">
        <w:rPr>
          <w:rFonts w:hint="eastAsia"/>
          <w:spacing w:val="-26"/>
        </w:rPr>
        <w:t>〉，</w:t>
      </w:r>
      <w:r w:rsidRPr="008B5E82">
        <w:rPr>
          <w:rFonts w:hint="eastAsia"/>
        </w:rPr>
        <w:t>《</w:t>
      </w:r>
      <w:r w:rsidRPr="008B5E82">
        <w:rPr>
          <w:rFonts w:hint="eastAsia"/>
        </w:rPr>
        <w:t>201</w:t>
      </w:r>
      <w:r w:rsidRPr="008B5E82">
        <w:t>2</w:t>
      </w:r>
      <w:r w:rsidRPr="008B5E82">
        <w:rPr>
          <w:rFonts w:hint="eastAsia"/>
        </w:rPr>
        <w:t>兩公約學習地圖</w:t>
      </w:r>
      <w:r w:rsidRPr="00977876">
        <w:rPr>
          <w:rFonts w:hint="eastAsia"/>
          <w:spacing w:val="-26"/>
        </w:rPr>
        <w:t>》</w:t>
      </w:r>
      <w:r w:rsidRPr="008B5E82">
        <w:rPr>
          <w:rFonts w:hint="eastAsia"/>
        </w:rPr>
        <w:t>，法務部，</w:t>
      </w:r>
      <w:r w:rsidRPr="008B5E82">
        <w:rPr>
          <w:rFonts w:hint="eastAsia"/>
        </w:rPr>
        <w:t>2012</w:t>
      </w:r>
      <w:r w:rsidRPr="008B5E82">
        <w:rPr>
          <w:rFonts w:hint="eastAsia"/>
        </w:rPr>
        <w:t>年，頁</w:t>
      </w:r>
      <w:r w:rsidRPr="008B5E82">
        <w:rPr>
          <w:rFonts w:hint="eastAsia"/>
        </w:rPr>
        <w:t>130-131</w:t>
      </w:r>
      <w:r w:rsidRPr="008B5E82">
        <w:rPr>
          <w:rFonts w:hint="eastAsia"/>
        </w:rPr>
        <w:t>。</w:t>
      </w:r>
    </w:p>
  </w:footnote>
  <w:footnote w:id="85">
    <w:p w:rsidR="00970832" w:rsidRPr="008B5E82" w:rsidRDefault="00970832" w:rsidP="00F010B7">
      <w:pPr>
        <w:pStyle w:val="2---"/>
        <w:adjustRightInd w:val="0"/>
        <w:ind w:left="273" w:hangingChars="130" w:hanging="273"/>
      </w:pPr>
      <w:r w:rsidRPr="00E359EF">
        <w:rPr>
          <w:rStyle w:val="aff2"/>
          <w:sz w:val="21"/>
          <w:szCs w:val="21"/>
        </w:rPr>
        <w:footnoteRef/>
      </w:r>
      <w:r w:rsidRPr="008B5E82">
        <w:t xml:space="preserve"> </w:t>
      </w:r>
      <w:r>
        <w:rPr>
          <w:rFonts w:hint="eastAsia"/>
        </w:rPr>
        <w:tab/>
      </w:r>
      <w:r w:rsidRPr="008B5E82">
        <w:rPr>
          <w:rFonts w:hint="eastAsia"/>
        </w:rPr>
        <w:t>106</w:t>
      </w:r>
      <w:r w:rsidRPr="008B5E82">
        <w:rPr>
          <w:rFonts w:hint="eastAsia"/>
        </w:rPr>
        <w:t>財調</w:t>
      </w:r>
      <w:r w:rsidRPr="008B5E82">
        <w:rPr>
          <w:rFonts w:hint="eastAsia"/>
        </w:rPr>
        <w:t>0050</w:t>
      </w:r>
      <w:r w:rsidRPr="008B5E82">
        <w:rPr>
          <w:rFonts w:hint="eastAsia"/>
        </w:rPr>
        <w:t>，楊美鈴、章仁香、方萬富、劉德勳、李月德調查。</w:t>
      </w:r>
    </w:p>
  </w:footnote>
  <w:footnote w:id="86">
    <w:p w:rsidR="00970832" w:rsidRPr="008B5E82" w:rsidRDefault="00970832" w:rsidP="00F010B7">
      <w:pPr>
        <w:pStyle w:val="2---"/>
        <w:adjustRightInd w:val="0"/>
        <w:ind w:left="273" w:hangingChars="130" w:hanging="273"/>
      </w:pPr>
      <w:r w:rsidRPr="00E359EF">
        <w:rPr>
          <w:rStyle w:val="aff2"/>
          <w:sz w:val="21"/>
          <w:szCs w:val="21"/>
        </w:rPr>
        <w:footnoteRef/>
      </w:r>
      <w:r w:rsidRPr="008B5E82">
        <w:t xml:space="preserve"> </w:t>
      </w:r>
      <w:r>
        <w:rPr>
          <w:rFonts w:hint="eastAsia"/>
        </w:rPr>
        <w:tab/>
      </w:r>
      <w:r w:rsidRPr="008B5E82">
        <w:rPr>
          <w:rFonts w:hint="eastAsia"/>
        </w:rPr>
        <w:t>106</w:t>
      </w:r>
      <w:r w:rsidRPr="008B5E82">
        <w:rPr>
          <w:rFonts w:hint="eastAsia"/>
        </w:rPr>
        <w:t>財調</w:t>
      </w:r>
      <w:r w:rsidRPr="008B5E82">
        <w:rPr>
          <w:rFonts w:hint="eastAsia"/>
        </w:rPr>
        <w:t>0045</w:t>
      </w:r>
      <w:r w:rsidRPr="008B5E82">
        <w:rPr>
          <w:rFonts w:hint="eastAsia"/>
        </w:rPr>
        <w:t>，仉桂美、王美玉</w:t>
      </w:r>
      <w:r w:rsidRPr="008B5E82">
        <w:rPr>
          <w:rFonts w:hint="eastAsia"/>
          <w:lang w:eastAsia="zh-HK"/>
        </w:rPr>
        <w:t>調查。</w:t>
      </w:r>
    </w:p>
  </w:footnote>
  <w:footnote w:id="87">
    <w:p w:rsidR="00970832" w:rsidRPr="008B5E82" w:rsidRDefault="00970832" w:rsidP="00F010B7">
      <w:pPr>
        <w:pStyle w:val="2---"/>
        <w:adjustRightInd w:val="0"/>
        <w:ind w:left="273" w:hangingChars="130" w:hanging="273"/>
      </w:pPr>
      <w:r w:rsidRPr="00E359EF">
        <w:rPr>
          <w:rStyle w:val="aff2"/>
          <w:sz w:val="21"/>
          <w:szCs w:val="21"/>
        </w:rPr>
        <w:footnoteRef/>
      </w:r>
      <w:r w:rsidRPr="008B5E82">
        <w:t xml:space="preserve"> </w:t>
      </w:r>
      <w:r>
        <w:rPr>
          <w:rFonts w:hint="eastAsia"/>
        </w:rPr>
        <w:tab/>
      </w:r>
      <w:r w:rsidRPr="008B5E82">
        <w:rPr>
          <w:rFonts w:hint="eastAsia"/>
        </w:rPr>
        <w:t>106</w:t>
      </w:r>
      <w:r w:rsidRPr="008B5E82">
        <w:rPr>
          <w:rFonts w:hint="eastAsia"/>
        </w:rPr>
        <w:t>內調</w:t>
      </w:r>
      <w:r w:rsidRPr="008B5E82">
        <w:rPr>
          <w:rFonts w:hint="eastAsia"/>
        </w:rPr>
        <w:t>0060</w:t>
      </w:r>
      <w:r w:rsidRPr="008B5E82">
        <w:rPr>
          <w:rFonts w:hint="eastAsia"/>
        </w:rPr>
        <w:t>，楊美鈴、尹祚芊</w:t>
      </w:r>
      <w:r w:rsidRPr="008B5E82">
        <w:rPr>
          <w:rFonts w:hint="eastAsia"/>
          <w:lang w:eastAsia="zh-HK"/>
        </w:rPr>
        <w:t>調查。</w:t>
      </w:r>
    </w:p>
  </w:footnote>
  <w:footnote w:id="88">
    <w:p w:rsidR="00970832" w:rsidRPr="008B5E82" w:rsidRDefault="00970832" w:rsidP="00F010B7">
      <w:pPr>
        <w:pStyle w:val="2---"/>
        <w:adjustRightInd w:val="0"/>
        <w:ind w:left="273" w:hangingChars="130" w:hanging="273"/>
        <w:rPr>
          <w:lang w:eastAsia="zh-HK"/>
        </w:rPr>
      </w:pPr>
      <w:r w:rsidRPr="00E359EF">
        <w:rPr>
          <w:rStyle w:val="aff2"/>
          <w:sz w:val="21"/>
          <w:szCs w:val="21"/>
        </w:rPr>
        <w:footnoteRef/>
      </w:r>
      <w:r w:rsidRPr="008B5E82">
        <w:t xml:space="preserve"> </w:t>
      </w:r>
      <w:r>
        <w:rPr>
          <w:rFonts w:hint="eastAsia"/>
        </w:rPr>
        <w:tab/>
      </w:r>
      <w:r w:rsidRPr="008B5E82">
        <w:rPr>
          <w:rFonts w:hint="eastAsia"/>
        </w:rPr>
        <w:t>106</w:t>
      </w:r>
      <w:r w:rsidRPr="008B5E82">
        <w:rPr>
          <w:rFonts w:hint="eastAsia"/>
        </w:rPr>
        <w:t>內調</w:t>
      </w:r>
      <w:r w:rsidRPr="008B5E82">
        <w:rPr>
          <w:rFonts w:hint="eastAsia"/>
        </w:rPr>
        <w:t>0050</w:t>
      </w:r>
      <w:r w:rsidRPr="008B5E82">
        <w:rPr>
          <w:rFonts w:hint="eastAsia"/>
        </w:rPr>
        <w:t>，尹祚芊、楊美鈴</w:t>
      </w:r>
      <w:r w:rsidRPr="008B5E82">
        <w:rPr>
          <w:rFonts w:hint="eastAsia"/>
          <w:lang w:eastAsia="zh-HK"/>
        </w:rPr>
        <w:t>調查。</w:t>
      </w:r>
    </w:p>
  </w:footnote>
  <w:footnote w:id="89">
    <w:p w:rsidR="00970832" w:rsidRPr="008B5E82" w:rsidRDefault="00970832" w:rsidP="00F010B7">
      <w:pPr>
        <w:pStyle w:val="2---"/>
        <w:adjustRightInd w:val="0"/>
        <w:ind w:left="273" w:hangingChars="130" w:hanging="273"/>
      </w:pPr>
      <w:r w:rsidRPr="00E359EF">
        <w:rPr>
          <w:rStyle w:val="aff2"/>
          <w:sz w:val="21"/>
          <w:szCs w:val="21"/>
        </w:rPr>
        <w:footnoteRef/>
      </w:r>
      <w:r w:rsidRPr="008B5E82">
        <w:t xml:space="preserve"> </w:t>
      </w:r>
      <w:r>
        <w:rPr>
          <w:rFonts w:hint="eastAsia"/>
        </w:rPr>
        <w:tab/>
      </w:r>
      <w:r w:rsidRPr="008B5E82">
        <w:rPr>
          <w:rFonts w:hint="eastAsia"/>
        </w:rPr>
        <w:t>106</w:t>
      </w:r>
      <w:r w:rsidRPr="008B5E82">
        <w:rPr>
          <w:rFonts w:hint="eastAsia"/>
        </w:rPr>
        <w:t>內調</w:t>
      </w:r>
      <w:r w:rsidRPr="008B5E82">
        <w:rPr>
          <w:rFonts w:hint="eastAsia"/>
        </w:rPr>
        <w:t>0022</w:t>
      </w:r>
      <w:r w:rsidRPr="008B5E82">
        <w:rPr>
          <w:rFonts w:hint="eastAsia"/>
        </w:rPr>
        <w:t>，江綺雯</w:t>
      </w:r>
      <w:r w:rsidRPr="008B5E82">
        <w:rPr>
          <w:rFonts w:hint="eastAsia"/>
          <w:lang w:eastAsia="zh-HK"/>
        </w:rPr>
        <w:t>調查。</w:t>
      </w:r>
    </w:p>
  </w:footnote>
  <w:footnote w:id="90">
    <w:p w:rsidR="00970832" w:rsidRPr="008B5E82" w:rsidRDefault="00970832" w:rsidP="00F010B7">
      <w:pPr>
        <w:pStyle w:val="2---"/>
        <w:adjustRightInd w:val="0"/>
        <w:ind w:left="273" w:hangingChars="130" w:hanging="273"/>
      </w:pPr>
      <w:r w:rsidRPr="00E359EF">
        <w:rPr>
          <w:rStyle w:val="aff2"/>
          <w:sz w:val="21"/>
          <w:szCs w:val="21"/>
        </w:rPr>
        <w:footnoteRef/>
      </w:r>
      <w:r w:rsidRPr="008B5E82">
        <w:t xml:space="preserve"> </w:t>
      </w:r>
      <w:r>
        <w:rPr>
          <w:rFonts w:hint="eastAsia"/>
        </w:rPr>
        <w:tab/>
      </w:r>
      <w:r w:rsidRPr="008B5E82">
        <w:rPr>
          <w:rFonts w:hint="eastAsia"/>
        </w:rPr>
        <w:t>106</w:t>
      </w:r>
      <w:r w:rsidRPr="008B5E82">
        <w:rPr>
          <w:rFonts w:hint="eastAsia"/>
        </w:rPr>
        <w:t>教調</w:t>
      </w:r>
      <w:r w:rsidRPr="008B5E82">
        <w:rPr>
          <w:rFonts w:hint="eastAsia"/>
        </w:rPr>
        <w:t>0001</w:t>
      </w:r>
      <w:r w:rsidRPr="008B5E82">
        <w:rPr>
          <w:rFonts w:hint="eastAsia"/>
        </w:rPr>
        <w:t>，孫大川、尹祚芊、林雅鋒</w:t>
      </w:r>
      <w:r w:rsidRPr="008B5E82">
        <w:rPr>
          <w:rFonts w:hint="eastAsia"/>
          <w:lang w:eastAsia="zh-HK"/>
        </w:rPr>
        <w:t>調查。</w:t>
      </w:r>
    </w:p>
  </w:footnote>
  <w:footnote w:id="91">
    <w:p w:rsidR="00970832" w:rsidRPr="008B5E82" w:rsidRDefault="00970832" w:rsidP="00F010B7">
      <w:pPr>
        <w:pStyle w:val="2---"/>
        <w:adjustRightInd w:val="0"/>
        <w:ind w:left="273" w:hangingChars="130" w:hanging="273"/>
        <w:rPr>
          <w:lang w:eastAsia="zh-HK"/>
        </w:rPr>
      </w:pPr>
      <w:r w:rsidRPr="00E359EF">
        <w:rPr>
          <w:rStyle w:val="aff2"/>
          <w:sz w:val="21"/>
          <w:szCs w:val="21"/>
        </w:rPr>
        <w:footnoteRef/>
      </w:r>
      <w:r w:rsidRPr="008B5E82">
        <w:t xml:space="preserve"> </w:t>
      </w:r>
      <w:r>
        <w:rPr>
          <w:rFonts w:hint="eastAsia"/>
        </w:rPr>
        <w:tab/>
      </w:r>
      <w:r w:rsidRPr="008B5E82">
        <w:rPr>
          <w:rFonts w:hint="eastAsia"/>
        </w:rPr>
        <w:t>106</w:t>
      </w:r>
      <w:r w:rsidRPr="008B5E82">
        <w:rPr>
          <w:rFonts w:hint="eastAsia"/>
        </w:rPr>
        <w:t>內調</w:t>
      </w:r>
      <w:r w:rsidRPr="008B5E82">
        <w:rPr>
          <w:rFonts w:hint="eastAsia"/>
        </w:rPr>
        <w:t>0070</w:t>
      </w:r>
      <w:r w:rsidRPr="008B5E82">
        <w:rPr>
          <w:rFonts w:hint="eastAsia"/>
        </w:rPr>
        <w:t>，尹祚芊、王美玉</w:t>
      </w:r>
      <w:r w:rsidRPr="008B5E82">
        <w:rPr>
          <w:rFonts w:hint="eastAsia"/>
          <w:lang w:eastAsia="zh-HK"/>
        </w:rPr>
        <w:t>調查。</w:t>
      </w:r>
    </w:p>
  </w:footnote>
  <w:footnote w:id="92">
    <w:p w:rsidR="00970832" w:rsidRPr="008B5E82" w:rsidRDefault="00970832" w:rsidP="00F010B7">
      <w:pPr>
        <w:pStyle w:val="2---"/>
        <w:adjustRightInd w:val="0"/>
        <w:ind w:left="273" w:hangingChars="130" w:hanging="273"/>
        <w:rPr>
          <w:lang w:eastAsia="zh-HK"/>
        </w:rPr>
      </w:pPr>
      <w:r w:rsidRPr="00E359EF">
        <w:rPr>
          <w:rStyle w:val="aff2"/>
          <w:sz w:val="21"/>
          <w:szCs w:val="21"/>
        </w:rPr>
        <w:footnoteRef/>
      </w:r>
      <w:r w:rsidRPr="008B5E82">
        <w:t xml:space="preserve"> </w:t>
      </w:r>
      <w:r>
        <w:rPr>
          <w:rFonts w:hint="eastAsia"/>
        </w:rPr>
        <w:tab/>
      </w:r>
      <w:r w:rsidRPr="008B5E82">
        <w:rPr>
          <w:rFonts w:hint="eastAsia"/>
        </w:rPr>
        <w:t>106</w:t>
      </w:r>
      <w:r w:rsidRPr="008B5E82">
        <w:rPr>
          <w:rFonts w:hint="eastAsia"/>
        </w:rPr>
        <w:t>內調</w:t>
      </w:r>
      <w:r w:rsidRPr="008B5E82">
        <w:rPr>
          <w:rFonts w:hint="eastAsia"/>
        </w:rPr>
        <w:t>0004</w:t>
      </w:r>
      <w:r w:rsidRPr="008B5E82">
        <w:rPr>
          <w:rFonts w:hint="eastAsia"/>
        </w:rPr>
        <w:t>，王美玉、章仁香</w:t>
      </w:r>
      <w:r w:rsidRPr="008B5E82">
        <w:rPr>
          <w:rFonts w:hint="eastAsia"/>
          <w:lang w:eastAsia="zh-HK"/>
        </w:rPr>
        <w:t>調查。</w:t>
      </w:r>
    </w:p>
  </w:footnote>
  <w:footnote w:id="93">
    <w:p w:rsidR="00970832" w:rsidRPr="008B5E82" w:rsidRDefault="00970832" w:rsidP="00F010B7">
      <w:pPr>
        <w:pStyle w:val="2---"/>
        <w:adjustRightInd w:val="0"/>
        <w:ind w:left="273" w:hangingChars="130" w:hanging="273"/>
        <w:rPr>
          <w:lang w:eastAsia="zh-HK"/>
        </w:rPr>
      </w:pPr>
      <w:r w:rsidRPr="00E359EF">
        <w:rPr>
          <w:rStyle w:val="aff2"/>
          <w:sz w:val="21"/>
          <w:szCs w:val="21"/>
        </w:rPr>
        <w:footnoteRef/>
      </w:r>
      <w:r w:rsidRPr="008B5E82">
        <w:t xml:space="preserve"> </w:t>
      </w:r>
      <w:r>
        <w:rPr>
          <w:rFonts w:hint="eastAsia"/>
        </w:rPr>
        <w:tab/>
      </w:r>
      <w:r w:rsidRPr="008B5E82">
        <w:rPr>
          <w:rFonts w:hint="eastAsia"/>
        </w:rPr>
        <w:t>106</w:t>
      </w:r>
      <w:r w:rsidRPr="008B5E82">
        <w:rPr>
          <w:rFonts w:hint="eastAsia"/>
        </w:rPr>
        <w:t>內調</w:t>
      </w:r>
      <w:r w:rsidRPr="008B5E82">
        <w:rPr>
          <w:rFonts w:hint="eastAsia"/>
        </w:rPr>
        <w:t>0049</w:t>
      </w:r>
      <w:r w:rsidRPr="008B5E82">
        <w:rPr>
          <w:rFonts w:hint="eastAsia"/>
        </w:rPr>
        <w:t>，江綺雯、林雅鋒</w:t>
      </w:r>
      <w:r w:rsidRPr="008B5E82">
        <w:rPr>
          <w:rFonts w:hint="eastAsia"/>
          <w:lang w:eastAsia="zh-HK"/>
        </w:rPr>
        <w:t>調查。</w:t>
      </w:r>
    </w:p>
  </w:footnote>
  <w:footnote w:id="94">
    <w:p w:rsidR="00970832" w:rsidRPr="008B5E82" w:rsidRDefault="00970832" w:rsidP="00F010B7">
      <w:pPr>
        <w:pStyle w:val="2---"/>
        <w:adjustRightInd w:val="0"/>
        <w:ind w:left="273" w:hangingChars="130" w:hanging="273"/>
        <w:rPr>
          <w:lang w:eastAsia="zh-HK"/>
        </w:rPr>
      </w:pPr>
      <w:r w:rsidRPr="00E359EF">
        <w:rPr>
          <w:rStyle w:val="aff2"/>
          <w:sz w:val="21"/>
          <w:szCs w:val="21"/>
        </w:rPr>
        <w:footnoteRef/>
      </w:r>
      <w:r w:rsidRPr="008B5E82">
        <w:t xml:space="preserve"> </w:t>
      </w:r>
      <w:r>
        <w:rPr>
          <w:rFonts w:hint="eastAsia"/>
        </w:rPr>
        <w:tab/>
      </w:r>
      <w:r w:rsidRPr="008B5E82">
        <w:rPr>
          <w:rFonts w:hint="eastAsia"/>
        </w:rPr>
        <w:t>106</w:t>
      </w:r>
      <w:r w:rsidRPr="008B5E82">
        <w:rPr>
          <w:rFonts w:hint="eastAsia"/>
        </w:rPr>
        <w:t>國調</w:t>
      </w:r>
      <w:r w:rsidRPr="008B5E82">
        <w:rPr>
          <w:rFonts w:hint="eastAsia"/>
        </w:rPr>
        <w:t>0012</w:t>
      </w:r>
      <w:r w:rsidRPr="008B5E82">
        <w:rPr>
          <w:rFonts w:hint="eastAsia"/>
        </w:rPr>
        <w:t>，江綺雯、江明蒼</w:t>
      </w:r>
      <w:r w:rsidRPr="008B5E82">
        <w:rPr>
          <w:rFonts w:hint="eastAsia"/>
          <w:lang w:eastAsia="zh-HK"/>
        </w:rPr>
        <w:t>調查。</w:t>
      </w:r>
    </w:p>
  </w:footnote>
  <w:footnote w:id="95">
    <w:p w:rsidR="00970832" w:rsidRPr="00AE6C22" w:rsidRDefault="00970832" w:rsidP="00F010B7">
      <w:pPr>
        <w:pStyle w:val="2---"/>
        <w:adjustRightInd w:val="0"/>
        <w:ind w:left="273" w:hangingChars="130" w:hanging="273"/>
      </w:pPr>
      <w:r w:rsidRPr="00E359EF">
        <w:rPr>
          <w:rStyle w:val="aff2"/>
          <w:sz w:val="21"/>
          <w:szCs w:val="21"/>
        </w:rPr>
        <w:footnoteRef/>
      </w:r>
      <w:r>
        <w:t xml:space="preserve"> </w:t>
      </w:r>
      <w:r>
        <w:rPr>
          <w:rFonts w:hint="eastAsia"/>
        </w:rPr>
        <w:tab/>
      </w:r>
      <w:r w:rsidRPr="00AE6C22">
        <w:rPr>
          <w:rFonts w:hint="eastAsia"/>
        </w:rPr>
        <w:t>本章</w:t>
      </w:r>
      <w:r>
        <w:rPr>
          <w:rFonts w:hint="eastAsia"/>
          <w:lang w:eastAsia="zh-HK"/>
        </w:rPr>
        <w:t>所稱</w:t>
      </w:r>
      <w:r w:rsidRPr="00AE6C22">
        <w:rPr>
          <w:rFonts w:hint="eastAsia"/>
        </w:rPr>
        <w:t>工作權</w:t>
      </w:r>
      <w:r>
        <w:rPr>
          <w:rFonts w:hint="eastAsia"/>
        </w:rPr>
        <w:t>，</w:t>
      </w:r>
      <w:r>
        <w:rPr>
          <w:rFonts w:hint="eastAsia"/>
          <w:lang w:eastAsia="zh-HK"/>
        </w:rPr>
        <w:t>係配合國際公約之翻譯名稱，然其內涵實已包含勞動基本權利，如工作權</w:t>
      </w:r>
      <w:r>
        <w:rPr>
          <w:rFonts w:hint="eastAsia"/>
        </w:rPr>
        <w:t>、</w:t>
      </w:r>
      <w:r>
        <w:rPr>
          <w:rFonts w:hint="eastAsia"/>
          <w:lang w:eastAsia="zh-HK"/>
        </w:rPr>
        <w:t>團結權及協商權</w:t>
      </w:r>
      <w:r>
        <w:rPr>
          <w:rFonts w:hint="eastAsia"/>
        </w:rPr>
        <w:t>，</w:t>
      </w:r>
      <w:r>
        <w:rPr>
          <w:rFonts w:hint="eastAsia"/>
          <w:lang w:eastAsia="zh-HK"/>
        </w:rPr>
        <w:t>屬廣義勞動權之概念。</w:t>
      </w:r>
    </w:p>
  </w:footnote>
  <w:footnote w:id="96">
    <w:p w:rsidR="00970832" w:rsidRPr="008B5E82" w:rsidRDefault="00970832" w:rsidP="00E251DB">
      <w:pPr>
        <w:pStyle w:val="2---"/>
        <w:adjustRightInd w:val="0"/>
        <w:ind w:left="273" w:hangingChars="130" w:hanging="273"/>
        <w:jc w:val="distribute"/>
      </w:pPr>
      <w:r w:rsidRPr="00E359EF">
        <w:rPr>
          <w:sz w:val="21"/>
          <w:szCs w:val="21"/>
          <w:vertAlign w:val="superscript"/>
        </w:rPr>
        <w:footnoteRef/>
      </w:r>
      <w:r w:rsidRPr="008B5E82">
        <w:rPr>
          <w:rFonts w:hint="eastAsia"/>
        </w:rPr>
        <w:t xml:space="preserve"> </w:t>
      </w:r>
      <w:r>
        <w:rPr>
          <w:rFonts w:hint="eastAsia"/>
        </w:rPr>
        <w:tab/>
      </w:r>
      <w:r w:rsidRPr="008B5E82">
        <w:rPr>
          <w:rFonts w:hint="eastAsia"/>
        </w:rPr>
        <w:t>法治</w:t>
      </w:r>
      <w:r w:rsidRPr="00E251DB">
        <w:rPr>
          <w:rFonts w:hint="eastAsia"/>
          <w:spacing w:val="-10"/>
        </w:rPr>
        <w:t>斌、</w:t>
      </w:r>
      <w:r w:rsidRPr="008B5E82">
        <w:rPr>
          <w:rFonts w:hint="eastAsia"/>
        </w:rPr>
        <w:t>董保</w:t>
      </w:r>
      <w:r w:rsidRPr="00E251DB">
        <w:rPr>
          <w:rFonts w:hint="eastAsia"/>
          <w:spacing w:val="-10"/>
        </w:rPr>
        <w:t>城</w:t>
      </w:r>
      <w:r w:rsidRPr="00977876">
        <w:rPr>
          <w:rFonts w:hint="eastAsia"/>
          <w:spacing w:val="-26"/>
        </w:rPr>
        <w:t>，</w:t>
      </w:r>
      <w:r w:rsidRPr="008B5E82">
        <w:rPr>
          <w:rFonts w:hint="eastAsia"/>
        </w:rPr>
        <w:t>《憲法新論</w:t>
      </w:r>
      <w:r w:rsidRPr="00977876">
        <w:rPr>
          <w:rFonts w:hint="eastAsia"/>
          <w:spacing w:val="-26"/>
        </w:rPr>
        <w:t>》</w:t>
      </w:r>
      <w:r w:rsidRPr="008B5E82">
        <w:rPr>
          <w:rFonts w:hint="eastAsia"/>
        </w:rPr>
        <w:t>，</w:t>
      </w:r>
      <w:r w:rsidRPr="00E251DB">
        <w:rPr>
          <w:rFonts w:hint="eastAsia"/>
          <w:spacing w:val="-4"/>
        </w:rPr>
        <w:t>臺北：元照出版公</w:t>
      </w:r>
      <w:r w:rsidRPr="00E251DB">
        <w:rPr>
          <w:rFonts w:hint="eastAsia"/>
          <w:spacing w:val="-10"/>
        </w:rPr>
        <w:t>司</w:t>
      </w:r>
      <w:r w:rsidRPr="00E251DB">
        <w:rPr>
          <w:rFonts w:hint="eastAsia"/>
          <w:spacing w:val="-4"/>
        </w:rPr>
        <w:t>，</w:t>
      </w:r>
      <w:r w:rsidRPr="00E251DB">
        <w:rPr>
          <w:rFonts w:hint="eastAsia"/>
          <w:spacing w:val="-4"/>
        </w:rPr>
        <w:t>2006</w:t>
      </w:r>
      <w:r w:rsidRPr="00E251DB">
        <w:rPr>
          <w:rFonts w:hint="eastAsia"/>
          <w:spacing w:val="-10"/>
        </w:rPr>
        <w:t>年，</w:t>
      </w:r>
      <w:r w:rsidRPr="00E251DB">
        <w:rPr>
          <w:rFonts w:hint="eastAsia"/>
          <w:spacing w:val="-4"/>
        </w:rPr>
        <w:t>頁</w:t>
      </w:r>
      <w:r w:rsidRPr="00E251DB">
        <w:rPr>
          <w:rFonts w:hint="eastAsia"/>
          <w:spacing w:val="-4"/>
        </w:rPr>
        <w:t>253-25</w:t>
      </w:r>
      <w:r w:rsidRPr="00E251DB">
        <w:rPr>
          <w:rFonts w:hint="eastAsia"/>
          <w:spacing w:val="-10"/>
        </w:rPr>
        <w:t>4</w:t>
      </w:r>
      <w:r w:rsidRPr="00E251DB">
        <w:rPr>
          <w:rFonts w:hint="eastAsia"/>
          <w:spacing w:val="-4"/>
        </w:rPr>
        <w:t>。</w:t>
      </w:r>
    </w:p>
  </w:footnote>
  <w:footnote w:id="97">
    <w:p w:rsidR="00970832" w:rsidRPr="008B5E82" w:rsidRDefault="00970832" w:rsidP="00F010B7">
      <w:pPr>
        <w:pStyle w:val="2---"/>
        <w:adjustRightInd w:val="0"/>
        <w:ind w:left="294" w:hangingChars="140" w:hanging="294"/>
      </w:pPr>
      <w:r w:rsidRPr="00E359EF">
        <w:rPr>
          <w:sz w:val="21"/>
          <w:szCs w:val="21"/>
          <w:vertAlign w:val="superscript"/>
        </w:rPr>
        <w:footnoteRef/>
      </w:r>
      <w:r w:rsidRPr="008B5E82">
        <w:rPr>
          <w:rFonts w:hint="eastAsia"/>
        </w:rPr>
        <w:t xml:space="preserve"> </w:t>
      </w:r>
      <w:r>
        <w:rPr>
          <w:rFonts w:hint="eastAsia"/>
        </w:rPr>
        <w:tab/>
      </w:r>
      <w:r w:rsidRPr="008B5E82">
        <w:rPr>
          <w:rFonts w:hint="eastAsia"/>
        </w:rPr>
        <w:t>許志雄</w:t>
      </w:r>
      <w:r w:rsidRPr="00977876">
        <w:rPr>
          <w:rFonts w:hint="eastAsia"/>
          <w:spacing w:val="-26"/>
        </w:rPr>
        <w:t>，</w:t>
      </w:r>
      <w:r w:rsidRPr="008B5E82">
        <w:rPr>
          <w:rFonts w:hint="eastAsia"/>
        </w:rPr>
        <w:t>《人權論－現代與近代的交會</w:t>
      </w:r>
      <w:r w:rsidRPr="00977876">
        <w:rPr>
          <w:rFonts w:hint="eastAsia"/>
          <w:spacing w:val="-26"/>
        </w:rPr>
        <w:t>》</w:t>
      </w:r>
      <w:r w:rsidRPr="008B5E82">
        <w:rPr>
          <w:rFonts w:hint="eastAsia"/>
        </w:rPr>
        <w:t>，臺北市：元照出版公司，</w:t>
      </w:r>
      <w:r w:rsidRPr="008B5E82">
        <w:rPr>
          <w:rFonts w:hint="eastAsia"/>
        </w:rPr>
        <w:t>2016</w:t>
      </w:r>
      <w:r w:rsidRPr="008B5E82">
        <w:rPr>
          <w:rFonts w:hint="eastAsia"/>
        </w:rPr>
        <w:t>年，頁</w:t>
      </w:r>
      <w:r w:rsidRPr="008B5E82">
        <w:rPr>
          <w:rFonts w:hint="eastAsia"/>
        </w:rPr>
        <w:t>335-339</w:t>
      </w:r>
      <w:r w:rsidRPr="008B5E82">
        <w:rPr>
          <w:rFonts w:hint="eastAsia"/>
        </w:rPr>
        <w:t>。</w:t>
      </w:r>
    </w:p>
  </w:footnote>
  <w:footnote w:id="98">
    <w:p w:rsidR="00970832" w:rsidRPr="008B5E82" w:rsidRDefault="00970832" w:rsidP="00F010B7">
      <w:pPr>
        <w:pStyle w:val="2---"/>
        <w:adjustRightInd w:val="0"/>
        <w:ind w:left="294" w:hangingChars="140" w:hanging="294"/>
      </w:pPr>
      <w:r w:rsidRPr="00E359EF">
        <w:rPr>
          <w:sz w:val="21"/>
          <w:szCs w:val="21"/>
          <w:vertAlign w:val="superscript"/>
        </w:rPr>
        <w:footnoteRef/>
      </w:r>
      <w:r>
        <w:rPr>
          <w:rFonts w:hint="eastAsia"/>
        </w:rPr>
        <w:tab/>
      </w:r>
      <w:r w:rsidRPr="008B5E82">
        <w:rPr>
          <w:rFonts w:hint="eastAsia"/>
        </w:rPr>
        <w:t>許志雄</w:t>
      </w:r>
      <w:r w:rsidRPr="00977876">
        <w:rPr>
          <w:rFonts w:hint="eastAsia"/>
          <w:spacing w:val="-26"/>
        </w:rPr>
        <w:t>，</w:t>
      </w:r>
      <w:r w:rsidRPr="008B5E82">
        <w:rPr>
          <w:rFonts w:hint="eastAsia"/>
        </w:rPr>
        <w:t>《人權論－現代與近代的交會</w:t>
      </w:r>
      <w:r w:rsidRPr="00977876">
        <w:rPr>
          <w:rFonts w:hint="eastAsia"/>
          <w:spacing w:val="-26"/>
        </w:rPr>
        <w:t>》</w:t>
      </w:r>
      <w:r w:rsidRPr="008B5E82">
        <w:rPr>
          <w:rFonts w:hint="eastAsia"/>
        </w:rPr>
        <w:t>，臺北市：元照出版公司，</w:t>
      </w:r>
      <w:r w:rsidRPr="008B5E82">
        <w:rPr>
          <w:rFonts w:hint="eastAsia"/>
        </w:rPr>
        <w:t>2016</w:t>
      </w:r>
      <w:r w:rsidRPr="008B5E82">
        <w:rPr>
          <w:rFonts w:hint="eastAsia"/>
        </w:rPr>
        <w:t>年，頁</w:t>
      </w:r>
      <w:r w:rsidRPr="008B5E82">
        <w:rPr>
          <w:rFonts w:hint="eastAsia"/>
        </w:rPr>
        <w:t>134</w:t>
      </w:r>
      <w:r w:rsidRPr="008B5E82">
        <w:rPr>
          <w:rFonts w:hint="eastAsia"/>
        </w:rPr>
        <w:t>。</w:t>
      </w:r>
    </w:p>
  </w:footnote>
  <w:footnote w:id="99">
    <w:p w:rsidR="00970832" w:rsidRPr="008B5E82" w:rsidRDefault="00970832" w:rsidP="00F010B7">
      <w:pPr>
        <w:pStyle w:val="2---"/>
        <w:adjustRightInd w:val="0"/>
        <w:ind w:left="294" w:hangingChars="140" w:hanging="294"/>
      </w:pPr>
      <w:r w:rsidRPr="00E359EF">
        <w:rPr>
          <w:sz w:val="21"/>
          <w:szCs w:val="21"/>
          <w:vertAlign w:val="superscript"/>
        </w:rPr>
        <w:footnoteRef/>
      </w:r>
      <w:r>
        <w:rPr>
          <w:rFonts w:hint="eastAsia"/>
          <w:vertAlign w:val="superscript"/>
        </w:rPr>
        <w:tab/>
      </w:r>
      <w:r w:rsidRPr="008B5E82">
        <w:rPr>
          <w:rFonts w:hint="eastAsia"/>
        </w:rPr>
        <w:t>參司法院釋字第</w:t>
      </w:r>
      <w:r w:rsidRPr="008B5E82">
        <w:rPr>
          <w:rFonts w:hint="eastAsia"/>
        </w:rPr>
        <w:t>404</w:t>
      </w:r>
      <w:r w:rsidRPr="008B5E82">
        <w:rPr>
          <w:rFonts w:hint="eastAsia"/>
        </w:rPr>
        <w:t>、</w:t>
      </w:r>
      <w:r w:rsidRPr="008B5E82">
        <w:rPr>
          <w:rFonts w:hint="eastAsia"/>
        </w:rPr>
        <w:t>510</w:t>
      </w:r>
      <w:r w:rsidRPr="008B5E82">
        <w:rPr>
          <w:rFonts w:hint="eastAsia"/>
        </w:rPr>
        <w:t>、</w:t>
      </w:r>
      <w:r w:rsidRPr="008B5E82">
        <w:rPr>
          <w:rFonts w:hint="eastAsia"/>
        </w:rPr>
        <w:t>584</w:t>
      </w:r>
      <w:r w:rsidRPr="008B5E82">
        <w:rPr>
          <w:rFonts w:hint="eastAsia"/>
        </w:rPr>
        <w:t>、</w:t>
      </w:r>
      <w:r w:rsidRPr="008B5E82">
        <w:rPr>
          <w:rFonts w:hint="eastAsia"/>
        </w:rPr>
        <w:t>612</w:t>
      </w:r>
      <w:r w:rsidRPr="008B5E82">
        <w:rPr>
          <w:rFonts w:hint="eastAsia"/>
        </w:rPr>
        <w:t>、</w:t>
      </w:r>
      <w:r w:rsidRPr="008B5E82">
        <w:rPr>
          <w:rFonts w:hint="eastAsia"/>
        </w:rPr>
        <w:t>634</w:t>
      </w:r>
      <w:r w:rsidRPr="008B5E82">
        <w:rPr>
          <w:rFonts w:hint="eastAsia"/>
        </w:rPr>
        <w:t>、</w:t>
      </w:r>
      <w:r w:rsidRPr="008B5E82">
        <w:rPr>
          <w:rFonts w:hint="eastAsia"/>
        </w:rPr>
        <w:t>637</w:t>
      </w:r>
      <w:r w:rsidRPr="008B5E82">
        <w:rPr>
          <w:rFonts w:hint="eastAsia"/>
        </w:rPr>
        <w:t>、</w:t>
      </w:r>
      <w:r w:rsidRPr="008B5E82">
        <w:rPr>
          <w:rFonts w:hint="eastAsia"/>
        </w:rPr>
        <w:t>649</w:t>
      </w:r>
      <w:r w:rsidRPr="008B5E82">
        <w:rPr>
          <w:rFonts w:hint="eastAsia"/>
        </w:rPr>
        <w:t>、</w:t>
      </w:r>
      <w:r w:rsidRPr="008B5E82">
        <w:rPr>
          <w:rFonts w:hint="eastAsia"/>
        </w:rPr>
        <w:t>726</w:t>
      </w:r>
      <w:r w:rsidRPr="008B5E82">
        <w:rPr>
          <w:rFonts w:hint="eastAsia"/>
        </w:rPr>
        <w:t>等號解釋。</w:t>
      </w:r>
    </w:p>
  </w:footnote>
  <w:footnote w:id="100">
    <w:p w:rsidR="00970832" w:rsidRPr="008B5E82" w:rsidRDefault="00970832" w:rsidP="00F010B7">
      <w:pPr>
        <w:pStyle w:val="2---"/>
        <w:ind w:left="315" w:hangingChars="150" w:hanging="315"/>
      </w:pPr>
      <w:r w:rsidRPr="00E359EF">
        <w:rPr>
          <w:sz w:val="21"/>
          <w:szCs w:val="21"/>
          <w:vertAlign w:val="superscript"/>
        </w:rPr>
        <w:footnoteRef/>
      </w:r>
      <w:r w:rsidRPr="008B5E82">
        <w:rPr>
          <w:rFonts w:hint="eastAsia"/>
        </w:rPr>
        <w:t xml:space="preserve"> </w:t>
      </w:r>
      <w:r w:rsidRPr="008B5E82">
        <w:rPr>
          <w:rFonts w:hint="eastAsia"/>
        </w:rPr>
        <w:t>法務部</w:t>
      </w:r>
      <w:r w:rsidRPr="00977876">
        <w:rPr>
          <w:rFonts w:hint="eastAsia"/>
          <w:spacing w:val="-26"/>
        </w:rPr>
        <w:t>，</w:t>
      </w:r>
      <w:r w:rsidRPr="008B5E82">
        <w:rPr>
          <w:rFonts w:hint="eastAsia"/>
        </w:rPr>
        <w:t>《人權大步走－落實兩公約種子培訓營總論講義</w:t>
      </w:r>
      <w:r w:rsidRPr="00977876">
        <w:rPr>
          <w:rFonts w:hint="eastAsia"/>
          <w:spacing w:val="-26"/>
        </w:rPr>
        <w:t>》</w:t>
      </w:r>
      <w:r w:rsidRPr="008B5E82">
        <w:rPr>
          <w:rFonts w:hint="eastAsia"/>
        </w:rPr>
        <w:t>，臺北：法務部，</w:t>
      </w:r>
      <w:r w:rsidRPr="008B5E82">
        <w:rPr>
          <w:rFonts w:hint="eastAsia"/>
        </w:rPr>
        <w:t>2009</w:t>
      </w:r>
      <w:r w:rsidRPr="008B5E82">
        <w:rPr>
          <w:rFonts w:hint="eastAsia"/>
        </w:rPr>
        <w:t>年，頁</w:t>
      </w:r>
      <w:r w:rsidRPr="008B5E82">
        <w:rPr>
          <w:rFonts w:hint="eastAsia"/>
        </w:rPr>
        <w:t>105-106</w:t>
      </w:r>
      <w:r w:rsidRPr="008B5E82">
        <w:rPr>
          <w:rFonts w:hint="eastAsia"/>
        </w:rPr>
        <w:t>。</w:t>
      </w:r>
    </w:p>
  </w:footnote>
  <w:footnote w:id="101">
    <w:p w:rsidR="00970832" w:rsidRPr="008B5E82" w:rsidRDefault="00970832" w:rsidP="00F010B7">
      <w:pPr>
        <w:pStyle w:val="2---"/>
        <w:ind w:left="315" w:hangingChars="150" w:hanging="315"/>
      </w:pPr>
      <w:r w:rsidRPr="00E359EF">
        <w:rPr>
          <w:sz w:val="21"/>
          <w:szCs w:val="21"/>
          <w:vertAlign w:val="superscript"/>
        </w:rPr>
        <w:footnoteRef/>
      </w:r>
      <w:r w:rsidRPr="008B5E82">
        <w:rPr>
          <w:rFonts w:hint="eastAsia"/>
        </w:rPr>
        <w:t xml:space="preserve"> </w:t>
      </w:r>
      <w:r w:rsidRPr="008B5E82">
        <w:rPr>
          <w:rFonts w:hint="eastAsia"/>
        </w:rPr>
        <w:t>許育典</w:t>
      </w:r>
      <w:r w:rsidRPr="00977876">
        <w:rPr>
          <w:rFonts w:hint="eastAsia"/>
          <w:spacing w:val="-26"/>
        </w:rPr>
        <w:t>，</w:t>
      </w:r>
      <w:r w:rsidRPr="008B5E82">
        <w:rPr>
          <w:rFonts w:hint="eastAsia"/>
        </w:rPr>
        <w:t>《人權、民主與法治－當人民遇到憲法</w:t>
      </w:r>
      <w:r w:rsidRPr="00977876">
        <w:rPr>
          <w:rFonts w:hint="eastAsia"/>
          <w:spacing w:val="-26"/>
        </w:rPr>
        <w:t>》</w:t>
      </w:r>
      <w:r w:rsidRPr="008B5E82">
        <w:rPr>
          <w:rFonts w:hint="eastAsia"/>
        </w:rPr>
        <w:t>，臺北：元照出版公司，</w:t>
      </w:r>
      <w:r w:rsidRPr="008B5E82">
        <w:rPr>
          <w:rFonts w:hint="eastAsia"/>
        </w:rPr>
        <w:t>2011</w:t>
      </w:r>
      <w:r w:rsidRPr="008B5E82">
        <w:rPr>
          <w:rFonts w:hint="eastAsia"/>
        </w:rPr>
        <w:t>年，頁</w:t>
      </w:r>
      <w:r w:rsidRPr="008B5E82">
        <w:rPr>
          <w:rFonts w:hint="eastAsia"/>
        </w:rPr>
        <w:t>133-134</w:t>
      </w:r>
      <w:r w:rsidRPr="008B5E82">
        <w:rPr>
          <w:rFonts w:hint="eastAsia"/>
        </w:rPr>
        <w:t>。</w:t>
      </w:r>
    </w:p>
  </w:footnote>
  <w:footnote w:id="102">
    <w:p w:rsidR="00970832" w:rsidRPr="008B5E82" w:rsidRDefault="00970832" w:rsidP="00E359EF">
      <w:pPr>
        <w:pStyle w:val="2---"/>
        <w:ind w:left="149" w:hanging="149"/>
        <w:rPr>
          <w:lang w:eastAsia="zh-HK"/>
        </w:rPr>
      </w:pPr>
      <w:r w:rsidRPr="00E359EF">
        <w:rPr>
          <w:rStyle w:val="aff2"/>
          <w:sz w:val="21"/>
          <w:szCs w:val="21"/>
        </w:rPr>
        <w:footnoteRef/>
      </w:r>
      <w:r w:rsidRPr="008B5E82">
        <w:t xml:space="preserve"> </w:t>
      </w:r>
      <w:r w:rsidRPr="008B5E82">
        <w:rPr>
          <w:rFonts w:hint="eastAsia"/>
        </w:rPr>
        <w:t>106</w:t>
      </w:r>
      <w:r w:rsidRPr="008B5E82">
        <w:rPr>
          <w:rFonts w:hint="eastAsia"/>
        </w:rPr>
        <w:t>財調</w:t>
      </w:r>
      <w:r w:rsidRPr="008B5E82">
        <w:rPr>
          <w:rFonts w:hint="eastAsia"/>
        </w:rPr>
        <w:t>0012</w:t>
      </w:r>
      <w:r w:rsidRPr="008B5E82">
        <w:rPr>
          <w:rFonts w:hint="eastAsia"/>
        </w:rPr>
        <w:t>，王美玉、李月德</w:t>
      </w:r>
      <w:r w:rsidRPr="008B5E82">
        <w:rPr>
          <w:rFonts w:hint="eastAsia"/>
          <w:lang w:eastAsia="zh-HK"/>
        </w:rPr>
        <w:t>調查。</w:t>
      </w:r>
    </w:p>
  </w:footnote>
  <w:footnote w:id="103">
    <w:p w:rsidR="00970832" w:rsidRPr="008B5E82" w:rsidRDefault="00970832" w:rsidP="00E359EF">
      <w:pPr>
        <w:pStyle w:val="2---"/>
        <w:ind w:left="149" w:hanging="149"/>
        <w:rPr>
          <w:lang w:eastAsia="zh-HK"/>
        </w:rPr>
      </w:pPr>
      <w:r w:rsidRPr="00E359EF">
        <w:rPr>
          <w:rStyle w:val="aff2"/>
          <w:sz w:val="21"/>
          <w:szCs w:val="21"/>
        </w:rPr>
        <w:footnoteRef/>
      </w:r>
      <w:r w:rsidRPr="008B5E82">
        <w:t xml:space="preserve"> </w:t>
      </w:r>
      <w:r w:rsidRPr="008B5E82">
        <w:rPr>
          <w:rFonts w:hint="eastAsia"/>
        </w:rPr>
        <w:t>106</w:t>
      </w:r>
      <w:r w:rsidRPr="008B5E82">
        <w:rPr>
          <w:rFonts w:hint="eastAsia"/>
        </w:rPr>
        <w:t>司調</w:t>
      </w:r>
      <w:r w:rsidRPr="008B5E82">
        <w:rPr>
          <w:rFonts w:hint="eastAsia"/>
        </w:rPr>
        <w:t>0023</w:t>
      </w:r>
      <w:r w:rsidRPr="008B5E82">
        <w:rPr>
          <w:rFonts w:hint="eastAsia"/>
        </w:rPr>
        <w:t>，仉桂美、王美玉</w:t>
      </w:r>
      <w:r w:rsidRPr="008B5E82">
        <w:rPr>
          <w:rFonts w:hint="eastAsia"/>
          <w:lang w:eastAsia="zh-HK"/>
        </w:rPr>
        <w:t>調查。</w:t>
      </w:r>
    </w:p>
  </w:footnote>
  <w:footnote w:id="104">
    <w:p w:rsidR="00970832" w:rsidRPr="008B5E82" w:rsidRDefault="00970832" w:rsidP="00E359EF">
      <w:pPr>
        <w:pStyle w:val="2---"/>
        <w:ind w:left="149" w:hanging="149"/>
        <w:rPr>
          <w:lang w:eastAsia="zh-HK"/>
        </w:rPr>
      </w:pPr>
      <w:r w:rsidRPr="00E359EF">
        <w:rPr>
          <w:rStyle w:val="aff2"/>
          <w:sz w:val="21"/>
          <w:szCs w:val="21"/>
        </w:rPr>
        <w:footnoteRef/>
      </w:r>
      <w:r w:rsidRPr="008B5E82">
        <w:t xml:space="preserve"> </w:t>
      </w:r>
      <w:r w:rsidRPr="008B5E82">
        <w:rPr>
          <w:rFonts w:hint="eastAsia"/>
        </w:rPr>
        <w:t>106</w:t>
      </w:r>
      <w:r w:rsidRPr="008B5E82">
        <w:rPr>
          <w:rFonts w:hint="eastAsia"/>
        </w:rPr>
        <w:t>財調</w:t>
      </w:r>
      <w:r w:rsidRPr="008B5E82">
        <w:rPr>
          <w:rFonts w:hint="eastAsia"/>
        </w:rPr>
        <w:t>0046</w:t>
      </w:r>
      <w:r w:rsidRPr="008B5E82">
        <w:rPr>
          <w:rFonts w:hint="eastAsia"/>
        </w:rPr>
        <w:t>，江綺雯、尹祚芊</w:t>
      </w:r>
      <w:r w:rsidRPr="008B5E82">
        <w:rPr>
          <w:rFonts w:hint="eastAsia"/>
          <w:lang w:eastAsia="zh-HK"/>
        </w:rPr>
        <w:t>調查。</w:t>
      </w:r>
    </w:p>
  </w:footnote>
  <w:footnote w:id="105">
    <w:p w:rsidR="00970832" w:rsidRPr="008B5E82" w:rsidRDefault="00970832" w:rsidP="00E359EF">
      <w:pPr>
        <w:pStyle w:val="2---"/>
        <w:ind w:left="149" w:hanging="149"/>
        <w:rPr>
          <w:lang w:eastAsia="zh-HK"/>
        </w:rPr>
      </w:pPr>
      <w:r w:rsidRPr="00E359EF">
        <w:rPr>
          <w:rStyle w:val="aff2"/>
          <w:sz w:val="21"/>
          <w:szCs w:val="21"/>
        </w:rPr>
        <w:footnoteRef/>
      </w:r>
      <w:r w:rsidRPr="008B5E82">
        <w:t xml:space="preserve"> </w:t>
      </w:r>
      <w:r w:rsidRPr="008B5E82">
        <w:rPr>
          <w:rFonts w:hint="eastAsia"/>
        </w:rPr>
        <w:t>106</w:t>
      </w:r>
      <w:r w:rsidRPr="008B5E82">
        <w:rPr>
          <w:rFonts w:hint="eastAsia"/>
        </w:rPr>
        <w:t>國調</w:t>
      </w:r>
      <w:r w:rsidRPr="008B5E82">
        <w:rPr>
          <w:rFonts w:hint="eastAsia"/>
        </w:rPr>
        <w:t>0024</w:t>
      </w:r>
      <w:r w:rsidRPr="008B5E82">
        <w:rPr>
          <w:rFonts w:hint="eastAsia"/>
        </w:rPr>
        <w:t>，陳小紅、江綺雯、章仁香</w:t>
      </w:r>
      <w:r w:rsidRPr="008B5E82">
        <w:rPr>
          <w:rFonts w:hint="eastAsia"/>
          <w:lang w:eastAsia="zh-HK"/>
        </w:rPr>
        <w:t>調查。</w:t>
      </w:r>
    </w:p>
  </w:footnote>
  <w:footnote w:id="106">
    <w:p w:rsidR="00970832" w:rsidRPr="008B5E82" w:rsidRDefault="00970832" w:rsidP="00E359EF">
      <w:pPr>
        <w:pStyle w:val="2---"/>
        <w:ind w:left="149" w:hanging="149"/>
        <w:rPr>
          <w:lang w:eastAsia="zh-HK"/>
        </w:rPr>
      </w:pPr>
      <w:r w:rsidRPr="00E359EF">
        <w:rPr>
          <w:rStyle w:val="aff2"/>
          <w:sz w:val="21"/>
          <w:szCs w:val="21"/>
        </w:rPr>
        <w:footnoteRef/>
      </w:r>
      <w:r w:rsidRPr="008B5E82">
        <w:t xml:space="preserve"> </w:t>
      </w:r>
      <w:r w:rsidRPr="008B5E82">
        <w:rPr>
          <w:rFonts w:hint="eastAsia"/>
        </w:rPr>
        <w:t>106</w:t>
      </w:r>
      <w:r w:rsidRPr="008B5E82">
        <w:rPr>
          <w:rFonts w:hint="eastAsia"/>
        </w:rPr>
        <w:t>交調</w:t>
      </w:r>
      <w:r w:rsidRPr="008B5E82">
        <w:rPr>
          <w:rFonts w:hint="eastAsia"/>
        </w:rPr>
        <w:t>0014</w:t>
      </w:r>
      <w:r w:rsidRPr="008B5E82">
        <w:rPr>
          <w:rFonts w:hint="eastAsia"/>
        </w:rPr>
        <w:t>，陳慶財、方萬富、章仁香</w:t>
      </w:r>
      <w:r w:rsidRPr="008B5E82">
        <w:rPr>
          <w:rFonts w:hint="eastAsia"/>
          <w:lang w:eastAsia="zh-HK"/>
        </w:rPr>
        <w:t>調查。</w:t>
      </w:r>
    </w:p>
  </w:footnote>
  <w:footnote w:id="107">
    <w:p w:rsidR="00970832" w:rsidRPr="008B5E82" w:rsidRDefault="00970832" w:rsidP="00E359EF">
      <w:pPr>
        <w:pStyle w:val="2---"/>
        <w:ind w:left="149" w:hanging="149"/>
      </w:pPr>
      <w:r w:rsidRPr="00E359EF">
        <w:rPr>
          <w:rStyle w:val="aff2"/>
          <w:sz w:val="21"/>
          <w:szCs w:val="21"/>
        </w:rPr>
        <w:footnoteRef/>
      </w:r>
      <w:r w:rsidRPr="008B5E82">
        <w:t xml:space="preserve"> </w:t>
      </w:r>
      <w:r w:rsidRPr="008B5E82">
        <w:rPr>
          <w:rFonts w:hint="eastAsia"/>
        </w:rPr>
        <w:t>106</w:t>
      </w:r>
      <w:r w:rsidRPr="008B5E82">
        <w:rPr>
          <w:rFonts w:hint="eastAsia"/>
        </w:rPr>
        <w:t>教調</w:t>
      </w:r>
      <w:r w:rsidRPr="008B5E82">
        <w:rPr>
          <w:rFonts w:hint="eastAsia"/>
        </w:rPr>
        <w:t>0040</w:t>
      </w:r>
      <w:r w:rsidRPr="008B5E82">
        <w:rPr>
          <w:rFonts w:hint="eastAsia"/>
        </w:rPr>
        <w:t>，仉桂美</w:t>
      </w:r>
      <w:r w:rsidRPr="008B5E82">
        <w:rPr>
          <w:rFonts w:hint="eastAsia"/>
          <w:lang w:eastAsia="zh-HK"/>
        </w:rPr>
        <w:t>調查。</w:t>
      </w:r>
    </w:p>
  </w:footnote>
  <w:footnote w:id="108">
    <w:p w:rsidR="00970832" w:rsidRPr="008B5E82" w:rsidRDefault="00970832" w:rsidP="004A16AF">
      <w:pPr>
        <w:pStyle w:val="2---"/>
        <w:ind w:left="149" w:hanging="149"/>
      </w:pPr>
      <w:r w:rsidRPr="004A16AF">
        <w:rPr>
          <w:rStyle w:val="aff2"/>
          <w:sz w:val="21"/>
          <w:szCs w:val="21"/>
        </w:rPr>
        <w:footnoteRef/>
      </w:r>
      <w:r w:rsidRPr="008B5E82">
        <w:t xml:space="preserve"> </w:t>
      </w:r>
      <w:r w:rsidRPr="008B5E82">
        <w:rPr>
          <w:rFonts w:hint="eastAsia"/>
        </w:rPr>
        <w:t>106</w:t>
      </w:r>
      <w:r w:rsidRPr="008B5E82">
        <w:rPr>
          <w:rFonts w:hint="eastAsia"/>
        </w:rPr>
        <w:t>教調</w:t>
      </w:r>
      <w:r w:rsidRPr="008B5E82">
        <w:rPr>
          <w:rFonts w:hint="eastAsia"/>
        </w:rPr>
        <w:t>0045</w:t>
      </w:r>
      <w:r w:rsidRPr="008B5E82">
        <w:rPr>
          <w:rFonts w:hint="eastAsia"/>
        </w:rPr>
        <w:t>，包宗和、蔡培村、楊美鈴、王美玉、仉桂美</w:t>
      </w:r>
      <w:r w:rsidRPr="008B5E82">
        <w:rPr>
          <w:rFonts w:hint="eastAsia"/>
          <w:lang w:eastAsia="zh-HK"/>
        </w:rPr>
        <w:t>調查。</w:t>
      </w:r>
    </w:p>
  </w:footnote>
  <w:footnote w:id="109">
    <w:p w:rsidR="00970832" w:rsidRPr="008B5E82" w:rsidRDefault="00970832" w:rsidP="004A16AF">
      <w:pPr>
        <w:pStyle w:val="2---"/>
        <w:ind w:left="149" w:hanging="149"/>
      </w:pPr>
      <w:r w:rsidRPr="004A16AF">
        <w:rPr>
          <w:rStyle w:val="aff2"/>
          <w:sz w:val="21"/>
          <w:szCs w:val="21"/>
        </w:rPr>
        <w:footnoteRef/>
      </w:r>
      <w:r w:rsidRPr="008B5E82">
        <w:t xml:space="preserve"> </w:t>
      </w:r>
      <w:r w:rsidRPr="008B5E82">
        <w:rPr>
          <w:rFonts w:hint="eastAsia"/>
        </w:rPr>
        <w:t>106</w:t>
      </w:r>
      <w:r w:rsidRPr="008B5E82">
        <w:rPr>
          <w:rFonts w:hint="eastAsia"/>
        </w:rPr>
        <w:t>司調</w:t>
      </w:r>
      <w:r w:rsidRPr="008B5E82">
        <w:rPr>
          <w:rFonts w:hint="eastAsia"/>
        </w:rPr>
        <w:t>0031</w:t>
      </w:r>
      <w:r w:rsidRPr="008B5E82">
        <w:rPr>
          <w:rFonts w:hint="eastAsia"/>
        </w:rPr>
        <w:t>，林雅鋒</w:t>
      </w:r>
      <w:r w:rsidRPr="008B5E82">
        <w:rPr>
          <w:rFonts w:hint="eastAsia"/>
          <w:lang w:eastAsia="zh-HK"/>
        </w:rPr>
        <w:t>調查。</w:t>
      </w:r>
    </w:p>
  </w:footnote>
  <w:footnote w:id="110">
    <w:p w:rsidR="00970832" w:rsidRPr="004C3AE4" w:rsidRDefault="00970832" w:rsidP="00F010B7">
      <w:pPr>
        <w:pStyle w:val="2---"/>
        <w:ind w:left="315" w:hangingChars="150" w:hanging="315"/>
      </w:pPr>
      <w:r w:rsidRPr="004A16AF">
        <w:rPr>
          <w:rStyle w:val="aff2"/>
          <w:sz w:val="21"/>
          <w:szCs w:val="21"/>
        </w:rPr>
        <w:footnoteRef/>
      </w:r>
      <w:r>
        <w:rPr>
          <w:rFonts w:hint="eastAsia"/>
        </w:rPr>
        <w:t xml:space="preserve"> </w:t>
      </w:r>
      <w:r w:rsidRPr="004C3AE4">
        <w:rPr>
          <w:rFonts w:hint="eastAsia"/>
        </w:rPr>
        <w:t>約翰</w:t>
      </w:r>
      <w:r>
        <w:rPr>
          <w:rFonts w:ascii="新細明體" w:hAnsi="新細明體" w:hint="eastAsia"/>
        </w:rPr>
        <w:t>˙</w:t>
      </w:r>
      <w:r w:rsidRPr="004C3AE4">
        <w:rPr>
          <w:rFonts w:hint="eastAsia"/>
        </w:rPr>
        <w:t>洛克（</w:t>
      </w:r>
      <w:r w:rsidRPr="004C3AE4">
        <w:rPr>
          <w:rFonts w:hint="eastAsia"/>
        </w:rPr>
        <w:t>John Locke</w:t>
      </w:r>
      <w:r w:rsidRPr="00860E1D">
        <w:rPr>
          <w:rFonts w:hint="eastAsia"/>
          <w:spacing w:val="-26"/>
        </w:rPr>
        <w:t>），</w:t>
      </w:r>
      <w:r w:rsidRPr="004C3AE4">
        <w:rPr>
          <w:rFonts w:hint="eastAsia"/>
        </w:rPr>
        <w:t>《政府論</w:t>
      </w:r>
      <w:r w:rsidRPr="00860E1D">
        <w:rPr>
          <w:rFonts w:hint="eastAsia"/>
          <w:spacing w:val="-26"/>
        </w:rPr>
        <w:t>》</w:t>
      </w:r>
      <w:r w:rsidRPr="004C3AE4">
        <w:rPr>
          <w:rFonts w:hint="eastAsia"/>
        </w:rPr>
        <w:t>（</w:t>
      </w:r>
      <w:r w:rsidRPr="004C3AE4">
        <w:rPr>
          <w:rFonts w:hint="eastAsia"/>
        </w:rPr>
        <w:t>Two Treatises of Government</w:t>
      </w:r>
      <w:r w:rsidRPr="00860E1D">
        <w:rPr>
          <w:rFonts w:hint="eastAsia"/>
          <w:spacing w:val="-26"/>
        </w:rPr>
        <w:t>）</w:t>
      </w:r>
      <w:r w:rsidRPr="004C3AE4">
        <w:rPr>
          <w:rFonts w:hint="eastAsia"/>
        </w:rPr>
        <w:t>，</w:t>
      </w:r>
      <w:r w:rsidRPr="004C3AE4">
        <w:rPr>
          <w:rFonts w:hint="eastAsia"/>
        </w:rPr>
        <w:t>1689</w:t>
      </w:r>
      <w:r w:rsidRPr="004C3AE4">
        <w:rPr>
          <w:rFonts w:hint="eastAsia"/>
        </w:rPr>
        <w:t>年。</w:t>
      </w:r>
    </w:p>
  </w:footnote>
  <w:footnote w:id="111">
    <w:p w:rsidR="00970832" w:rsidRPr="008B5E82" w:rsidRDefault="00970832" w:rsidP="00F010B7">
      <w:pPr>
        <w:pStyle w:val="2---"/>
        <w:ind w:left="315" w:hangingChars="150" w:hanging="315"/>
      </w:pPr>
      <w:r w:rsidRPr="004A16AF">
        <w:rPr>
          <w:sz w:val="21"/>
          <w:szCs w:val="21"/>
          <w:vertAlign w:val="superscript"/>
        </w:rPr>
        <w:footnoteRef/>
      </w:r>
      <w:r w:rsidRPr="008B5E82">
        <w:rPr>
          <w:rFonts w:hint="eastAsia"/>
          <w:vertAlign w:val="superscript"/>
        </w:rPr>
        <w:t xml:space="preserve"> </w:t>
      </w:r>
      <w:r w:rsidRPr="008B5E82">
        <w:rPr>
          <w:rFonts w:hint="eastAsia"/>
        </w:rPr>
        <w:t>楊松齡</w:t>
      </w:r>
      <w:r w:rsidRPr="00860E1D">
        <w:rPr>
          <w:rFonts w:hint="eastAsia"/>
          <w:spacing w:val="-26"/>
        </w:rPr>
        <w:t>，</w:t>
      </w:r>
      <w:r w:rsidRPr="008B5E82">
        <w:rPr>
          <w:rFonts w:hint="eastAsia"/>
        </w:rPr>
        <w:t>《現行土地制度有關財產權保障之研究</w:t>
      </w:r>
      <w:r>
        <w:rPr>
          <w:rFonts w:hint="eastAsia"/>
        </w:rPr>
        <w:t>－</w:t>
      </w:r>
      <w:r w:rsidRPr="008B5E82">
        <w:rPr>
          <w:rFonts w:hint="eastAsia"/>
        </w:rPr>
        <w:t>公用徵收補償之分析</w:t>
      </w:r>
      <w:r w:rsidRPr="00860E1D">
        <w:rPr>
          <w:rFonts w:hint="eastAsia"/>
          <w:spacing w:val="-26"/>
        </w:rPr>
        <w:t>》</w:t>
      </w:r>
      <w:r w:rsidRPr="008B5E82">
        <w:rPr>
          <w:rFonts w:hint="eastAsia"/>
        </w:rPr>
        <w:t>，大日出版社，</w:t>
      </w:r>
      <w:r w:rsidRPr="008B5E82">
        <w:rPr>
          <w:rFonts w:hint="eastAsia"/>
        </w:rPr>
        <w:t>1996</w:t>
      </w:r>
      <w:r w:rsidRPr="008B5E82">
        <w:rPr>
          <w:rFonts w:hint="eastAsia"/>
        </w:rPr>
        <w:t>年。</w:t>
      </w:r>
    </w:p>
  </w:footnote>
  <w:footnote w:id="112">
    <w:p w:rsidR="00970832" w:rsidRPr="008B5E82" w:rsidRDefault="00970832" w:rsidP="00F010B7">
      <w:pPr>
        <w:pStyle w:val="2---"/>
        <w:ind w:left="315" w:hangingChars="150" w:hanging="315"/>
      </w:pPr>
      <w:r w:rsidRPr="004A16AF">
        <w:rPr>
          <w:sz w:val="21"/>
          <w:szCs w:val="21"/>
          <w:vertAlign w:val="superscript"/>
        </w:rPr>
        <w:footnoteRef/>
      </w:r>
      <w:r w:rsidRPr="008B5E82">
        <w:rPr>
          <w:rFonts w:hint="eastAsia"/>
        </w:rPr>
        <w:t xml:space="preserve"> </w:t>
      </w:r>
      <w:r w:rsidRPr="008B5E82">
        <w:rPr>
          <w:rFonts w:hint="eastAsia"/>
        </w:rPr>
        <w:t>李建良</w:t>
      </w:r>
      <w:r w:rsidRPr="00860E1D">
        <w:rPr>
          <w:rFonts w:hint="eastAsia"/>
          <w:spacing w:val="-26"/>
        </w:rPr>
        <w:t>，</w:t>
      </w:r>
      <w:r w:rsidRPr="008B5E82">
        <w:rPr>
          <w:rFonts w:hint="eastAsia"/>
        </w:rPr>
        <w:t>〈損失補償</w:t>
      </w:r>
      <w:r w:rsidRPr="00860E1D">
        <w:rPr>
          <w:rFonts w:hint="eastAsia"/>
          <w:spacing w:val="-26"/>
        </w:rPr>
        <w:t>〉</w:t>
      </w:r>
      <w:r w:rsidRPr="008B5E82">
        <w:rPr>
          <w:rFonts w:hint="eastAsia"/>
        </w:rPr>
        <w:t>，收錄於翁岳生編《行政法</w:t>
      </w:r>
      <w:r w:rsidRPr="008B5E82">
        <w:rPr>
          <w:rFonts w:hint="eastAsia"/>
        </w:rPr>
        <w:t>2000</w:t>
      </w:r>
      <w:r w:rsidRPr="00860E1D">
        <w:rPr>
          <w:rFonts w:hint="eastAsia"/>
          <w:spacing w:val="-26"/>
        </w:rPr>
        <w:t>》</w:t>
      </w:r>
      <w:r w:rsidRPr="008B5E82">
        <w:rPr>
          <w:rFonts w:hint="eastAsia"/>
        </w:rPr>
        <w:t>，漢蘆圖書出版有限公司，</w:t>
      </w:r>
      <w:r w:rsidRPr="008B5E82">
        <w:rPr>
          <w:rFonts w:hint="eastAsia"/>
        </w:rPr>
        <w:t>2000</w:t>
      </w:r>
      <w:r w:rsidRPr="008B5E82">
        <w:rPr>
          <w:rFonts w:hint="eastAsia"/>
        </w:rPr>
        <w:t>年。</w:t>
      </w:r>
    </w:p>
  </w:footnote>
  <w:footnote w:id="113">
    <w:p w:rsidR="00970832" w:rsidRPr="008B5E82" w:rsidRDefault="00970832" w:rsidP="004A16AF">
      <w:pPr>
        <w:pStyle w:val="2---"/>
        <w:ind w:left="149" w:hanging="149"/>
      </w:pPr>
      <w:r w:rsidRPr="004A16AF">
        <w:rPr>
          <w:rStyle w:val="aff2"/>
          <w:sz w:val="21"/>
          <w:szCs w:val="21"/>
        </w:rPr>
        <w:footnoteRef/>
      </w:r>
      <w:r w:rsidRPr="008B5E82">
        <w:t xml:space="preserve"> </w:t>
      </w:r>
      <w:r w:rsidRPr="008B5E82">
        <w:rPr>
          <w:rFonts w:hint="eastAsia"/>
        </w:rPr>
        <w:t>106</w:t>
      </w:r>
      <w:r w:rsidRPr="008B5E82">
        <w:rPr>
          <w:rFonts w:hint="eastAsia"/>
        </w:rPr>
        <w:t>司調</w:t>
      </w:r>
      <w:r w:rsidRPr="008B5E82">
        <w:rPr>
          <w:rFonts w:hint="eastAsia"/>
        </w:rPr>
        <w:t>0019</w:t>
      </w:r>
      <w:r w:rsidRPr="008B5E82">
        <w:rPr>
          <w:rFonts w:hint="eastAsia"/>
        </w:rPr>
        <w:t>，方萬富、包宗和、陳慶財、仉桂美、林雅鋒</w:t>
      </w:r>
      <w:r w:rsidRPr="008B5E82">
        <w:rPr>
          <w:rFonts w:hint="eastAsia"/>
          <w:lang w:eastAsia="zh-HK"/>
        </w:rPr>
        <w:t>調查。</w:t>
      </w:r>
    </w:p>
  </w:footnote>
  <w:footnote w:id="114">
    <w:p w:rsidR="00970832" w:rsidRPr="008B5E82" w:rsidRDefault="00970832" w:rsidP="004A16AF">
      <w:pPr>
        <w:pStyle w:val="2---"/>
        <w:ind w:left="149" w:hanging="149"/>
      </w:pPr>
      <w:r w:rsidRPr="004A16AF">
        <w:rPr>
          <w:rStyle w:val="aff2"/>
          <w:sz w:val="21"/>
          <w:szCs w:val="21"/>
        </w:rPr>
        <w:footnoteRef/>
      </w:r>
      <w:r w:rsidRPr="008B5E82">
        <w:t xml:space="preserve"> </w:t>
      </w:r>
      <w:r w:rsidRPr="008B5E82">
        <w:rPr>
          <w:rFonts w:hint="eastAsia"/>
        </w:rPr>
        <w:t>106</w:t>
      </w:r>
      <w:r w:rsidRPr="008B5E82">
        <w:rPr>
          <w:rFonts w:hint="eastAsia"/>
        </w:rPr>
        <w:t>財調</w:t>
      </w:r>
      <w:r w:rsidRPr="008B5E82">
        <w:rPr>
          <w:rFonts w:hint="eastAsia"/>
        </w:rPr>
        <w:t>0026</w:t>
      </w:r>
      <w:r w:rsidRPr="008B5E82">
        <w:rPr>
          <w:rFonts w:hint="eastAsia"/>
        </w:rPr>
        <w:t>，方萬富、陳慶財、楊美鈴</w:t>
      </w:r>
      <w:r w:rsidRPr="008B5E82">
        <w:rPr>
          <w:rFonts w:hint="eastAsia"/>
          <w:lang w:eastAsia="zh-HK"/>
        </w:rPr>
        <w:t>調查。</w:t>
      </w:r>
    </w:p>
  </w:footnote>
  <w:footnote w:id="115">
    <w:p w:rsidR="00970832" w:rsidRPr="008B5E82" w:rsidRDefault="00970832" w:rsidP="004A16AF">
      <w:pPr>
        <w:pStyle w:val="2---"/>
        <w:ind w:left="149" w:hanging="149"/>
        <w:rPr>
          <w:lang w:eastAsia="zh-HK"/>
        </w:rPr>
      </w:pPr>
      <w:r w:rsidRPr="004A16AF">
        <w:rPr>
          <w:rStyle w:val="aff2"/>
          <w:sz w:val="21"/>
          <w:szCs w:val="21"/>
        </w:rPr>
        <w:footnoteRef/>
      </w:r>
      <w:r w:rsidRPr="008B5E82">
        <w:t xml:space="preserve"> </w:t>
      </w:r>
      <w:r w:rsidRPr="008B5E82">
        <w:rPr>
          <w:rFonts w:hint="eastAsia"/>
        </w:rPr>
        <w:t>106</w:t>
      </w:r>
      <w:r w:rsidRPr="008B5E82">
        <w:rPr>
          <w:rFonts w:hint="eastAsia"/>
        </w:rPr>
        <w:t>司調</w:t>
      </w:r>
      <w:r w:rsidRPr="008B5E82">
        <w:rPr>
          <w:rFonts w:hint="eastAsia"/>
        </w:rPr>
        <w:t>0004</w:t>
      </w:r>
      <w:r w:rsidRPr="008B5E82">
        <w:rPr>
          <w:rFonts w:hint="eastAsia"/>
        </w:rPr>
        <w:t>，方萬富、江明蒼</w:t>
      </w:r>
      <w:r w:rsidRPr="008B5E82">
        <w:rPr>
          <w:rFonts w:hint="eastAsia"/>
          <w:lang w:eastAsia="zh-HK"/>
        </w:rPr>
        <w:t>調查。</w:t>
      </w:r>
    </w:p>
  </w:footnote>
  <w:footnote w:id="116">
    <w:p w:rsidR="00970832" w:rsidRPr="008B5E82" w:rsidRDefault="00970832" w:rsidP="004A16AF">
      <w:pPr>
        <w:pStyle w:val="2---"/>
        <w:ind w:left="149" w:hanging="149"/>
      </w:pPr>
      <w:r w:rsidRPr="004A16AF">
        <w:rPr>
          <w:rStyle w:val="aff2"/>
          <w:sz w:val="21"/>
          <w:szCs w:val="21"/>
        </w:rPr>
        <w:footnoteRef/>
      </w:r>
      <w:r w:rsidRPr="008B5E82">
        <w:t xml:space="preserve"> </w:t>
      </w:r>
      <w:r w:rsidRPr="008B5E82">
        <w:rPr>
          <w:rFonts w:hint="eastAsia"/>
        </w:rPr>
        <w:t>106</w:t>
      </w:r>
      <w:r w:rsidRPr="008B5E82">
        <w:rPr>
          <w:rFonts w:hint="eastAsia"/>
        </w:rPr>
        <w:t>內調</w:t>
      </w:r>
      <w:r w:rsidRPr="008B5E82">
        <w:rPr>
          <w:rFonts w:hint="eastAsia"/>
        </w:rPr>
        <w:t>0046</w:t>
      </w:r>
      <w:r w:rsidRPr="008B5E82">
        <w:rPr>
          <w:rFonts w:hint="eastAsia"/>
        </w:rPr>
        <w:t>，楊美鈴、蔡培村</w:t>
      </w:r>
      <w:r w:rsidRPr="008B5E82">
        <w:rPr>
          <w:rFonts w:hint="eastAsia"/>
          <w:lang w:eastAsia="zh-HK"/>
        </w:rPr>
        <w:t>調查。</w:t>
      </w:r>
    </w:p>
  </w:footnote>
  <w:footnote w:id="117">
    <w:p w:rsidR="00970832" w:rsidRPr="008B5E82" w:rsidRDefault="00970832" w:rsidP="004A16AF">
      <w:pPr>
        <w:pStyle w:val="2---"/>
        <w:ind w:left="149" w:hanging="149"/>
        <w:rPr>
          <w:lang w:eastAsia="zh-HK"/>
        </w:rPr>
      </w:pPr>
      <w:r w:rsidRPr="004A16AF">
        <w:rPr>
          <w:rStyle w:val="aff2"/>
          <w:sz w:val="21"/>
          <w:szCs w:val="21"/>
        </w:rPr>
        <w:footnoteRef/>
      </w:r>
      <w:r w:rsidRPr="008B5E82">
        <w:t xml:space="preserve"> </w:t>
      </w:r>
      <w:r w:rsidRPr="008B5E82">
        <w:rPr>
          <w:rFonts w:hint="eastAsia"/>
        </w:rPr>
        <w:t>106</w:t>
      </w:r>
      <w:r w:rsidRPr="008B5E82">
        <w:rPr>
          <w:rFonts w:hint="eastAsia"/>
        </w:rPr>
        <w:t>內調</w:t>
      </w:r>
      <w:r w:rsidRPr="008B5E82">
        <w:rPr>
          <w:rFonts w:hint="eastAsia"/>
        </w:rPr>
        <w:t>0011</w:t>
      </w:r>
      <w:r w:rsidRPr="008B5E82">
        <w:rPr>
          <w:rFonts w:hint="eastAsia"/>
        </w:rPr>
        <w:t>，李月德、陳慶財、楊美鈴</w:t>
      </w:r>
      <w:r w:rsidRPr="008B5E82">
        <w:rPr>
          <w:rFonts w:hint="eastAsia"/>
          <w:lang w:eastAsia="zh-HK"/>
        </w:rPr>
        <w:t>調查。</w:t>
      </w:r>
    </w:p>
  </w:footnote>
  <w:footnote w:id="118">
    <w:p w:rsidR="00970832" w:rsidRPr="008B5E82" w:rsidRDefault="00970832" w:rsidP="004A16AF">
      <w:pPr>
        <w:pStyle w:val="2---"/>
        <w:ind w:left="149" w:hanging="149"/>
      </w:pPr>
      <w:r w:rsidRPr="004A16AF">
        <w:rPr>
          <w:rStyle w:val="aff2"/>
          <w:sz w:val="21"/>
          <w:szCs w:val="21"/>
        </w:rPr>
        <w:footnoteRef/>
      </w:r>
      <w:r w:rsidRPr="008B5E82">
        <w:t xml:space="preserve"> </w:t>
      </w:r>
      <w:r w:rsidRPr="008B5E82">
        <w:rPr>
          <w:rFonts w:hint="eastAsia"/>
        </w:rPr>
        <w:t>106</w:t>
      </w:r>
      <w:r w:rsidRPr="008B5E82">
        <w:rPr>
          <w:rFonts w:hint="eastAsia"/>
        </w:rPr>
        <w:t>財調</w:t>
      </w:r>
      <w:r w:rsidRPr="008B5E82">
        <w:rPr>
          <w:rFonts w:hint="eastAsia"/>
        </w:rPr>
        <w:t>0024</w:t>
      </w:r>
      <w:r w:rsidRPr="008B5E82">
        <w:rPr>
          <w:rFonts w:hint="eastAsia"/>
        </w:rPr>
        <w:t>，高鳳仙</w:t>
      </w:r>
      <w:r w:rsidRPr="008B5E82">
        <w:rPr>
          <w:rFonts w:hint="eastAsia"/>
          <w:lang w:eastAsia="zh-HK"/>
        </w:rPr>
        <w:t>調查。</w:t>
      </w:r>
    </w:p>
  </w:footnote>
  <w:footnote w:id="119">
    <w:p w:rsidR="00970832" w:rsidRPr="008B5E82" w:rsidRDefault="00970832" w:rsidP="004A16AF">
      <w:pPr>
        <w:pStyle w:val="2---"/>
        <w:ind w:left="149" w:hanging="149"/>
        <w:rPr>
          <w:lang w:eastAsia="zh-HK"/>
        </w:rPr>
      </w:pPr>
      <w:r w:rsidRPr="004A16AF">
        <w:rPr>
          <w:rStyle w:val="aff2"/>
          <w:sz w:val="21"/>
          <w:szCs w:val="21"/>
        </w:rPr>
        <w:footnoteRef/>
      </w:r>
      <w:r w:rsidRPr="008B5E82">
        <w:t xml:space="preserve"> </w:t>
      </w:r>
      <w:r w:rsidRPr="008B5E82">
        <w:rPr>
          <w:rFonts w:hint="eastAsia"/>
        </w:rPr>
        <w:t>106</w:t>
      </w:r>
      <w:r w:rsidRPr="008B5E82">
        <w:rPr>
          <w:rFonts w:hint="eastAsia"/>
        </w:rPr>
        <w:t>內調</w:t>
      </w:r>
      <w:r w:rsidRPr="008B5E82">
        <w:rPr>
          <w:rFonts w:hint="eastAsia"/>
        </w:rPr>
        <w:t>0071</w:t>
      </w:r>
      <w:r w:rsidRPr="008B5E82">
        <w:rPr>
          <w:rFonts w:hint="eastAsia"/>
        </w:rPr>
        <w:t>，林雅鋒、仉桂美</w:t>
      </w:r>
      <w:r w:rsidRPr="008B5E82">
        <w:rPr>
          <w:rFonts w:hint="eastAsia"/>
          <w:lang w:eastAsia="zh-HK"/>
        </w:rPr>
        <w:t>調查。</w:t>
      </w:r>
    </w:p>
  </w:footnote>
  <w:footnote w:id="120">
    <w:p w:rsidR="00970832" w:rsidRPr="008B5E82" w:rsidRDefault="00970832" w:rsidP="00B125A4">
      <w:pPr>
        <w:pStyle w:val="2---"/>
        <w:ind w:left="149" w:hanging="149"/>
      </w:pPr>
      <w:r w:rsidRPr="00B125A4">
        <w:rPr>
          <w:rStyle w:val="aff2"/>
          <w:sz w:val="21"/>
          <w:szCs w:val="21"/>
        </w:rPr>
        <w:footnoteRef/>
      </w:r>
      <w:r w:rsidRPr="008B5E82">
        <w:t xml:space="preserve"> </w:t>
      </w:r>
      <w:r w:rsidRPr="008B5E82">
        <w:rPr>
          <w:rFonts w:hint="eastAsia"/>
        </w:rPr>
        <w:t>106</w:t>
      </w:r>
      <w:r w:rsidRPr="008B5E82">
        <w:rPr>
          <w:rFonts w:hint="eastAsia"/>
        </w:rPr>
        <w:t>財調</w:t>
      </w:r>
      <w:r w:rsidRPr="008B5E82">
        <w:rPr>
          <w:rFonts w:hint="eastAsia"/>
        </w:rPr>
        <w:t>0011</w:t>
      </w:r>
      <w:r w:rsidRPr="008B5E82">
        <w:rPr>
          <w:rFonts w:hint="eastAsia"/>
        </w:rPr>
        <w:t>，劉德勳</w:t>
      </w:r>
      <w:r w:rsidRPr="008B5E82">
        <w:rPr>
          <w:rFonts w:hint="eastAsia"/>
          <w:lang w:eastAsia="zh-HK"/>
        </w:rPr>
        <w:t>調查。</w:t>
      </w:r>
    </w:p>
  </w:footnote>
  <w:footnote w:id="121">
    <w:p w:rsidR="00970832" w:rsidRPr="008B5E82" w:rsidRDefault="00970832" w:rsidP="00B125A4">
      <w:pPr>
        <w:pStyle w:val="2---"/>
        <w:ind w:left="149" w:hanging="149"/>
        <w:rPr>
          <w:rFonts w:asciiTheme="majorEastAsia" w:eastAsiaTheme="majorEastAsia" w:hAnsiTheme="majorEastAsia"/>
        </w:rPr>
      </w:pPr>
      <w:r w:rsidRPr="00B125A4">
        <w:rPr>
          <w:rStyle w:val="aff2"/>
          <w:sz w:val="21"/>
          <w:szCs w:val="21"/>
        </w:rPr>
        <w:footnoteRef/>
      </w:r>
      <w:r w:rsidRPr="008B5E82">
        <w:rPr>
          <w:rFonts w:asciiTheme="majorEastAsia" w:eastAsiaTheme="majorEastAsia" w:hAnsiTheme="majorEastAsia" w:hint="eastAsia"/>
        </w:rPr>
        <w:t xml:space="preserve"> </w:t>
      </w:r>
      <w:r w:rsidRPr="008B5E82">
        <w:rPr>
          <w:rFonts w:hint="eastAsia"/>
        </w:rPr>
        <w:t>106</w:t>
      </w:r>
      <w:r w:rsidRPr="008B5E82">
        <w:rPr>
          <w:rFonts w:hint="eastAsia"/>
        </w:rPr>
        <w:t>內調</w:t>
      </w:r>
      <w:r w:rsidRPr="008B5E82">
        <w:rPr>
          <w:rFonts w:hint="eastAsia"/>
        </w:rPr>
        <w:t>0041</w:t>
      </w:r>
      <w:r w:rsidRPr="008B5E82">
        <w:rPr>
          <w:rFonts w:hint="eastAsia"/>
        </w:rPr>
        <w:t>，高鳳仙、章仁香調查。</w:t>
      </w:r>
    </w:p>
  </w:footnote>
  <w:footnote w:id="122">
    <w:p w:rsidR="00970832" w:rsidRPr="008B5E82" w:rsidRDefault="00970832" w:rsidP="00B125A4">
      <w:pPr>
        <w:pStyle w:val="2---"/>
        <w:ind w:left="149" w:hanging="149"/>
      </w:pPr>
      <w:r w:rsidRPr="00B125A4">
        <w:rPr>
          <w:rStyle w:val="aff2"/>
          <w:sz w:val="21"/>
          <w:szCs w:val="21"/>
        </w:rPr>
        <w:footnoteRef/>
      </w:r>
      <w:r w:rsidRPr="008B5E82">
        <w:t xml:space="preserve"> </w:t>
      </w:r>
      <w:r w:rsidRPr="008B5E82">
        <w:rPr>
          <w:rFonts w:hint="eastAsia"/>
        </w:rPr>
        <w:t>弗萊納</w:t>
      </w:r>
      <w:r w:rsidRPr="00860E1D">
        <w:rPr>
          <w:rFonts w:hint="eastAsia"/>
          <w:spacing w:val="-26"/>
        </w:rPr>
        <w:t>，</w:t>
      </w:r>
      <w:r w:rsidRPr="008B5E82">
        <w:rPr>
          <w:rFonts w:hint="eastAsia"/>
        </w:rPr>
        <w:t>《人權是什麽</w:t>
      </w:r>
      <w:r w:rsidRPr="00860E1D">
        <w:rPr>
          <w:rFonts w:hint="eastAsia"/>
          <w:spacing w:val="-26"/>
        </w:rPr>
        <w:t>》</w:t>
      </w:r>
      <w:r w:rsidRPr="008B5E82">
        <w:rPr>
          <w:rFonts w:hint="eastAsia"/>
        </w:rPr>
        <w:t>，中國社會科學出版社，</w:t>
      </w:r>
      <w:r w:rsidRPr="008B5E82">
        <w:t>1999</w:t>
      </w:r>
      <w:r w:rsidRPr="008B5E82">
        <w:rPr>
          <w:rFonts w:hint="eastAsia"/>
          <w:lang w:eastAsia="zh-HK"/>
        </w:rPr>
        <w:t>年。</w:t>
      </w:r>
    </w:p>
  </w:footnote>
  <w:footnote w:id="123">
    <w:p w:rsidR="00970832" w:rsidRPr="008B5E82" w:rsidRDefault="00970832" w:rsidP="00F010B7">
      <w:pPr>
        <w:pStyle w:val="2---"/>
        <w:ind w:left="315" w:hangingChars="150" w:hanging="315"/>
        <w:rPr>
          <w:color w:val="FF0000"/>
        </w:rPr>
      </w:pPr>
      <w:r w:rsidRPr="00B125A4">
        <w:rPr>
          <w:rStyle w:val="aff2"/>
          <w:sz w:val="21"/>
          <w:szCs w:val="21"/>
        </w:rPr>
        <w:footnoteRef/>
      </w:r>
      <w:r w:rsidRPr="008B5E82">
        <w:t xml:space="preserve"> </w:t>
      </w:r>
      <w:r w:rsidRPr="008B5E82">
        <w:t>耿雲卿，中華民國憲法論，上冊（臺北：華欣文化事業出版社，</w:t>
      </w:r>
      <w:r w:rsidRPr="008B5E82">
        <w:t>1987</w:t>
      </w:r>
      <w:r w:rsidRPr="008B5E82">
        <w:t>年</w:t>
      </w:r>
      <w:r w:rsidRPr="00860E1D">
        <w:rPr>
          <w:spacing w:val="-26"/>
        </w:rPr>
        <w:t>）</w:t>
      </w:r>
      <w:r w:rsidRPr="008B5E82">
        <w:t>，頁</w:t>
      </w:r>
      <w:r w:rsidRPr="008B5E82">
        <w:t>128</w:t>
      </w:r>
      <w:r w:rsidRPr="008B5E82">
        <w:rPr>
          <w:color w:val="000000"/>
        </w:rPr>
        <w:t>。</w:t>
      </w:r>
    </w:p>
  </w:footnote>
  <w:footnote w:id="124">
    <w:p w:rsidR="00970832" w:rsidRPr="008B5E82" w:rsidRDefault="00970832" w:rsidP="00F010B7">
      <w:pPr>
        <w:pStyle w:val="2---"/>
        <w:ind w:left="315" w:hangingChars="150" w:hanging="315"/>
        <w:rPr>
          <w:color w:val="000000"/>
        </w:rPr>
      </w:pPr>
      <w:r w:rsidRPr="00B125A4">
        <w:rPr>
          <w:rStyle w:val="aff2"/>
          <w:sz w:val="21"/>
          <w:szCs w:val="21"/>
        </w:rPr>
        <w:footnoteRef/>
      </w:r>
      <w:r w:rsidRPr="008B5E82">
        <w:t>「教育權</w:t>
      </w:r>
      <w:r w:rsidRPr="00860E1D">
        <w:rPr>
          <w:spacing w:val="-26"/>
        </w:rPr>
        <w:t>」，</w:t>
      </w:r>
      <w:r w:rsidRPr="008B5E82">
        <w:t>《聯合國人權事務</w:t>
      </w:r>
      <w:r w:rsidRPr="00860E1D">
        <w:rPr>
          <w:spacing w:val="-26"/>
        </w:rPr>
        <w:t>》</w:t>
      </w:r>
      <w:r w:rsidRPr="008B5E82">
        <w:t>，</w:t>
      </w:r>
      <w:r w:rsidRPr="00B125A4">
        <w:t>http://www.un.org/chinese/hr/issue/education</w:t>
      </w:r>
      <w:r w:rsidRPr="00CC1AC4">
        <w:t>.</w:t>
      </w:r>
      <w:r>
        <w:rPr>
          <w:rFonts w:hint="eastAsia"/>
        </w:rPr>
        <w:t xml:space="preserve">　</w:t>
      </w:r>
      <w:r w:rsidRPr="00CC1AC4">
        <w:t>htm</w:t>
      </w:r>
      <w:hyperlink r:id="rId2" w:history="1">
        <w:r w:rsidRPr="008B5E82">
          <w:t>，</w:t>
        </w:r>
        <w:r w:rsidRPr="008B5E82">
          <w:rPr>
            <w:rFonts w:hint="eastAsia"/>
          </w:rPr>
          <w:t>最後瀏覽日期：</w:t>
        </w:r>
        <w:r w:rsidRPr="008B5E82">
          <w:rPr>
            <w:rFonts w:hint="eastAsia"/>
          </w:rPr>
          <w:t>2016</w:t>
        </w:r>
      </w:hyperlink>
      <w:r w:rsidRPr="008B5E82">
        <w:rPr>
          <w:rFonts w:hint="eastAsia"/>
          <w:color w:val="000000"/>
        </w:rPr>
        <w:t>年</w:t>
      </w:r>
      <w:r w:rsidRPr="008B5E82">
        <w:rPr>
          <w:rFonts w:hint="eastAsia"/>
          <w:color w:val="000000"/>
        </w:rPr>
        <w:t>3</w:t>
      </w:r>
      <w:r w:rsidRPr="008B5E82">
        <w:rPr>
          <w:rFonts w:hint="eastAsia"/>
          <w:color w:val="000000"/>
        </w:rPr>
        <w:t>月</w:t>
      </w:r>
      <w:r w:rsidRPr="008B5E82">
        <w:rPr>
          <w:rFonts w:hint="eastAsia"/>
          <w:color w:val="000000"/>
        </w:rPr>
        <w:t>10</w:t>
      </w:r>
      <w:r w:rsidRPr="008B5E82">
        <w:rPr>
          <w:rFonts w:hint="eastAsia"/>
          <w:color w:val="000000"/>
        </w:rPr>
        <w:t>日</w:t>
      </w:r>
      <w:r w:rsidRPr="008B5E82">
        <w:rPr>
          <w:color w:val="000000"/>
        </w:rPr>
        <w:t>。</w:t>
      </w:r>
    </w:p>
  </w:footnote>
  <w:footnote w:id="125">
    <w:p w:rsidR="00970832" w:rsidRPr="008B5E82" w:rsidRDefault="00970832" w:rsidP="00B125A4">
      <w:pPr>
        <w:pStyle w:val="2---"/>
        <w:ind w:left="149" w:hanging="149"/>
      </w:pPr>
      <w:r w:rsidRPr="00B125A4">
        <w:rPr>
          <w:rStyle w:val="aff2"/>
          <w:sz w:val="21"/>
          <w:szCs w:val="21"/>
        </w:rPr>
        <w:footnoteRef/>
      </w:r>
      <w:r w:rsidRPr="008B5E82">
        <w:t xml:space="preserve"> </w:t>
      </w:r>
      <w:r w:rsidRPr="008B5E82">
        <w:t>蘇永欽主編，部門憲法（臺北：元照出版公司，</w:t>
      </w:r>
      <w:r w:rsidRPr="008B5E82">
        <w:t>2006</w:t>
      </w:r>
      <w:r w:rsidRPr="008B5E82">
        <w:t>年</w:t>
      </w:r>
      <w:r w:rsidRPr="00860E1D">
        <w:rPr>
          <w:spacing w:val="-26"/>
        </w:rPr>
        <w:t>）</w:t>
      </w:r>
      <w:r w:rsidRPr="008B5E82">
        <w:t>，頁</w:t>
      </w:r>
      <w:r w:rsidRPr="008B5E82">
        <w:t>485-486</w:t>
      </w:r>
      <w:r w:rsidRPr="008B5E82">
        <w:t>。</w:t>
      </w:r>
    </w:p>
  </w:footnote>
  <w:footnote w:id="126">
    <w:p w:rsidR="00970832" w:rsidRPr="008B5E82" w:rsidRDefault="00970832" w:rsidP="00F010B7">
      <w:pPr>
        <w:pStyle w:val="2---"/>
        <w:ind w:left="315" w:hangingChars="150" w:hanging="315"/>
        <w:rPr>
          <w:kern w:val="0"/>
        </w:rPr>
      </w:pPr>
      <w:r w:rsidRPr="00B125A4">
        <w:rPr>
          <w:rStyle w:val="aff2"/>
          <w:sz w:val="21"/>
          <w:szCs w:val="21"/>
        </w:rPr>
        <w:footnoteRef/>
      </w:r>
      <w:r w:rsidRPr="008B5E82">
        <w:t xml:space="preserve"> </w:t>
      </w:r>
      <w:r w:rsidRPr="008B5E82">
        <w:rPr>
          <w:spacing w:val="-2"/>
        </w:rPr>
        <w:t>我國憲法第</w:t>
      </w:r>
      <w:r w:rsidRPr="008B5E82">
        <w:rPr>
          <w:spacing w:val="-2"/>
        </w:rPr>
        <w:t>164</w:t>
      </w:r>
      <w:r w:rsidRPr="008B5E82">
        <w:rPr>
          <w:spacing w:val="-2"/>
        </w:rPr>
        <w:t>條規定如下</w:t>
      </w:r>
      <w:r w:rsidRPr="00860E1D">
        <w:rPr>
          <w:spacing w:val="-26"/>
        </w:rPr>
        <w:t>：</w:t>
      </w:r>
      <w:r w:rsidRPr="008B5E82">
        <w:rPr>
          <w:spacing w:val="-2"/>
        </w:rPr>
        <w:t>「</w:t>
      </w:r>
      <w:r w:rsidRPr="008B5E82">
        <w:rPr>
          <w:spacing w:val="-2"/>
          <w:kern w:val="0"/>
        </w:rPr>
        <w:t>教育、科學、</w:t>
      </w:r>
      <w:r w:rsidRPr="008B5E82">
        <w:t>文化</w:t>
      </w:r>
      <w:r w:rsidRPr="008B5E82">
        <w:rPr>
          <w:spacing w:val="-2"/>
          <w:kern w:val="0"/>
        </w:rPr>
        <w:t>之經費，在中央不得少於其預算總額百分之十五，在省不得少於其</w:t>
      </w:r>
      <w:r w:rsidRPr="008B5E82">
        <w:rPr>
          <w:spacing w:val="-2"/>
        </w:rPr>
        <w:t>預算</w:t>
      </w:r>
      <w:r w:rsidRPr="008B5E82">
        <w:rPr>
          <w:spacing w:val="-2"/>
          <w:kern w:val="0"/>
        </w:rPr>
        <w:t>總額百分之二十五，在市縣不得少於其預算總額百分之三十五，其依法設置之教育文化基金及產業，應予以保障</w:t>
      </w:r>
      <w:r w:rsidRPr="00860E1D">
        <w:rPr>
          <w:spacing w:val="-26"/>
        </w:rPr>
        <w:t>。</w:t>
      </w:r>
      <w:r w:rsidRPr="008B5E82">
        <w:rPr>
          <w:kern w:val="0"/>
        </w:rPr>
        <w:t>」</w:t>
      </w:r>
    </w:p>
  </w:footnote>
  <w:footnote w:id="127">
    <w:p w:rsidR="00970832" w:rsidRPr="008B5E82" w:rsidRDefault="00970832" w:rsidP="00954E2F">
      <w:pPr>
        <w:pStyle w:val="2---"/>
        <w:ind w:left="149" w:hanging="149"/>
        <w:rPr>
          <w:lang w:eastAsia="zh-HK"/>
        </w:rPr>
      </w:pPr>
      <w:r w:rsidRPr="00954E2F">
        <w:rPr>
          <w:rStyle w:val="aff2"/>
          <w:sz w:val="21"/>
          <w:szCs w:val="21"/>
        </w:rPr>
        <w:footnoteRef/>
      </w:r>
      <w:r w:rsidRPr="008B5E82">
        <w:t xml:space="preserve"> </w:t>
      </w:r>
      <w:r w:rsidRPr="008B5E82">
        <w:rPr>
          <w:rFonts w:hint="eastAsia"/>
        </w:rPr>
        <w:t>106</w:t>
      </w:r>
      <w:r w:rsidRPr="008B5E82">
        <w:rPr>
          <w:rFonts w:hint="eastAsia"/>
        </w:rPr>
        <w:t>教調</w:t>
      </w:r>
      <w:r w:rsidRPr="008B5E82">
        <w:rPr>
          <w:rFonts w:hint="eastAsia"/>
        </w:rPr>
        <w:t>0023</w:t>
      </w:r>
      <w:r w:rsidRPr="008B5E82">
        <w:rPr>
          <w:rFonts w:hint="eastAsia"/>
        </w:rPr>
        <w:t>，蔡培村、尹祚芊</w:t>
      </w:r>
      <w:r w:rsidRPr="008B5E82">
        <w:rPr>
          <w:rFonts w:hint="eastAsia"/>
          <w:lang w:eastAsia="zh-HK"/>
        </w:rPr>
        <w:t>調查。</w:t>
      </w:r>
    </w:p>
  </w:footnote>
  <w:footnote w:id="128">
    <w:p w:rsidR="00970832" w:rsidRPr="008B5E82" w:rsidRDefault="00970832" w:rsidP="00954E2F">
      <w:pPr>
        <w:pStyle w:val="2---"/>
        <w:ind w:left="149" w:hanging="149"/>
        <w:rPr>
          <w:lang w:eastAsia="zh-HK"/>
        </w:rPr>
      </w:pPr>
      <w:r w:rsidRPr="00954E2F">
        <w:rPr>
          <w:rStyle w:val="aff2"/>
          <w:sz w:val="21"/>
          <w:szCs w:val="21"/>
        </w:rPr>
        <w:footnoteRef/>
      </w:r>
      <w:r w:rsidRPr="008B5E82">
        <w:t xml:space="preserve"> </w:t>
      </w:r>
      <w:r w:rsidRPr="008B5E82">
        <w:rPr>
          <w:rFonts w:hint="eastAsia"/>
        </w:rPr>
        <w:t>106</w:t>
      </w:r>
      <w:r w:rsidRPr="008B5E82">
        <w:rPr>
          <w:rFonts w:hint="eastAsia"/>
        </w:rPr>
        <w:t>教調</w:t>
      </w:r>
      <w:r w:rsidRPr="008B5E82">
        <w:rPr>
          <w:rFonts w:hint="eastAsia"/>
        </w:rPr>
        <w:t>0042</w:t>
      </w:r>
      <w:r w:rsidRPr="008B5E82">
        <w:rPr>
          <w:rFonts w:hint="eastAsia"/>
        </w:rPr>
        <w:t>，尹祚芊、章仁香、江綺雯</w:t>
      </w:r>
      <w:r w:rsidRPr="008B5E82">
        <w:rPr>
          <w:rFonts w:hint="eastAsia"/>
          <w:lang w:eastAsia="zh-HK"/>
        </w:rPr>
        <w:t>調查。</w:t>
      </w:r>
    </w:p>
  </w:footnote>
  <w:footnote w:id="129">
    <w:p w:rsidR="00970832" w:rsidRPr="008B5E82" w:rsidRDefault="00970832" w:rsidP="00954E2F">
      <w:pPr>
        <w:pStyle w:val="2---"/>
        <w:ind w:left="149" w:hanging="149"/>
      </w:pPr>
      <w:r w:rsidRPr="00954E2F">
        <w:rPr>
          <w:rStyle w:val="aff2"/>
          <w:sz w:val="21"/>
          <w:szCs w:val="21"/>
        </w:rPr>
        <w:footnoteRef/>
      </w:r>
      <w:r w:rsidRPr="008B5E82">
        <w:t xml:space="preserve"> </w:t>
      </w:r>
      <w:r w:rsidRPr="008B5E82">
        <w:rPr>
          <w:rFonts w:hint="eastAsia"/>
        </w:rPr>
        <w:t>106</w:t>
      </w:r>
      <w:r w:rsidRPr="008B5E82">
        <w:rPr>
          <w:rFonts w:hint="eastAsia"/>
        </w:rPr>
        <w:t>教調</w:t>
      </w:r>
      <w:r w:rsidRPr="008B5E82">
        <w:rPr>
          <w:rFonts w:hint="eastAsia"/>
        </w:rPr>
        <w:t>0024</w:t>
      </w:r>
      <w:r w:rsidRPr="008B5E82">
        <w:rPr>
          <w:rFonts w:hint="eastAsia"/>
        </w:rPr>
        <w:t>，陳小紅</w:t>
      </w:r>
      <w:r w:rsidRPr="008B5E82">
        <w:rPr>
          <w:rFonts w:hint="eastAsia"/>
          <w:lang w:eastAsia="zh-HK"/>
        </w:rPr>
        <w:t>調查。</w:t>
      </w:r>
    </w:p>
  </w:footnote>
  <w:footnote w:id="130">
    <w:p w:rsidR="00970832" w:rsidRPr="008B5E82" w:rsidRDefault="00970832" w:rsidP="00954E2F">
      <w:pPr>
        <w:pStyle w:val="2---"/>
        <w:ind w:left="149" w:hanging="149"/>
        <w:rPr>
          <w:lang w:eastAsia="zh-HK"/>
        </w:rPr>
      </w:pPr>
      <w:r w:rsidRPr="00954E2F">
        <w:rPr>
          <w:rStyle w:val="aff2"/>
          <w:sz w:val="21"/>
          <w:szCs w:val="21"/>
        </w:rPr>
        <w:footnoteRef/>
      </w:r>
      <w:r w:rsidRPr="008B5E82">
        <w:t xml:space="preserve"> </w:t>
      </w:r>
      <w:r w:rsidRPr="008B5E82">
        <w:rPr>
          <w:rFonts w:hint="eastAsia"/>
        </w:rPr>
        <w:t>106</w:t>
      </w:r>
      <w:r w:rsidRPr="008B5E82">
        <w:rPr>
          <w:rFonts w:hint="eastAsia"/>
        </w:rPr>
        <w:t>外調</w:t>
      </w:r>
      <w:r w:rsidRPr="008B5E82">
        <w:rPr>
          <w:rFonts w:hint="eastAsia"/>
        </w:rPr>
        <w:t>0011</w:t>
      </w:r>
      <w:r w:rsidRPr="008B5E82">
        <w:rPr>
          <w:rFonts w:hint="eastAsia"/>
        </w:rPr>
        <w:t>，高鳳仙、孫大川、包宗和、李月德</w:t>
      </w:r>
      <w:r w:rsidRPr="008B5E82">
        <w:rPr>
          <w:rFonts w:hint="eastAsia"/>
          <w:lang w:eastAsia="zh-HK"/>
        </w:rPr>
        <w:t>調查。</w:t>
      </w:r>
    </w:p>
  </w:footnote>
  <w:footnote w:id="131">
    <w:p w:rsidR="00970832" w:rsidRPr="008B5E82" w:rsidRDefault="00970832" w:rsidP="00954E2F">
      <w:pPr>
        <w:pStyle w:val="2---"/>
        <w:ind w:left="149" w:hanging="149"/>
      </w:pPr>
      <w:r w:rsidRPr="00954E2F">
        <w:rPr>
          <w:rStyle w:val="aff2"/>
          <w:sz w:val="21"/>
          <w:szCs w:val="21"/>
        </w:rPr>
        <w:footnoteRef/>
      </w:r>
      <w:r w:rsidRPr="008B5E82">
        <w:t xml:space="preserve"> </w:t>
      </w:r>
      <w:r w:rsidRPr="008B5E82">
        <w:rPr>
          <w:rFonts w:hint="eastAsia"/>
        </w:rPr>
        <w:t>106</w:t>
      </w:r>
      <w:r w:rsidRPr="008B5E82">
        <w:rPr>
          <w:rFonts w:hint="eastAsia"/>
        </w:rPr>
        <w:t>教調</w:t>
      </w:r>
      <w:r w:rsidRPr="008B5E82">
        <w:rPr>
          <w:rFonts w:hint="eastAsia"/>
        </w:rPr>
        <w:t>0043</w:t>
      </w:r>
      <w:r w:rsidRPr="008B5E82">
        <w:rPr>
          <w:rFonts w:hint="eastAsia"/>
        </w:rPr>
        <w:t>，江綺雯</w:t>
      </w:r>
      <w:r w:rsidRPr="008B5E82">
        <w:rPr>
          <w:rFonts w:hint="eastAsia"/>
          <w:lang w:eastAsia="zh-HK"/>
        </w:rPr>
        <w:t>調查。</w:t>
      </w:r>
    </w:p>
  </w:footnote>
  <w:footnote w:id="132">
    <w:p w:rsidR="00970832" w:rsidRPr="008B5E82" w:rsidRDefault="00970832" w:rsidP="00954E2F">
      <w:pPr>
        <w:pStyle w:val="2---"/>
        <w:adjustRightInd w:val="0"/>
        <w:ind w:left="244" w:hangingChars="116" w:hanging="244"/>
      </w:pPr>
      <w:r w:rsidRPr="00954E2F">
        <w:rPr>
          <w:rStyle w:val="aff2"/>
          <w:sz w:val="21"/>
          <w:szCs w:val="21"/>
        </w:rPr>
        <w:footnoteRef/>
      </w:r>
      <w:r w:rsidRPr="008B5E82">
        <w:t xml:space="preserve"> </w:t>
      </w:r>
      <w:r w:rsidRPr="008B5E82">
        <w:t>蘇永欽主編，部門憲法（臺北：元照出版公司，</w:t>
      </w:r>
      <w:r w:rsidRPr="008B5E82">
        <w:t>2006</w:t>
      </w:r>
      <w:r w:rsidRPr="008B5E82">
        <w:t>年</w:t>
      </w:r>
      <w:r w:rsidRPr="00860E1D">
        <w:rPr>
          <w:spacing w:val="-26"/>
        </w:rPr>
        <w:t>）</w:t>
      </w:r>
      <w:r w:rsidRPr="008B5E82">
        <w:t>，頁</w:t>
      </w:r>
      <w:r w:rsidRPr="008B5E82">
        <w:t>483</w:t>
      </w:r>
      <w:r w:rsidRPr="008B5E82">
        <w:t>。</w:t>
      </w:r>
    </w:p>
  </w:footnote>
  <w:footnote w:id="133">
    <w:p w:rsidR="00970832" w:rsidRPr="00DB067A" w:rsidRDefault="00970832" w:rsidP="007C584D">
      <w:pPr>
        <w:pStyle w:val="2---"/>
        <w:ind w:left="315" w:hangingChars="150" w:hanging="315"/>
      </w:pPr>
      <w:r w:rsidRPr="00954E2F">
        <w:rPr>
          <w:rStyle w:val="aff2"/>
          <w:sz w:val="21"/>
          <w:szCs w:val="21"/>
        </w:rPr>
        <w:footnoteRef/>
      </w:r>
      <w:r>
        <w:rPr>
          <w:rFonts w:hint="eastAsia"/>
        </w:rPr>
        <w:t xml:space="preserve"> </w:t>
      </w:r>
      <w:r w:rsidRPr="00DB067A">
        <w:rPr>
          <w:rFonts w:hint="eastAsia"/>
          <w:lang w:eastAsia="zh-HK"/>
        </w:rPr>
        <w:t>蔡百銓</w:t>
      </w:r>
      <w:r w:rsidRPr="00860E1D">
        <w:rPr>
          <w:rFonts w:hint="eastAsia"/>
          <w:spacing w:val="-26"/>
          <w:lang w:eastAsia="zh-HK"/>
        </w:rPr>
        <w:t>，</w:t>
      </w:r>
      <w:r w:rsidRPr="008B5E82">
        <w:rPr>
          <w:rFonts w:hint="eastAsia"/>
        </w:rPr>
        <w:t>《</w:t>
      </w:r>
      <w:r>
        <w:rPr>
          <w:rFonts w:hint="eastAsia"/>
          <w:lang w:eastAsia="zh-HK"/>
        </w:rPr>
        <w:t>邁向人權國家</w:t>
      </w:r>
      <w:r>
        <w:rPr>
          <w:rFonts w:hint="eastAsia"/>
        </w:rPr>
        <w:t xml:space="preserve"> </w:t>
      </w:r>
      <w:r>
        <w:rPr>
          <w:rFonts w:hint="eastAsia"/>
          <w:lang w:eastAsia="zh-HK"/>
        </w:rPr>
        <w:t>人權學</w:t>
      </w:r>
      <w:r>
        <w:rPr>
          <w:rFonts w:hint="eastAsia"/>
          <w:lang w:eastAsia="zh-HK"/>
        </w:rPr>
        <w:t>18</w:t>
      </w:r>
      <w:r>
        <w:rPr>
          <w:rFonts w:hint="eastAsia"/>
          <w:lang w:eastAsia="zh-HK"/>
        </w:rPr>
        <w:t>講</w:t>
      </w:r>
      <w:r w:rsidRPr="00860E1D">
        <w:rPr>
          <w:rFonts w:hint="eastAsia"/>
          <w:spacing w:val="-26"/>
        </w:rPr>
        <w:t>》</w:t>
      </w:r>
      <w:r w:rsidRPr="008B5E82">
        <w:rPr>
          <w:rFonts w:hint="eastAsia"/>
        </w:rPr>
        <w:t>，</w:t>
      </w:r>
      <w:r>
        <w:rPr>
          <w:rFonts w:hint="eastAsia"/>
          <w:lang w:eastAsia="zh-HK"/>
        </w:rPr>
        <w:t>臺北：前衛出版社，</w:t>
      </w:r>
      <w:r w:rsidRPr="008B5E82">
        <w:rPr>
          <w:rFonts w:hint="eastAsia"/>
        </w:rPr>
        <w:t>2</w:t>
      </w:r>
      <w:r>
        <w:rPr>
          <w:rFonts w:hint="eastAsia"/>
        </w:rPr>
        <w:t>007</w:t>
      </w:r>
      <w:r w:rsidRPr="008B5E82">
        <w:rPr>
          <w:rFonts w:hint="eastAsia"/>
        </w:rPr>
        <w:t>年</w:t>
      </w:r>
      <w:r>
        <w:rPr>
          <w:rFonts w:hint="eastAsia"/>
        </w:rPr>
        <w:t>，</w:t>
      </w:r>
      <w:r w:rsidRPr="00F7126B">
        <w:rPr>
          <w:rFonts w:hint="eastAsia"/>
        </w:rPr>
        <w:t>頁</w:t>
      </w:r>
      <w:r>
        <w:rPr>
          <w:rFonts w:hint="eastAsia"/>
          <w:lang w:eastAsia="zh-HK"/>
        </w:rPr>
        <w:t>257-259</w:t>
      </w:r>
      <w:r w:rsidRPr="00F7126B">
        <w:rPr>
          <w:rFonts w:hint="eastAsia"/>
        </w:rPr>
        <w:t>。</w:t>
      </w:r>
    </w:p>
  </w:footnote>
  <w:footnote w:id="134">
    <w:p w:rsidR="00970832" w:rsidRPr="003C4310" w:rsidRDefault="00970832" w:rsidP="007C584D">
      <w:pPr>
        <w:pStyle w:val="2---"/>
        <w:ind w:left="315" w:hangingChars="150" w:hanging="315"/>
      </w:pPr>
      <w:r w:rsidRPr="00954E2F">
        <w:rPr>
          <w:rStyle w:val="aff2"/>
          <w:sz w:val="21"/>
          <w:szCs w:val="21"/>
        </w:rPr>
        <w:footnoteRef/>
      </w:r>
      <w:r>
        <w:rPr>
          <w:rFonts w:hint="eastAsia"/>
        </w:rPr>
        <w:t xml:space="preserve"> </w:t>
      </w:r>
      <w:r w:rsidRPr="00DB067A">
        <w:rPr>
          <w:rFonts w:hint="eastAsia"/>
          <w:lang w:eastAsia="zh-HK"/>
        </w:rPr>
        <w:t>蔡百銓</w:t>
      </w:r>
      <w:r w:rsidRPr="00860E1D">
        <w:rPr>
          <w:rFonts w:hint="eastAsia"/>
          <w:spacing w:val="-26"/>
          <w:lang w:eastAsia="zh-HK"/>
        </w:rPr>
        <w:t>，</w:t>
      </w:r>
      <w:r w:rsidRPr="008B5E82">
        <w:rPr>
          <w:rFonts w:hint="eastAsia"/>
        </w:rPr>
        <w:t>《</w:t>
      </w:r>
      <w:r>
        <w:rPr>
          <w:rFonts w:hint="eastAsia"/>
          <w:lang w:eastAsia="zh-HK"/>
        </w:rPr>
        <w:t>邁向人權國家</w:t>
      </w:r>
      <w:r>
        <w:rPr>
          <w:rFonts w:hint="eastAsia"/>
        </w:rPr>
        <w:t xml:space="preserve"> </w:t>
      </w:r>
      <w:r>
        <w:rPr>
          <w:rFonts w:hint="eastAsia"/>
          <w:lang w:eastAsia="zh-HK"/>
        </w:rPr>
        <w:t>人權學</w:t>
      </w:r>
      <w:r>
        <w:rPr>
          <w:rFonts w:hint="eastAsia"/>
          <w:lang w:eastAsia="zh-HK"/>
        </w:rPr>
        <w:t>18</w:t>
      </w:r>
      <w:r>
        <w:rPr>
          <w:rFonts w:hint="eastAsia"/>
          <w:lang w:eastAsia="zh-HK"/>
        </w:rPr>
        <w:t>講</w:t>
      </w:r>
      <w:r w:rsidRPr="00860E1D">
        <w:rPr>
          <w:rFonts w:hint="eastAsia"/>
          <w:spacing w:val="-26"/>
        </w:rPr>
        <w:t>》</w:t>
      </w:r>
      <w:r w:rsidRPr="008B5E82">
        <w:rPr>
          <w:rFonts w:hint="eastAsia"/>
        </w:rPr>
        <w:t>，</w:t>
      </w:r>
      <w:r>
        <w:rPr>
          <w:rFonts w:hint="eastAsia"/>
          <w:lang w:eastAsia="zh-HK"/>
        </w:rPr>
        <w:t>臺北：前衛出版社，</w:t>
      </w:r>
      <w:r w:rsidRPr="008B5E82">
        <w:rPr>
          <w:rFonts w:hint="eastAsia"/>
        </w:rPr>
        <w:t>2</w:t>
      </w:r>
      <w:r>
        <w:rPr>
          <w:rFonts w:hint="eastAsia"/>
        </w:rPr>
        <w:t>007</w:t>
      </w:r>
      <w:r w:rsidRPr="008B5E82">
        <w:rPr>
          <w:rFonts w:hint="eastAsia"/>
        </w:rPr>
        <w:t>年</w:t>
      </w:r>
      <w:r>
        <w:rPr>
          <w:rFonts w:hint="eastAsia"/>
        </w:rPr>
        <w:t>，</w:t>
      </w:r>
      <w:r w:rsidRPr="00F7126B">
        <w:rPr>
          <w:rFonts w:hint="eastAsia"/>
        </w:rPr>
        <w:t>頁</w:t>
      </w:r>
      <w:r>
        <w:rPr>
          <w:rFonts w:hint="eastAsia"/>
          <w:lang w:eastAsia="zh-HK"/>
        </w:rPr>
        <w:t>281-283</w:t>
      </w:r>
      <w:r w:rsidRPr="00F7126B">
        <w:rPr>
          <w:rFonts w:hint="eastAsia"/>
        </w:rPr>
        <w:t>。</w:t>
      </w:r>
    </w:p>
  </w:footnote>
  <w:footnote w:id="135">
    <w:p w:rsidR="00970832" w:rsidRPr="008B5E82" w:rsidRDefault="00970832" w:rsidP="00954E2F">
      <w:pPr>
        <w:pStyle w:val="2---"/>
        <w:ind w:left="149" w:hanging="149"/>
        <w:rPr>
          <w:lang w:eastAsia="zh-HK"/>
        </w:rPr>
      </w:pPr>
      <w:r w:rsidRPr="00954E2F">
        <w:rPr>
          <w:rStyle w:val="aff2"/>
          <w:sz w:val="21"/>
          <w:szCs w:val="21"/>
        </w:rPr>
        <w:footnoteRef/>
      </w:r>
      <w:r w:rsidRPr="008B5E82">
        <w:t xml:space="preserve"> </w:t>
      </w:r>
      <w:r w:rsidRPr="008B5E82">
        <w:rPr>
          <w:rFonts w:hint="eastAsia"/>
        </w:rPr>
        <w:t>106</w:t>
      </w:r>
      <w:r w:rsidRPr="008B5E82">
        <w:rPr>
          <w:rFonts w:hint="eastAsia"/>
        </w:rPr>
        <w:t>財調</w:t>
      </w:r>
      <w:r w:rsidRPr="008B5E82">
        <w:rPr>
          <w:rFonts w:hint="eastAsia"/>
        </w:rPr>
        <w:t>0004</w:t>
      </w:r>
      <w:r w:rsidRPr="008B5E82">
        <w:rPr>
          <w:rFonts w:hint="eastAsia"/>
        </w:rPr>
        <w:t>，仉桂美、章仁香</w:t>
      </w:r>
      <w:r w:rsidRPr="008B5E82">
        <w:rPr>
          <w:rFonts w:hint="eastAsia"/>
          <w:lang w:eastAsia="zh-HK"/>
        </w:rPr>
        <w:t>調查。</w:t>
      </w:r>
    </w:p>
  </w:footnote>
  <w:footnote w:id="136">
    <w:p w:rsidR="00970832" w:rsidRPr="008B5E82" w:rsidRDefault="00970832" w:rsidP="00954E2F">
      <w:pPr>
        <w:pStyle w:val="2---"/>
        <w:ind w:left="149" w:hanging="149"/>
        <w:rPr>
          <w:lang w:eastAsia="zh-HK"/>
        </w:rPr>
      </w:pPr>
      <w:r w:rsidRPr="00954E2F">
        <w:rPr>
          <w:rStyle w:val="aff2"/>
          <w:sz w:val="21"/>
          <w:szCs w:val="21"/>
        </w:rPr>
        <w:footnoteRef/>
      </w:r>
      <w:r w:rsidRPr="008B5E82">
        <w:t xml:space="preserve"> </w:t>
      </w:r>
      <w:r w:rsidRPr="008B5E82">
        <w:rPr>
          <w:rFonts w:hint="eastAsia"/>
        </w:rPr>
        <w:t>106</w:t>
      </w:r>
      <w:r w:rsidRPr="008B5E82">
        <w:rPr>
          <w:rFonts w:hint="eastAsia"/>
        </w:rPr>
        <w:t>財調</w:t>
      </w:r>
      <w:r w:rsidRPr="008B5E82">
        <w:rPr>
          <w:rFonts w:hint="eastAsia"/>
        </w:rPr>
        <w:t>0017</w:t>
      </w:r>
      <w:r w:rsidRPr="008B5E82">
        <w:rPr>
          <w:rFonts w:hint="eastAsia"/>
        </w:rPr>
        <w:t>，陳慶財、李月德</w:t>
      </w:r>
      <w:r w:rsidRPr="008B5E82">
        <w:rPr>
          <w:rFonts w:hint="eastAsia"/>
          <w:lang w:eastAsia="zh-HK"/>
        </w:rPr>
        <w:t>調查。</w:t>
      </w:r>
    </w:p>
  </w:footnote>
  <w:footnote w:id="137">
    <w:p w:rsidR="00970832" w:rsidRPr="008B5E82" w:rsidRDefault="00970832" w:rsidP="00954E2F">
      <w:pPr>
        <w:pStyle w:val="2---"/>
        <w:ind w:left="149" w:hanging="149"/>
        <w:rPr>
          <w:lang w:eastAsia="zh-HK"/>
        </w:rPr>
      </w:pPr>
      <w:r w:rsidRPr="00954E2F">
        <w:rPr>
          <w:rStyle w:val="aff2"/>
          <w:sz w:val="21"/>
          <w:szCs w:val="21"/>
        </w:rPr>
        <w:footnoteRef/>
      </w:r>
      <w:r w:rsidRPr="008B5E82">
        <w:t xml:space="preserve"> </w:t>
      </w:r>
      <w:r w:rsidRPr="008B5E82">
        <w:rPr>
          <w:rFonts w:hint="eastAsia"/>
        </w:rPr>
        <w:t>106</w:t>
      </w:r>
      <w:r w:rsidRPr="008B5E82">
        <w:rPr>
          <w:rFonts w:hint="eastAsia"/>
        </w:rPr>
        <w:t>財調</w:t>
      </w:r>
      <w:r w:rsidRPr="008B5E82">
        <w:rPr>
          <w:rFonts w:hint="eastAsia"/>
        </w:rPr>
        <w:t>0018</w:t>
      </w:r>
      <w:r w:rsidRPr="008B5E82">
        <w:rPr>
          <w:rFonts w:hint="eastAsia"/>
        </w:rPr>
        <w:t>，陳小紅、林雅鋒</w:t>
      </w:r>
      <w:r w:rsidRPr="008B5E82">
        <w:rPr>
          <w:rFonts w:hint="eastAsia"/>
          <w:lang w:eastAsia="zh-HK"/>
        </w:rPr>
        <w:t>調查。</w:t>
      </w:r>
    </w:p>
  </w:footnote>
  <w:footnote w:id="138">
    <w:p w:rsidR="00970832" w:rsidRPr="008B5E82" w:rsidRDefault="00970832" w:rsidP="00954E2F">
      <w:pPr>
        <w:pStyle w:val="2---"/>
        <w:ind w:left="149" w:hanging="149"/>
      </w:pPr>
      <w:r w:rsidRPr="00954E2F">
        <w:rPr>
          <w:rStyle w:val="aff2"/>
          <w:sz w:val="21"/>
          <w:szCs w:val="21"/>
        </w:rPr>
        <w:footnoteRef/>
      </w:r>
      <w:r w:rsidRPr="008B5E82">
        <w:t xml:space="preserve"> </w:t>
      </w:r>
      <w:r w:rsidRPr="008B5E82">
        <w:rPr>
          <w:rFonts w:hint="eastAsia"/>
        </w:rPr>
        <w:t>106</w:t>
      </w:r>
      <w:r w:rsidRPr="008B5E82">
        <w:rPr>
          <w:rFonts w:hint="eastAsia"/>
        </w:rPr>
        <w:t>國調</w:t>
      </w:r>
      <w:r w:rsidRPr="008B5E82">
        <w:rPr>
          <w:rFonts w:hint="eastAsia"/>
        </w:rPr>
        <w:t>0015</w:t>
      </w:r>
      <w:r w:rsidRPr="008B5E82">
        <w:rPr>
          <w:rFonts w:hint="eastAsia"/>
        </w:rPr>
        <w:t>，李月德、蔡培村、陳慶財</w:t>
      </w:r>
      <w:r w:rsidRPr="008B5E82">
        <w:rPr>
          <w:rFonts w:hint="eastAsia"/>
          <w:lang w:eastAsia="zh-HK"/>
        </w:rPr>
        <w:t>調查。</w:t>
      </w:r>
    </w:p>
  </w:footnote>
  <w:footnote w:id="139">
    <w:p w:rsidR="00970832" w:rsidRPr="008B5E82" w:rsidRDefault="00970832" w:rsidP="00954E2F">
      <w:pPr>
        <w:pStyle w:val="2---"/>
        <w:ind w:left="149" w:hanging="149"/>
        <w:rPr>
          <w:lang w:eastAsia="zh-HK"/>
        </w:rPr>
      </w:pPr>
      <w:r w:rsidRPr="00954E2F">
        <w:rPr>
          <w:rStyle w:val="aff2"/>
          <w:sz w:val="21"/>
          <w:szCs w:val="21"/>
        </w:rPr>
        <w:footnoteRef/>
      </w:r>
      <w:r w:rsidRPr="008B5E82">
        <w:t xml:space="preserve"> </w:t>
      </w:r>
      <w:r w:rsidRPr="008B5E82">
        <w:rPr>
          <w:rFonts w:hint="eastAsia"/>
        </w:rPr>
        <w:t>106</w:t>
      </w:r>
      <w:r w:rsidRPr="008B5E82">
        <w:rPr>
          <w:rFonts w:hint="eastAsia"/>
        </w:rPr>
        <w:t>財調</w:t>
      </w:r>
      <w:r w:rsidRPr="008B5E82">
        <w:rPr>
          <w:rFonts w:hint="eastAsia"/>
        </w:rPr>
        <w:t>0038</w:t>
      </w:r>
      <w:r w:rsidRPr="008B5E82">
        <w:rPr>
          <w:rFonts w:hint="eastAsia"/>
        </w:rPr>
        <w:t>，林雅鋒、孫大川</w:t>
      </w:r>
      <w:r w:rsidRPr="008B5E82">
        <w:rPr>
          <w:rFonts w:hint="eastAsia"/>
          <w:lang w:eastAsia="zh-HK"/>
        </w:rPr>
        <w:t>調查。</w:t>
      </w:r>
    </w:p>
  </w:footnote>
  <w:footnote w:id="140">
    <w:p w:rsidR="00970832" w:rsidRPr="008B5E82" w:rsidRDefault="00970832" w:rsidP="00954E2F">
      <w:pPr>
        <w:pStyle w:val="2---"/>
        <w:ind w:left="149" w:hanging="149"/>
        <w:rPr>
          <w:lang w:eastAsia="zh-HK"/>
        </w:rPr>
      </w:pPr>
      <w:r w:rsidRPr="00954E2F">
        <w:rPr>
          <w:rStyle w:val="aff2"/>
          <w:sz w:val="21"/>
          <w:szCs w:val="21"/>
        </w:rPr>
        <w:footnoteRef/>
      </w:r>
      <w:r w:rsidRPr="008B5E82">
        <w:t xml:space="preserve"> </w:t>
      </w:r>
      <w:r w:rsidRPr="008B5E82">
        <w:rPr>
          <w:rFonts w:hint="eastAsia"/>
        </w:rPr>
        <w:t>106</w:t>
      </w:r>
      <w:r w:rsidRPr="008B5E82">
        <w:rPr>
          <w:rFonts w:hint="eastAsia"/>
        </w:rPr>
        <w:t>財調</w:t>
      </w:r>
      <w:r w:rsidRPr="008B5E82">
        <w:rPr>
          <w:rFonts w:hint="eastAsia"/>
        </w:rPr>
        <w:t>00</w:t>
      </w:r>
      <w:r>
        <w:rPr>
          <w:rFonts w:hint="eastAsia"/>
        </w:rPr>
        <w:t>39</w:t>
      </w:r>
      <w:r w:rsidRPr="008B5E82">
        <w:rPr>
          <w:rFonts w:hint="eastAsia"/>
        </w:rPr>
        <w:t>，林雅鋒、孫大川</w:t>
      </w:r>
      <w:r w:rsidRPr="008B5E82">
        <w:rPr>
          <w:rFonts w:hint="eastAsia"/>
          <w:lang w:eastAsia="zh-HK"/>
        </w:rPr>
        <w:t>調查。</w:t>
      </w:r>
    </w:p>
  </w:footnote>
  <w:footnote w:id="141">
    <w:p w:rsidR="00970832" w:rsidRPr="008B5E82" w:rsidRDefault="00970832" w:rsidP="00954E2F">
      <w:pPr>
        <w:pStyle w:val="2---"/>
        <w:ind w:left="149" w:hanging="149"/>
        <w:rPr>
          <w:lang w:eastAsia="zh-HK"/>
        </w:rPr>
      </w:pPr>
      <w:r w:rsidRPr="00954E2F">
        <w:rPr>
          <w:rStyle w:val="aff2"/>
          <w:sz w:val="21"/>
          <w:szCs w:val="21"/>
        </w:rPr>
        <w:footnoteRef/>
      </w:r>
      <w:r w:rsidRPr="008B5E82">
        <w:t xml:space="preserve"> </w:t>
      </w:r>
      <w:r w:rsidRPr="008B5E82">
        <w:rPr>
          <w:rFonts w:hint="eastAsia"/>
        </w:rPr>
        <w:t>106</w:t>
      </w:r>
      <w:r w:rsidRPr="008B5E82">
        <w:rPr>
          <w:rFonts w:hint="eastAsia"/>
        </w:rPr>
        <w:t>財調</w:t>
      </w:r>
      <w:r w:rsidRPr="008B5E82">
        <w:rPr>
          <w:rFonts w:hint="eastAsia"/>
        </w:rPr>
        <w:t>0040</w:t>
      </w:r>
      <w:r w:rsidRPr="008B5E82">
        <w:rPr>
          <w:rFonts w:hint="eastAsia"/>
        </w:rPr>
        <w:t>，林雅鋒、孫大川</w:t>
      </w:r>
      <w:r w:rsidRPr="008B5E82">
        <w:rPr>
          <w:rFonts w:hint="eastAsia"/>
          <w:lang w:eastAsia="zh-HK"/>
        </w:rPr>
        <w:t>調查。</w:t>
      </w:r>
    </w:p>
  </w:footnote>
  <w:footnote w:id="142">
    <w:p w:rsidR="00970832" w:rsidRPr="008B5E82" w:rsidRDefault="00970832" w:rsidP="004408E7">
      <w:pPr>
        <w:pStyle w:val="2---"/>
        <w:ind w:left="135" w:hanging="135"/>
      </w:pPr>
      <w:r w:rsidRPr="008B5E82">
        <w:rPr>
          <w:rStyle w:val="aff2"/>
        </w:rPr>
        <w:footnoteRef/>
      </w:r>
      <w:r w:rsidRPr="008B5E82">
        <w:t xml:space="preserve"> </w:t>
      </w:r>
      <w:r w:rsidRPr="008B5E82">
        <w:rPr>
          <w:rFonts w:hint="eastAsia"/>
        </w:rPr>
        <w:t>106</w:t>
      </w:r>
      <w:r w:rsidRPr="008B5E82">
        <w:rPr>
          <w:rFonts w:hint="eastAsia"/>
        </w:rPr>
        <w:t>財調</w:t>
      </w:r>
      <w:r w:rsidRPr="008B5E82">
        <w:rPr>
          <w:rFonts w:hint="eastAsia"/>
        </w:rPr>
        <w:t>0009</w:t>
      </w:r>
      <w:r w:rsidRPr="008B5E82">
        <w:rPr>
          <w:rFonts w:hint="eastAsia"/>
        </w:rPr>
        <w:t>，仉桂美、王美玉、章仁香</w:t>
      </w:r>
      <w:r w:rsidRPr="008B5E82">
        <w:rPr>
          <w:rFonts w:hint="eastAsia"/>
          <w:lang w:eastAsia="zh-HK"/>
        </w:rPr>
        <w:t>調查。</w:t>
      </w:r>
    </w:p>
  </w:footnote>
  <w:footnote w:id="143">
    <w:p w:rsidR="00970832" w:rsidRPr="008B5E82" w:rsidRDefault="00970832" w:rsidP="00954E2F">
      <w:pPr>
        <w:pStyle w:val="2---"/>
        <w:ind w:left="149" w:hanging="149"/>
        <w:rPr>
          <w:lang w:eastAsia="zh-HK"/>
        </w:rPr>
      </w:pPr>
      <w:r w:rsidRPr="00954E2F">
        <w:rPr>
          <w:rStyle w:val="aff2"/>
          <w:sz w:val="21"/>
          <w:szCs w:val="21"/>
        </w:rPr>
        <w:footnoteRef/>
      </w:r>
      <w:r w:rsidRPr="008B5E82">
        <w:t xml:space="preserve"> </w:t>
      </w:r>
      <w:r w:rsidRPr="008B5E82">
        <w:rPr>
          <w:rFonts w:hint="eastAsia"/>
        </w:rPr>
        <w:t>106</w:t>
      </w:r>
      <w:r w:rsidRPr="008B5E82">
        <w:rPr>
          <w:rFonts w:hint="eastAsia"/>
        </w:rPr>
        <w:t>內調</w:t>
      </w:r>
      <w:r w:rsidRPr="008B5E82">
        <w:rPr>
          <w:rFonts w:hint="eastAsia"/>
        </w:rPr>
        <w:t>0019</w:t>
      </w:r>
      <w:r w:rsidRPr="008B5E82">
        <w:rPr>
          <w:rFonts w:hint="eastAsia"/>
        </w:rPr>
        <w:t>，劉德勳、蔡培村</w:t>
      </w:r>
      <w:r w:rsidRPr="008B5E82">
        <w:rPr>
          <w:rFonts w:hint="eastAsia"/>
          <w:lang w:eastAsia="zh-HK"/>
        </w:rPr>
        <w:t>調查。</w:t>
      </w:r>
    </w:p>
  </w:footnote>
  <w:footnote w:id="144">
    <w:p w:rsidR="00970832" w:rsidRPr="008B5E82" w:rsidRDefault="00970832" w:rsidP="007C584D">
      <w:pPr>
        <w:pStyle w:val="2---"/>
        <w:ind w:left="315" w:hangingChars="150" w:hanging="315"/>
      </w:pPr>
      <w:r w:rsidRPr="00954E2F">
        <w:rPr>
          <w:rStyle w:val="aff2"/>
          <w:sz w:val="21"/>
          <w:szCs w:val="21"/>
        </w:rPr>
        <w:footnoteRef/>
      </w:r>
      <w:r w:rsidRPr="008B5E82">
        <w:rPr>
          <w:rFonts w:hint="eastAsia"/>
        </w:rPr>
        <w:t xml:space="preserve"> </w:t>
      </w:r>
      <w:r w:rsidRPr="008B5E82">
        <w:rPr>
          <w:rFonts w:hint="eastAsia"/>
          <w:lang w:eastAsia="zh-HK"/>
        </w:rPr>
        <w:t>大須賀明</w:t>
      </w:r>
      <w:r w:rsidRPr="008B5E82">
        <w:rPr>
          <w:rFonts w:hint="eastAsia"/>
        </w:rPr>
        <w:t>（</w:t>
      </w:r>
      <w:r w:rsidRPr="008B5E82">
        <w:rPr>
          <w:rFonts w:hint="eastAsia"/>
          <w:lang w:eastAsia="zh-HK"/>
        </w:rPr>
        <w:t>林浩譯</w:t>
      </w:r>
      <w:r w:rsidRPr="00860E1D">
        <w:rPr>
          <w:rFonts w:hint="eastAsia"/>
          <w:spacing w:val="-26"/>
          <w:lang w:eastAsia="zh-HK"/>
        </w:rPr>
        <w:t>），</w:t>
      </w:r>
      <w:r w:rsidRPr="008B5E82">
        <w:rPr>
          <w:rFonts w:hint="eastAsia"/>
        </w:rPr>
        <w:t>《</w:t>
      </w:r>
      <w:r w:rsidRPr="008B5E82">
        <w:rPr>
          <w:rFonts w:hint="eastAsia"/>
          <w:lang w:eastAsia="zh-HK"/>
        </w:rPr>
        <w:t>生存權論</w:t>
      </w:r>
      <w:r w:rsidRPr="00860E1D">
        <w:rPr>
          <w:rFonts w:hint="eastAsia"/>
          <w:spacing w:val="-26"/>
        </w:rPr>
        <w:t>》</w:t>
      </w:r>
      <w:r w:rsidRPr="008B5E82">
        <w:rPr>
          <w:rFonts w:hint="eastAsia"/>
        </w:rPr>
        <w:t>，臺北：元照出版公司，</w:t>
      </w:r>
      <w:r w:rsidRPr="008B5E82">
        <w:t>2001</w:t>
      </w:r>
      <w:r w:rsidRPr="008B5E82">
        <w:rPr>
          <w:rFonts w:hint="eastAsia"/>
        </w:rPr>
        <w:t>年，頁</w:t>
      </w:r>
      <w:r w:rsidRPr="008B5E82">
        <w:t>30-31</w:t>
      </w:r>
      <w:r w:rsidRPr="008B5E82">
        <w:rPr>
          <w:rFonts w:hint="eastAsia"/>
        </w:rPr>
        <w:t>。</w:t>
      </w:r>
    </w:p>
  </w:footnote>
  <w:footnote w:id="145">
    <w:p w:rsidR="00970832" w:rsidRPr="008B5E82" w:rsidRDefault="00970832" w:rsidP="007C584D">
      <w:pPr>
        <w:pStyle w:val="2---"/>
        <w:ind w:left="315" w:hangingChars="150" w:hanging="315"/>
      </w:pPr>
      <w:r w:rsidRPr="00954E2F">
        <w:rPr>
          <w:rStyle w:val="aff2"/>
          <w:sz w:val="21"/>
          <w:szCs w:val="21"/>
        </w:rPr>
        <w:footnoteRef/>
      </w:r>
      <w:r w:rsidRPr="008B5E82">
        <w:rPr>
          <w:rFonts w:hint="eastAsia"/>
        </w:rPr>
        <w:t xml:space="preserve"> </w:t>
      </w:r>
      <w:r w:rsidRPr="008B5E82">
        <w:rPr>
          <w:rFonts w:hint="eastAsia"/>
        </w:rPr>
        <w:t>許志雄</w:t>
      </w:r>
      <w:r w:rsidRPr="00860E1D">
        <w:rPr>
          <w:rFonts w:hint="eastAsia"/>
          <w:spacing w:val="-26"/>
        </w:rPr>
        <w:t>，</w:t>
      </w:r>
      <w:r w:rsidRPr="008B5E82">
        <w:rPr>
          <w:rFonts w:hint="eastAsia"/>
        </w:rPr>
        <w:t>〈環境</w:t>
      </w:r>
      <w:r w:rsidRPr="008B5E82">
        <w:rPr>
          <w:rFonts w:hint="eastAsia"/>
          <w:lang w:eastAsia="zh-HK"/>
        </w:rPr>
        <w:t>權</w:t>
      </w:r>
      <w:r w:rsidRPr="00860E1D">
        <w:rPr>
          <w:rFonts w:hint="eastAsia"/>
          <w:spacing w:val="-26"/>
        </w:rPr>
        <w:t>〉，</w:t>
      </w:r>
      <w:r w:rsidRPr="008B5E82">
        <w:rPr>
          <w:rFonts w:hint="eastAsia"/>
        </w:rPr>
        <w:t>《人權論</w:t>
      </w:r>
      <w:r>
        <w:rPr>
          <w:rFonts w:hint="eastAsia"/>
        </w:rPr>
        <w:t>－</w:t>
      </w:r>
      <w:r w:rsidRPr="008B5E82">
        <w:rPr>
          <w:rFonts w:hint="eastAsia"/>
        </w:rPr>
        <w:t>現代與近代的交會</w:t>
      </w:r>
      <w:r w:rsidRPr="00860E1D">
        <w:rPr>
          <w:rFonts w:hint="eastAsia"/>
          <w:spacing w:val="-26"/>
        </w:rPr>
        <w:t>》</w:t>
      </w:r>
      <w:r w:rsidRPr="008B5E82">
        <w:rPr>
          <w:rFonts w:hint="eastAsia"/>
        </w:rPr>
        <w:t>，臺北：元照出版有限公司，</w:t>
      </w:r>
      <w:r w:rsidRPr="008B5E82">
        <w:rPr>
          <w:rFonts w:hint="eastAsia"/>
        </w:rPr>
        <w:t>2016</w:t>
      </w:r>
      <w:r w:rsidRPr="008B5E82">
        <w:rPr>
          <w:rFonts w:hint="eastAsia"/>
        </w:rPr>
        <w:t>年，頁</w:t>
      </w:r>
      <w:r w:rsidRPr="008B5E82">
        <w:rPr>
          <w:rFonts w:hint="eastAsia"/>
        </w:rPr>
        <w:t>424-427</w:t>
      </w:r>
      <w:r w:rsidRPr="008B5E82">
        <w:rPr>
          <w:rFonts w:hint="eastAsia"/>
        </w:rPr>
        <w:t>。</w:t>
      </w:r>
    </w:p>
  </w:footnote>
  <w:footnote w:id="146">
    <w:p w:rsidR="00970832" w:rsidRPr="008B5E82" w:rsidRDefault="00970832" w:rsidP="007C584D">
      <w:pPr>
        <w:pStyle w:val="2---"/>
        <w:ind w:left="315" w:hangingChars="150" w:hanging="315"/>
      </w:pPr>
      <w:r w:rsidRPr="00954E2F">
        <w:rPr>
          <w:sz w:val="21"/>
          <w:szCs w:val="21"/>
          <w:vertAlign w:val="superscript"/>
        </w:rPr>
        <w:footnoteRef/>
      </w:r>
      <w:r w:rsidRPr="008B5E82">
        <w:rPr>
          <w:rFonts w:hint="eastAsia"/>
        </w:rPr>
        <w:t xml:space="preserve"> </w:t>
      </w:r>
      <w:r w:rsidRPr="008B5E82">
        <w:t>謝孟雄</w:t>
      </w:r>
      <w:r w:rsidRPr="00860E1D">
        <w:rPr>
          <w:spacing w:val="-26"/>
        </w:rPr>
        <w:t>，</w:t>
      </w:r>
      <w:r w:rsidRPr="008B5E82">
        <w:rPr>
          <w:rFonts w:hint="eastAsia"/>
        </w:rPr>
        <w:t>《</w:t>
      </w:r>
      <w:r w:rsidRPr="008B5E82">
        <w:t>社會工作與醫療</w:t>
      </w:r>
      <w:r w:rsidRPr="00860E1D">
        <w:rPr>
          <w:rFonts w:hint="eastAsia"/>
          <w:spacing w:val="-26"/>
        </w:rPr>
        <w:t>》</w:t>
      </w:r>
      <w:r w:rsidRPr="008B5E82">
        <w:t>，臺北：桂冠圖書公司，</w:t>
      </w:r>
      <w:r w:rsidRPr="008B5E82">
        <w:t>1990</w:t>
      </w:r>
      <w:r w:rsidRPr="008B5E82">
        <w:t>年，頁</w:t>
      </w:r>
      <w:r w:rsidRPr="008B5E82">
        <w:t>2-3</w:t>
      </w:r>
      <w:r w:rsidRPr="008B5E82">
        <w:t>。</w:t>
      </w:r>
    </w:p>
  </w:footnote>
  <w:footnote w:id="147">
    <w:p w:rsidR="00970832" w:rsidRPr="008B5E82" w:rsidRDefault="00970832" w:rsidP="007C584D">
      <w:pPr>
        <w:pStyle w:val="2---"/>
        <w:ind w:left="315" w:hangingChars="150" w:hanging="315"/>
      </w:pPr>
      <w:r w:rsidRPr="00954E2F">
        <w:rPr>
          <w:sz w:val="21"/>
          <w:szCs w:val="21"/>
          <w:vertAlign w:val="superscript"/>
        </w:rPr>
        <w:footnoteRef/>
      </w:r>
      <w:r w:rsidRPr="008B5E82">
        <w:rPr>
          <w:rFonts w:hint="eastAsia"/>
        </w:rPr>
        <w:t xml:space="preserve"> </w:t>
      </w:r>
      <w:r w:rsidRPr="008B5E82">
        <w:rPr>
          <w:rFonts w:hint="eastAsia"/>
        </w:rPr>
        <w:t>徐揮彥</w:t>
      </w:r>
      <w:r w:rsidRPr="00860E1D">
        <w:rPr>
          <w:rFonts w:hint="eastAsia"/>
          <w:spacing w:val="-26"/>
        </w:rPr>
        <w:t>，</w:t>
      </w:r>
      <w:r w:rsidRPr="008B5E82">
        <w:rPr>
          <w:rFonts w:hint="eastAsia"/>
        </w:rPr>
        <w:t>〈經濟社會文化權利國際公約第九條</w:t>
      </w:r>
      <w:r>
        <w:rPr>
          <w:rFonts w:hint="eastAsia"/>
        </w:rPr>
        <w:t>－</w:t>
      </w:r>
      <w:r w:rsidRPr="008B5E82">
        <w:rPr>
          <w:rFonts w:hint="eastAsia"/>
        </w:rPr>
        <w:t>社會保障</w:t>
      </w:r>
      <w:r w:rsidRPr="00860E1D">
        <w:rPr>
          <w:rFonts w:hint="eastAsia"/>
          <w:spacing w:val="-26"/>
        </w:rPr>
        <w:t>〉，</w:t>
      </w:r>
      <w:r w:rsidRPr="008B5E82">
        <w:rPr>
          <w:rFonts w:hint="eastAsia"/>
        </w:rPr>
        <w:t>《</w:t>
      </w:r>
      <w:r w:rsidRPr="008B5E82">
        <w:rPr>
          <w:rFonts w:hint="eastAsia"/>
        </w:rPr>
        <w:t>2012</w:t>
      </w:r>
      <w:r w:rsidRPr="008B5E82">
        <w:rPr>
          <w:rFonts w:hint="eastAsia"/>
        </w:rPr>
        <w:t>兩公約學習地圖</w:t>
      </w:r>
      <w:r w:rsidRPr="00860E1D">
        <w:rPr>
          <w:rFonts w:hint="eastAsia"/>
          <w:spacing w:val="-26"/>
        </w:rPr>
        <w:t>》</w:t>
      </w:r>
      <w:r w:rsidRPr="008B5E82">
        <w:rPr>
          <w:rFonts w:hint="eastAsia"/>
        </w:rPr>
        <w:t>，法務部，</w:t>
      </w:r>
      <w:r w:rsidRPr="008B5E82">
        <w:rPr>
          <w:rFonts w:hint="eastAsia"/>
        </w:rPr>
        <w:t>2012</w:t>
      </w:r>
      <w:r w:rsidRPr="008B5E82">
        <w:rPr>
          <w:rFonts w:hint="eastAsia"/>
        </w:rPr>
        <w:t>年，頁</w:t>
      </w:r>
      <w:r w:rsidRPr="008B5E82">
        <w:rPr>
          <w:rFonts w:hint="eastAsia"/>
        </w:rPr>
        <w:t>97-100</w:t>
      </w:r>
      <w:r w:rsidRPr="008B5E82">
        <w:rPr>
          <w:rFonts w:hint="eastAsia"/>
        </w:rPr>
        <w:t>。</w:t>
      </w:r>
    </w:p>
  </w:footnote>
  <w:footnote w:id="148">
    <w:p w:rsidR="00970832" w:rsidRPr="008B5E82" w:rsidRDefault="00970832" w:rsidP="007C584D">
      <w:pPr>
        <w:pStyle w:val="2---"/>
        <w:ind w:left="315" w:hangingChars="150" w:hanging="315"/>
      </w:pPr>
      <w:r w:rsidRPr="00954E2F">
        <w:rPr>
          <w:sz w:val="21"/>
          <w:szCs w:val="21"/>
          <w:vertAlign w:val="superscript"/>
        </w:rPr>
        <w:footnoteRef/>
      </w:r>
      <w:r w:rsidRPr="008B5E82">
        <w:rPr>
          <w:rFonts w:hint="eastAsia"/>
        </w:rPr>
        <w:t xml:space="preserve"> </w:t>
      </w:r>
      <w:r w:rsidRPr="008B5E82">
        <w:rPr>
          <w:rFonts w:hint="eastAsia"/>
        </w:rPr>
        <w:t>法務部</w:t>
      </w:r>
      <w:r w:rsidRPr="00860E1D">
        <w:rPr>
          <w:rFonts w:hint="eastAsia"/>
          <w:spacing w:val="-26"/>
        </w:rPr>
        <w:t>，</w:t>
      </w:r>
      <w:r w:rsidRPr="008B5E82">
        <w:rPr>
          <w:rFonts w:hint="eastAsia"/>
        </w:rPr>
        <w:t>《</w:t>
      </w:r>
      <w:r w:rsidRPr="008B5E82">
        <w:t>兩公約中階種子培訓營講義</w:t>
      </w:r>
      <w:r w:rsidRPr="00860E1D">
        <w:rPr>
          <w:rFonts w:hint="eastAsia"/>
          <w:spacing w:val="-26"/>
        </w:rPr>
        <w:t>》</w:t>
      </w:r>
      <w:r w:rsidRPr="008B5E82">
        <w:t>，臺北：法務部，</w:t>
      </w:r>
      <w:r w:rsidRPr="008B5E82">
        <w:t>2012</w:t>
      </w:r>
      <w:r w:rsidRPr="008B5E82">
        <w:t>年，頁</w:t>
      </w:r>
      <w:r w:rsidRPr="008B5E82">
        <w:t>99</w:t>
      </w:r>
      <w:r w:rsidRPr="008B5E82">
        <w:t>。</w:t>
      </w:r>
    </w:p>
  </w:footnote>
  <w:footnote w:id="149">
    <w:p w:rsidR="00970832" w:rsidRPr="008B5E82" w:rsidRDefault="00970832" w:rsidP="00954E2F">
      <w:pPr>
        <w:pStyle w:val="2---"/>
        <w:ind w:left="149" w:hanging="149"/>
      </w:pPr>
      <w:r w:rsidRPr="00954E2F">
        <w:rPr>
          <w:rStyle w:val="aff2"/>
          <w:sz w:val="21"/>
          <w:szCs w:val="21"/>
        </w:rPr>
        <w:footnoteRef/>
      </w:r>
      <w:r w:rsidRPr="008B5E82">
        <w:t xml:space="preserve"> </w:t>
      </w:r>
      <w:r w:rsidRPr="008B5E82">
        <w:rPr>
          <w:rFonts w:hint="eastAsia"/>
        </w:rPr>
        <w:t>106</w:t>
      </w:r>
      <w:r w:rsidRPr="008B5E82">
        <w:rPr>
          <w:rFonts w:hint="eastAsia"/>
        </w:rPr>
        <w:t>財調</w:t>
      </w:r>
      <w:r w:rsidRPr="008B5E82">
        <w:rPr>
          <w:rFonts w:hint="eastAsia"/>
        </w:rPr>
        <w:t>0005</w:t>
      </w:r>
      <w:r w:rsidRPr="008B5E82">
        <w:rPr>
          <w:rFonts w:hint="eastAsia"/>
        </w:rPr>
        <w:t>，江綺雯、孫大川</w:t>
      </w:r>
      <w:r w:rsidRPr="008B5E82">
        <w:rPr>
          <w:rFonts w:hint="eastAsia"/>
          <w:lang w:eastAsia="zh-HK"/>
        </w:rPr>
        <w:t>調查。</w:t>
      </w:r>
    </w:p>
  </w:footnote>
  <w:footnote w:id="150">
    <w:p w:rsidR="00970832" w:rsidRPr="008B5E82" w:rsidRDefault="00970832" w:rsidP="00954E2F">
      <w:pPr>
        <w:pStyle w:val="2---"/>
        <w:ind w:left="149" w:hanging="149"/>
      </w:pPr>
      <w:r w:rsidRPr="00954E2F">
        <w:rPr>
          <w:rStyle w:val="aff2"/>
          <w:sz w:val="21"/>
          <w:szCs w:val="21"/>
        </w:rPr>
        <w:footnoteRef/>
      </w:r>
      <w:r w:rsidRPr="008B5E82">
        <w:rPr>
          <w:rFonts w:hint="eastAsia"/>
        </w:rPr>
        <w:t xml:space="preserve"> 106</w:t>
      </w:r>
      <w:r w:rsidRPr="008B5E82">
        <w:rPr>
          <w:rFonts w:hint="eastAsia"/>
        </w:rPr>
        <w:t>財調</w:t>
      </w:r>
      <w:r w:rsidRPr="008B5E82">
        <w:rPr>
          <w:rFonts w:hint="eastAsia"/>
        </w:rPr>
        <w:t>0019</w:t>
      </w:r>
      <w:r w:rsidRPr="008B5E82">
        <w:rPr>
          <w:rFonts w:hint="eastAsia"/>
        </w:rPr>
        <w:t>，</w:t>
      </w:r>
      <w:r w:rsidRPr="008B5E82">
        <w:rPr>
          <w:szCs w:val="32"/>
        </w:rPr>
        <w:t>陳小紅、楊美鈴</w:t>
      </w:r>
      <w:r w:rsidRPr="008B5E82">
        <w:rPr>
          <w:rFonts w:hint="eastAsia"/>
        </w:rPr>
        <w:t>調查。</w:t>
      </w:r>
    </w:p>
  </w:footnote>
  <w:footnote w:id="151">
    <w:p w:rsidR="00970832" w:rsidRPr="008B5E82" w:rsidRDefault="00970832" w:rsidP="00E24CA6">
      <w:pPr>
        <w:pStyle w:val="2---"/>
        <w:ind w:left="149" w:hanging="149"/>
      </w:pPr>
      <w:r w:rsidRPr="00E24CA6">
        <w:rPr>
          <w:rStyle w:val="aff2"/>
          <w:sz w:val="21"/>
          <w:szCs w:val="21"/>
        </w:rPr>
        <w:footnoteRef/>
      </w:r>
      <w:r w:rsidRPr="008B5E82">
        <w:t xml:space="preserve"> </w:t>
      </w:r>
      <w:r w:rsidRPr="008B5E82">
        <w:rPr>
          <w:rFonts w:hint="eastAsia"/>
        </w:rPr>
        <w:t>106</w:t>
      </w:r>
      <w:r w:rsidRPr="008B5E82">
        <w:rPr>
          <w:rFonts w:hint="eastAsia"/>
        </w:rPr>
        <w:t>財調</w:t>
      </w:r>
      <w:r w:rsidRPr="008B5E82">
        <w:rPr>
          <w:rFonts w:hint="eastAsia"/>
        </w:rPr>
        <w:t>0049</w:t>
      </w:r>
      <w:r w:rsidRPr="008B5E82">
        <w:rPr>
          <w:rFonts w:hint="eastAsia"/>
        </w:rPr>
        <w:t>，陳小紅、陳慶財、江綺雯、林雅鋒</w:t>
      </w:r>
      <w:r w:rsidRPr="008B5E82">
        <w:rPr>
          <w:rFonts w:hint="eastAsia"/>
          <w:lang w:eastAsia="zh-HK"/>
        </w:rPr>
        <w:t>調查。</w:t>
      </w:r>
    </w:p>
  </w:footnote>
  <w:footnote w:id="152">
    <w:p w:rsidR="00970832" w:rsidRPr="008B5E82" w:rsidRDefault="00970832" w:rsidP="00E24CA6">
      <w:pPr>
        <w:pStyle w:val="2---"/>
        <w:ind w:left="149" w:hanging="149"/>
      </w:pPr>
      <w:r w:rsidRPr="00E24CA6">
        <w:rPr>
          <w:rStyle w:val="aff2"/>
          <w:sz w:val="21"/>
          <w:szCs w:val="21"/>
        </w:rPr>
        <w:footnoteRef/>
      </w:r>
      <w:r w:rsidRPr="008B5E82">
        <w:t xml:space="preserve"> </w:t>
      </w:r>
      <w:r w:rsidRPr="008B5E82">
        <w:rPr>
          <w:rFonts w:hint="eastAsia"/>
        </w:rPr>
        <w:t>106</w:t>
      </w:r>
      <w:r w:rsidRPr="008B5E82">
        <w:rPr>
          <w:rFonts w:hint="eastAsia"/>
        </w:rPr>
        <w:t>司調</w:t>
      </w:r>
      <w:r w:rsidRPr="008B5E82">
        <w:rPr>
          <w:rFonts w:hint="eastAsia"/>
        </w:rPr>
        <w:t>0027</w:t>
      </w:r>
      <w:r w:rsidRPr="008B5E82">
        <w:rPr>
          <w:rFonts w:hint="eastAsia"/>
        </w:rPr>
        <w:t>，林雅鋒、江明蒼</w:t>
      </w:r>
      <w:r w:rsidRPr="008B5E82">
        <w:rPr>
          <w:rFonts w:hint="eastAsia"/>
          <w:lang w:eastAsia="zh-HK"/>
        </w:rPr>
        <w:t>調查。</w:t>
      </w:r>
    </w:p>
  </w:footnote>
  <w:footnote w:id="153">
    <w:p w:rsidR="00970832" w:rsidRPr="008B5E82" w:rsidRDefault="00970832" w:rsidP="00E24CA6">
      <w:pPr>
        <w:pStyle w:val="2---"/>
        <w:ind w:left="149" w:hanging="149"/>
        <w:rPr>
          <w:lang w:eastAsia="zh-HK"/>
        </w:rPr>
      </w:pPr>
      <w:r w:rsidRPr="00E24CA6">
        <w:rPr>
          <w:rStyle w:val="aff2"/>
          <w:sz w:val="21"/>
          <w:szCs w:val="21"/>
        </w:rPr>
        <w:footnoteRef/>
      </w:r>
      <w:r w:rsidRPr="008B5E82">
        <w:t xml:space="preserve"> </w:t>
      </w:r>
      <w:r w:rsidRPr="008B5E82">
        <w:rPr>
          <w:rFonts w:hint="eastAsia"/>
        </w:rPr>
        <w:t>106</w:t>
      </w:r>
      <w:r w:rsidRPr="008B5E82">
        <w:rPr>
          <w:rFonts w:hint="eastAsia"/>
        </w:rPr>
        <w:t>教調</w:t>
      </w:r>
      <w:r w:rsidRPr="008B5E82">
        <w:rPr>
          <w:rFonts w:hint="eastAsia"/>
        </w:rPr>
        <w:t>0036</w:t>
      </w:r>
      <w:r w:rsidRPr="008B5E82">
        <w:rPr>
          <w:rFonts w:hint="eastAsia"/>
        </w:rPr>
        <w:t>，仉桂美、王美玉</w:t>
      </w:r>
      <w:r w:rsidRPr="008B5E82">
        <w:rPr>
          <w:rFonts w:hint="eastAsia"/>
          <w:lang w:eastAsia="zh-HK"/>
        </w:rPr>
        <w:t>調查。</w:t>
      </w:r>
    </w:p>
  </w:footnote>
  <w:footnote w:id="154">
    <w:p w:rsidR="00970832" w:rsidRPr="008B5E82" w:rsidRDefault="00970832" w:rsidP="00E24CA6">
      <w:pPr>
        <w:pStyle w:val="2---"/>
        <w:ind w:left="149" w:hanging="149"/>
      </w:pPr>
      <w:r w:rsidRPr="00E24CA6">
        <w:rPr>
          <w:rStyle w:val="aff2"/>
          <w:sz w:val="21"/>
          <w:szCs w:val="21"/>
        </w:rPr>
        <w:footnoteRef/>
      </w:r>
      <w:r w:rsidRPr="008B5E82">
        <w:t xml:space="preserve"> </w:t>
      </w:r>
      <w:r w:rsidRPr="008B5E82">
        <w:rPr>
          <w:rFonts w:hint="eastAsia"/>
        </w:rPr>
        <w:t>106</w:t>
      </w:r>
      <w:r w:rsidRPr="008B5E82">
        <w:rPr>
          <w:rFonts w:hint="eastAsia"/>
        </w:rPr>
        <w:t>教調</w:t>
      </w:r>
      <w:r w:rsidRPr="008B5E82">
        <w:rPr>
          <w:rFonts w:hint="eastAsia"/>
        </w:rPr>
        <w:t>0032</w:t>
      </w:r>
      <w:r w:rsidRPr="008B5E82">
        <w:rPr>
          <w:rFonts w:hint="eastAsia"/>
        </w:rPr>
        <w:t>，仉桂美、林雅鋒、王美玉</w:t>
      </w:r>
      <w:r w:rsidRPr="008B5E82">
        <w:rPr>
          <w:rFonts w:hint="eastAsia"/>
          <w:lang w:eastAsia="zh-HK"/>
        </w:rPr>
        <w:t>調查。</w:t>
      </w:r>
    </w:p>
  </w:footnote>
  <w:footnote w:id="155">
    <w:p w:rsidR="00970832" w:rsidRPr="008B5E82" w:rsidRDefault="00970832" w:rsidP="00E24CA6">
      <w:pPr>
        <w:pStyle w:val="2---"/>
        <w:ind w:left="149" w:hanging="149"/>
        <w:rPr>
          <w:lang w:eastAsia="zh-HK"/>
        </w:rPr>
      </w:pPr>
      <w:r w:rsidRPr="00E24CA6">
        <w:rPr>
          <w:rStyle w:val="aff2"/>
          <w:sz w:val="21"/>
          <w:szCs w:val="21"/>
        </w:rPr>
        <w:footnoteRef/>
      </w:r>
      <w:r w:rsidRPr="008B5E82">
        <w:t xml:space="preserve"> </w:t>
      </w:r>
      <w:r w:rsidRPr="008B5E82">
        <w:rPr>
          <w:rFonts w:hint="eastAsia"/>
        </w:rPr>
        <w:t>106</w:t>
      </w:r>
      <w:r w:rsidRPr="008B5E82">
        <w:rPr>
          <w:rFonts w:hint="eastAsia"/>
        </w:rPr>
        <w:t>內調</w:t>
      </w:r>
      <w:r w:rsidRPr="008B5E82">
        <w:rPr>
          <w:rFonts w:hint="eastAsia"/>
        </w:rPr>
        <w:t>0018</w:t>
      </w:r>
      <w:r w:rsidRPr="008B5E82">
        <w:rPr>
          <w:rFonts w:hint="eastAsia"/>
        </w:rPr>
        <w:t>，包宗和、仉桂美、江綺雯</w:t>
      </w:r>
      <w:r w:rsidRPr="008B5E82">
        <w:rPr>
          <w:rFonts w:hint="eastAsia"/>
          <w:lang w:eastAsia="zh-HK"/>
        </w:rPr>
        <w:t>調查。</w:t>
      </w:r>
    </w:p>
  </w:footnote>
  <w:footnote w:id="156">
    <w:p w:rsidR="00970832" w:rsidRPr="008B5E82" w:rsidRDefault="00970832" w:rsidP="00E24CA6">
      <w:pPr>
        <w:pStyle w:val="2---"/>
        <w:ind w:left="149" w:hanging="149"/>
        <w:rPr>
          <w:lang w:eastAsia="zh-HK"/>
        </w:rPr>
      </w:pPr>
      <w:r w:rsidRPr="00E24CA6">
        <w:rPr>
          <w:rStyle w:val="aff2"/>
          <w:sz w:val="21"/>
          <w:szCs w:val="21"/>
        </w:rPr>
        <w:footnoteRef/>
      </w:r>
      <w:r w:rsidRPr="008B5E82">
        <w:t xml:space="preserve"> </w:t>
      </w:r>
      <w:r w:rsidRPr="008B5E82">
        <w:rPr>
          <w:rFonts w:hint="eastAsia"/>
        </w:rPr>
        <w:t>106</w:t>
      </w:r>
      <w:r w:rsidRPr="008B5E82">
        <w:rPr>
          <w:rFonts w:hint="eastAsia"/>
        </w:rPr>
        <w:t>財調</w:t>
      </w:r>
      <w:r w:rsidRPr="008B5E82">
        <w:rPr>
          <w:rFonts w:hint="eastAsia"/>
        </w:rPr>
        <w:t>0032</w:t>
      </w:r>
      <w:r w:rsidRPr="008B5E82">
        <w:rPr>
          <w:rFonts w:hint="eastAsia"/>
        </w:rPr>
        <w:t>，劉德勳、江綺雯、王美玉、仉桂美</w:t>
      </w:r>
      <w:r w:rsidRPr="008B5E82">
        <w:rPr>
          <w:rFonts w:hint="eastAsia"/>
          <w:lang w:eastAsia="zh-HK"/>
        </w:rPr>
        <w:t>調查。</w:t>
      </w:r>
    </w:p>
  </w:footnote>
  <w:footnote w:id="157">
    <w:p w:rsidR="00970832" w:rsidRPr="008B5E82" w:rsidRDefault="00970832" w:rsidP="007C584D">
      <w:pPr>
        <w:pStyle w:val="2---"/>
        <w:ind w:left="149" w:hanging="149"/>
      </w:pPr>
      <w:r w:rsidRPr="00E24CA6">
        <w:rPr>
          <w:rStyle w:val="aff2"/>
          <w:sz w:val="21"/>
          <w:szCs w:val="21"/>
        </w:rPr>
        <w:footnoteRef/>
      </w:r>
      <w:r w:rsidRPr="008B5E82">
        <w:t xml:space="preserve"> </w:t>
      </w:r>
      <w:r w:rsidRPr="008B5E82">
        <w:rPr>
          <w:rFonts w:hint="eastAsia"/>
        </w:rPr>
        <w:t>106</w:t>
      </w:r>
      <w:r w:rsidRPr="008B5E82">
        <w:rPr>
          <w:rFonts w:hint="eastAsia"/>
        </w:rPr>
        <w:t>財調</w:t>
      </w:r>
      <w:r w:rsidRPr="008B5E82">
        <w:rPr>
          <w:rFonts w:hint="eastAsia"/>
        </w:rPr>
        <w:t>0006</w:t>
      </w:r>
      <w:r w:rsidRPr="008B5E82">
        <w:rPr>
          <w:rFonts w:hint="eastAsia"/>
        </w:rPr>
        <w:t>，王美玉、仉桂美</w:t>
      </w:r>
      <w:r w:rsidRPr="008B5E82">
        <w:rPr>
          <w:rFonts w:hint="eastAsia"/>
          <w:lang w:eastAsia="zh-HK"/>
        </w:rPr>
        <w:t>調查。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Pr="00D3592F" w:rsidRDefault="00970832" w:rsidP="00D3592F">
    <w:pPr>
      <w:pStyle w:val="1--0"/>
    </w:pPr>
    <w:r w:rsidRPr="00560037">
      <w:fldChar w:fldCharType="begin"/>
    </w:r>
    <w:r w:rsidRPr="00560037">
      <w:instrText xml:space="preserve"> PAGE   \* MERGEFORMAT </w:instrText>
    </w:r>
    <w:r w:rsidRPr="00560037">
      <w:fldChar w:fldCharType="separate"/>
    </w:r>
    <w:r w:rsidRPr="00CD5E85">
      <w:rPr>
        <w:noProof/>
        <w:lang w:val="zh-TW"/>
      </w:rPr>
      <w:t>VIII</w:t>
    </w:r>
    <w:r w:rsidRPr="00560037">
      <w:fldChar w:fldCharType="end"/>
    </w:r>
    <w:r w:rsidRPr="00560037">
      <w:rPr>
        <w:rFonts w:eastAsia="細明體" w:hAnsi="細明體"/>
      </w:rPr>
      <w:t xml:space="preserve">　</w:t>
    </w:r>
    <w:r w:rsidRPr="009A5E16">
      <w:t>201</w:t>
    </w:r>
    <w:r>
      <w:rPr>
        <w:rFonts w:hint="eastAsia"/>
      </w:rPr>
      <w:t>7</w:t>
    </w:r>
    <w:r w:rsidRPr="009A5E16">
      <w:rPr>
        <w:rFonts w:hAnsi="標楷體"/>
      </w:rPr>
      <w:t>年監察院人權工作實錄</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Pr="00D3592F" w:rsidRDefault="00970832" w:rsidP="00D3592F">
    <w:pPr>
      <w:pStyle w:val="1--0"/>
    </w:pPr>
    <w:r w:rsidRPr="00560037">
      <w:fldChar w:fldCharType="begin"/>
    </w:r>
    <w:r w:rsidRPr="00560037">
      <w:instrText xml:space="preserve"> PAGE   \* MERGEFORMAT </w:instrText>
    </w:r>
    <w:r w:rsidRPr="00560037">
      <w:fldChar w:fldCharType="separate"/>
    </w:r>
    <w:r w:rsidRPr="000E210E">
      <w:rPr>
        <w:noProof/>
        <w:lang w:val="zh-TW"/>
      </w:rPr>
      <w:t>296</w:t>
    </w:r>
    <w:r w:rsidRPr="00560037">
      <w:fldChar w:fldCharType="end"/>
    </w:r>
    <w:r w:rsidRPr="00560037">
      <w:rPr>
        <w:rFonts w:eastAsia="細明體" w:hAnsi="細明體"/>
      </w:rPr>
      <w:t xml:space="preserve">　</w:t>
    </w:r>
    <w:r w:rsidRPr="009A5E16">
      <w:t>201</w:t>
    </w:r>
    <w:r>
      <w:rPr>
        <w:rFonts w:hint="eastAsia"/>
      </w:rPr>
      <w:t>7</w:t>
    </w:r>
    <w:r w:rsidRPr="009A5E16">
      <w:rPr>
        <w:rFonts w:hAnsi="標楷體"/>
      </w:rPr>
      <w:t>年監察院人權工作實錄</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Default="00970832" w:rsidP="00D3592F">
    <w:pPr>
      <w:pStyle w:val="afff0"/>
    </w:pPr>
    <w:r w:rsidRPr="00E90011">
      <w:rPr>
        <w:rFonts w:hint="eastAsia"/>
      </w:rPr>
      <w:t>第</w:t>
    </w:r>
    <w:r>
      <w:rPr>
        <w:rFonts w:hint="eastAsia"/>
        <w:lang w:eastAsia="zh-TW"/>
      </w:rPr>
      <w:t>五</w:t>
    </w:r>
    <w:r w:rsidRPr="00E90011">
      <w:rPr>
        <w:rFonts w:hint="eastAsia"/>
      </w:rPr>
      <w:t xml:space="preserve">章　</w:t>
    </w:r>
    <w:r>
      <w:rPr>
        <w:rFonts w:hint="eastAsia"/>
        <w:lang w:eastAsia="zh-TW"/>
      </w:rPr>
      <w:t>健康</w:t>
    </w:r>
    <w:r w:rsidRPr="00E90011">
      <w:rPr>
        <w:rFonts w:hint="eastAsia"/>
      </w:rPr>
      <w:t xml:space="preserve">權　</w:t>
    </w:r>
    <w:r w:rsidRPr="00D3592F">
      <w:rPr>
        <w:rFonts w:ascii="Times New Roman" w:hAnsi="Times New Roman" w:cs="Times New Roman"/>
      </w:rPr>
      <w:fldChar w:fldCharType="begin"/>
    </w:r>
    <w:r w:rsidRPr="00D3592F">
      <w:rPr>
        <w:rFonts w:ascii="Times New Roman" w:hAnsi="Times New Roman" w:cs="Times New Roman"/>
      </w:rPr>
      <w:instrText xml:space="preserve"> PAGE   \* MERGEFORMAT </w:instrText>
    </w:r>
    <w:r w:rsidRPr="00D3592F">
      <w:rPr>
        <w:rFonts w:ascii="Times New Roman" w:hAnsi="Times New Roman" w:cs="Times New Roman"/>
      </w:rPr>
      <w:fldChar w:fldCharType="separate"/>
    </w:r>
    <w:r>
      <w:rPr>
        <w:rFonts w:ascii="Times New Roman" w:hAnsi="Times New Roman" w:cs="Times New Roman"/>
        <w:noProof/>
      </w:rPr>
      <w:t>297</w:t>
    </w:r>
    <w:r w:rsidRPr="00D3592F">
      <w:rPr>
        <w:rFonts w:ascii="Times New Roman" w:hAnsi="Times New Roman" w:cs="Times New Roman"/>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Pr="00D3592F" w:rsidRDefault="00970832" w:rsidP="00D3592F">
    <w:pPr>
      <w:pStyle w:val="1--0"/>
    </w:pPr>
    <w:r w:rsidRPr="00560037">
      <w:fldChar w:fldCharType="begin"/>
    </w:r>
    <w:r w:rsidRPr="00560037">
      <w:instrText xml:space="preserve"> PAGE   \* MERGEFORMAT </w:instrText>
    </w:r>
    <w:r w:rsidRPr="00560037">
      <w:fldChar w:fldCharType="separate"/>
    </w:r>
    <w:r w:rsidR="00232768" w:rsidRPr="00232768">
      <w:rPr>
        <w:noProof/>
        <w:lang w:val="zh-TW"/>
      </w:rPr>
      <w:t>534</w:t>
    </w:r>
    <w:r w:rsidRPr="00560037">
      <w:fldChar w:fldCharType="end"/>
    </w:r>
    <w:r w:rsidRPr="00560037">
      <w:rPr>
        <w:rFonts w:eastAsia="細明體" w:hAnsi="細明體"/>
      </w:rPr>
      <w:t xml:space="preserve">　</w:t>
    </w:r>
    <w:r w:rsidRPr="009A5E16">
      <w:t>201</w:t>
    </w:r>
    <w:r>
      <w:rPr>
        <w:rFonts w:hint="eastAsia"/>
      </w:rPr>
      <w:t>7</w:t>
    </w:r>
    <w:r w:rsidRPr="009A5E16">
      <w:rPr>
        <w:rFonts w:hAnsi="標楷體"/>
      </w:rPr>
      <w:t>年監察院人權工作實錄</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Default="00970832" w:rsidP="00D3592F">
    <w:pPr>
      <w:pStyle w:val="afff0"/>
    </w:pPr>
    <w:r w:rsidRPr="00E90011">
      <w:rPr>
        <w:rFonts w:hint="eastAsia"/>
      </w:rPr>
      <w:t>第</w:t>
    </w:r>
    <w:r>
      <w:rPr>
        <w:rFonts w:hint="eastAsia"/>
        <w:lang w:eastAsia="zh-TW"/>
      </w:rPr>
      <w:t>六</w:t>
    </w:r>
    <w:r w:rsidRPr="00E90011">
      <w:rPr>
        <w:rFonts w:hint="eastAsia"/>
      </w:rPr>
      <w:t xml:space="preserve">章　</w:t>
    </w:r>
    <w:r>
      <w:rPr>
        <w:rFonts w:hint="eastAsia"/>
        <w:lang w:eastAsia="zh-TW"/>
      </w:rPr>
      <w:t>工作</w:t>
    </w:r>
    <w:r w:rsidRPr="00E90011">
      <w:rPr>
        <w:rFonts w:hint="eastAsia"/>
      </w:rPr>
      <w:t xml:space="preserve">權　</w:t>
    </w:r>
    <w:r w:rsidRPr="00D3592F">
      <w:rPr>
        <w:rFonts w:ascii="Times New Roman" w:hAnsi="Times New Roman" w:cs="Times New Roman"/>
      </w:rPr>
      <w:fldChar w:fldCharType="begin"/>
    </w:r>
    <w:r w:rsidRPr="00D3592F">
      <w:rPr>
        <w:rFonts w:ascii="Times New Roman" w:hAnsi="Times New Roman" w:cs="Times New Roman"/>
      </w:rPr>
      <w:instrText xml:space="preserve"> PAGE   \* MERGEFORMAT </w:instrText>
    </w:r>
    <w:r w:rsidRPr="00D3592F">
      <w:rPr>
        <w:rFonts w:ascii="Times New Roman" w:hAnsi="Times New Roman" w:cs="Times New Roman"/>
      </w:rPr>
      <w:fldChar w:fldCharType="separate"/>
    </w:r>
    <w:r>
      <w:rPr>
        <w:rFonts w:ascii="Times New Roman" w:hAnsi="Times New Roman" w:cs="Times New Roman"/>
        <w:noProof/>
      </w:rPr>
      <w:t>335</w:t>
    </w:r>
    <w:r w:rsidRPr="00D3592F">
      <w:rPr>
        <w:rFonts w:ascii="Times New Roman" w:hAnsi="Times New Roman" w:cs="Times New Roman"/>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Default="00970832" w:rsidP="00D3592F">
    <w:pPr>
      <w:pStyle w:val="afff0"/>
    </w:pPr>
    <w:r w:rsidRPr="00E90011">
      <w:rPr>
        <w:rFonts w:hint="eastAsia"/>
      </w:rPr>
      <w:t>第</w:t>
    </w:r>
    <w:r>
      <w:rPr>
        <w:rFonts w:hint="eastAsia"/>
        <w:lang w:eastAsia="zh-TW"/>
      </w:rPr>
      <w:t>七</w:t>
    </w:r>
    <w:r w:rsidRPr="00E90011">
      <w:rPr>
        <w:rFonts w:hint="eastAsia"/>
      </w:rPr>
      <w:t xml:space="preserve">章　</w:t>
    </w:r>
    <w:r>
      <w:rPr>
        <w:rFonts w:hint="eastAsia"/>
        <w:lang w:eastAsia="zh-TW"/>
      </w:rPr>
      <w:t>財產</w:t>
    </w:r>
    <w:r w:rsidRPr="00E90011">
      <w:rPr>
        <w:rFonts w:hint="eastAsia"/>
      </w:rPr>
      <w:t xml:space="preserve">權　</w:t>
    </w:r>
    <w:r w:rsidRPr="00D3592F">
      <w:rPr>
        <w:rFonts w:ascii="Times New Roman" w:hAnsi="Times New Roman" w:cs="Times New Roman"/>
      </w:rPr>
      <w:fldChar w:fldCharType="begin"/>
    </w:r>
    <w:r w:rsidRPr="00D3592F">
      <w:rPr>
        <w:rFonts w:ascii="Times New Roman" w:hAnsi="Times New Roman" w:cs="Times New Roman"/>
      </w:rPr>
      <w:instrText xml:space="preserve"> PAGE   \* MERGEFORMAT </w:instrText>
    </w:r>
    <w:r w:rsidRPr="00D3592F">
      <w:rPr>
        <w:rFonts w:ascii="Times New Roman" w:hAnsi="Times New Roman" w:cs="Times New Roman"/>
      </w:rPr>
      <w:fldChar w:fldCharType="separate"/>
    </w:r>
    <w:r>
      <w:rPr>
        <w:rFonts w:ascii="Times New Roman" w:hAnsi="Times New Roman" w:cs="Times New Roman"/>
        <w:noProof/>
      </w:rPr>
      <w:t>371</w:t>
    </w:r>
    <w:r w:rsidRPr="00D3592F">
      <w:rPr>
        <w:rFonts w:ascii="Times New Roman" w:hAnsi="Times New Roman" w:cs="Times New Roman"/>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Default="00970832" w:rsidP="00D3592F">
    <w:pPr>
      <w:pStyle w:val="afff0"/>
    </w:pPr>
    <w:r w:rsidRPr="00E90011">
      <w:rPr>
        <w:rFonts w:hint="eastAsia"/>
      </w:rPr>
      <w:t>第</w:t>
    </w:r>
    <w:r>
      <w:rPr>
        <w:rFonts w:hint="eastAsia"/>
        <w:lang w:eastAsia="zh-TW"/>
      </w:rPr>
      <w:t>八</w:t>
    </w:r>
    <w:r w:rsidRPr="00E90011">
      <w:rPr>
        <w:rFonts w:hint="eastAsia"/>
      </w:rPr>
      <w:t xml:space="preserve">章　</w:t>
    </w:r>
    <w:r>
      <w:rPr>
        <w:rFonts w:hint="eastAsia"/>
        <w:lang w:eastAsia="zh-TW"/>
      </w:rPr>
      <w:t>教育</w:t>
    </w:r>
    <w:r w:rsidRPr="00E90011">
      <w:rPr>
        <w:rFonts w:hint="eastAsia"/>
      </w:rPr>
      <w:t xml:space="preserve">權　</w:t>
    </w:r>
    <w:r w:rsidRPr="00D3592F">
      <w:rPr>
        <w:rFonts w:ascii="Times New Roman" w:hAnsi="Times New Roman" w:cs="Times New Roman"/>
      </w:rPr>
      <w:fldChar w:fldCharType="begin"/>
    </w:r>
    <w:r w:rsidRPr="00D3592F">
      <w:rPr>
        <w:rFonts w:ascii="Times New Roman" w:hAnsi="Times New Roman" w:cs="Times New Roman"/>
      </w:rPr>
      <w:instrText xml:space="preserve"> PAGE   \* MERGEFORMAT </w:instrText>
    </w:r>
    <w:r w:rsidRPr="00D3592F">
      <w:rPr>
        <w:rFonts w:ascii="Times New Roman" w:hAnsi="Times New Roman" w:cs="Times New Roman"/>
      </w:rPr>
      <w:fldChar w:fldCharType="separate"/>
    </w:r>
    <w:r>
      <w:rPr>
        <w:rFonts w:ascii="Times New Roman" w:hAnsi="Times New Roman" w:cs="Times New Roman"/>
        <w:noProof/>
      </w:rPr>
      <w:t>397</w:t>
    </w:r>
    <w:r w:rsidRPr="00D3592F">
      <w:rPr>
        <w:rFonts w:ascii="Times New Roman" w:hAnsi="Times New Roman" w:cs="Times New Roman"/>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Default="00970832" w:rsidP="00D3592F">
    <w:pPr>
      <w:pStyle w:val="afff0"/>
    </w:pPr>
    <w:r w:rsidRPr="00E90011">
      <w:rPr>
        <w:rFonts w:hint="eastAsia"/>
      </w:rPr>
      <w:t>第</w:t>
    </w:r>
    <w:r>
      <w:rPr>
        <w:rFonts w:hint="eastAsia"/>
        <w:lang w:eastAsia="zh-TW"/>
      </w:rPr>
      <w:t>九</w:t>
    </w:r>
    <w:r w:rsidRPr="00E90011">
      <w:rPr>
        <w:rFonts w:hint="eastAsia"/>
      </w:rPr>
      <w:t xml:space="preserve">章　</w:t>
    </w:r>
    <w:r>
      <w:rPr>
        <w:rFonts w:hint="eastAsia"/>
        <w:lang w:eastAsia="zh-TW"/>
      </w:rPr>
      <w:t>環境</w:t>
    </w:r>
    <w:r w:rsidRPr="00E90011">
      <w:rPr>
        <w:rFonts w:hint="eastAsia"/>
      </w:rPr>
      <w:t xml:space="preserve">權　</w:t>
    </w:r>
    <w:r w:rsidRPr="00D3592F">
      <w:rPr>
        <w:rFonts w:ascii="Times New Roman" w:hAnsi="Times New Roman" w:cs="Times New Roman"/>
      </w:rPr>
      <w:fldChar w:fldCharType="begin"/>
    </w:r>
    <w:r w:rsidRPr="00D3592F">
      <w:rPr>
        <w:rFonts w:ascii="Times New Roman" w:hAnsi="Times New Roman" w:cs="Times New Roman"/>
      </w:rPr>
      <w:instrText xml:space="preserve"> PAGE   \* MERGEFORMAT </w:instrText>
    </w:r>
    <w:r w:rsidRPr="00D3592F">
      <w:rPr>
        <w:rFonts w:ascii="Times New Roman" w:hAnsi="Times New Roman" w:cs="Times New Roman"/>
      </w:rPr>
      <w:fldChar w:fldCharType="separate"/>
    </w:r>
    <w:r>
      <w:rPr>
        <w:rFonts w:ascii="Times New Roman" w:hAnsi="Times New Roman" w:cs="Times New Roman"/>
        <w:noProof/>
      </w:rPr>
      <w:t>441</w:t>
    </w:r>
    <w:r w:rsidRPr="00D3592F">
      <w:rPr>
        <w:rFonts w:ascii="Times New Roman" w:hAnsi="Times New Roman" w:cs="Times New Roman"/>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Default="00970832" w:rsidP="00D3592F">
    <w:pPr>
      <w:pStyle w:val="afff0"/>
    </w:pPr>
    <w:r w:rsidRPr="00E90011">
      <w:rPr>
        <w:rFonts w:hint="eastAsia"/>
      </w:rPr>
      <w:t>第</w:t>
    </w:r>
    <w:r>
      <w:rPr>
        <w:rFonts w:hint="eastAsia"/>
        <w:lang w:eastAsia="zh-TW"/>
      </w:rPr>
      <w:t>十</w:t>
    </w:r>
    <w:r w:rsidRPr="00E90011">
      <w:rPr>
        <w:rFonts w:hint="eastAsia"/>
      </w:rPr>
      <w:t xml:space="preserve">章　</w:t>
    </w:r>
    <w:r>
      <w:rPr>
        <w:rFonts w:hint="eastAsia"/>
        <w:lang w:eastAsia="zh-TW"/>
      </w:rPr>
      <w:t>社會保障</w:t>
    </w:r>
    <w:r w:rsidRPr="00E90011">
      <w:rPr>
        <w:rFonts w:hint="eastAsia"/>
      </w:rPr>
      <w:t xml:space="preserve">　</w:t>
    </w:r>
    <w:r w:rsidRPr="00D3592F">
      <w:rPr>
        <w:rFonts w:ascii="Times New Roman" w:hAnsi="Times New Roman" w:cs="Times New Roman"/>
      </w:rPr>
      <w:fldChar w:fldCharType="begin"/>
    </w:r>
    <w:r w:rsidRPr="00D3592F">
      <w:rPr>
        <w:rFonts w:ascii="Times New Roman" w:hAnsi="Times New Roman" w:cs="Times New Roman"/>
      </w:rPr>
      <w:instrText xml:space="preserve"> PAGE   \* MERGEFORMAT </w:instrText>
    </w:r>
    <w:r w:rsidRPr="00D3592F">
      <w:rPr>
        <w:rFonts w:ascii="Times New Roman" w:hAnsi="Times New Roman" w:cs="Times New Roman"/>
      </w:rPr>
      <w:fldChar w:fldCharType="separate"/>
    </w:r>
    <w:r>
      <w:rPr>
        <w:rFonts w:ascii="Times New Roman" w:hAnsi="Times New Roman" w:cs="Times New Roman"/>
        <w:noProof/>
      </w:rPr>
      <w:t>463</w:t>
    </w:r>
    <w:r w:rsidRPr="00D3592F">
      <w:rPr>
        <w:rFonts w:ascii="Times New Roman" w:hAnsi="Times New Roman" w:cs="Times New Roman"/>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Default="00970832" w:rsidP="00D3592F">
    <w:pPr>
      <w:pStyle w:val="afff0"/>
    </w:pPr>
    <w:r w:rsidRPr="00E90011">
      <w:rPr>
        <w:rFonts w:hint="eastAsia"/>
      </w:rPr>
      <w:t>第</w:t>
    </w:r>
    <w:r>
      <w:rPr>
        <w:rFonts w:hint="eastAsia"/>
        <w:lang w:eastAsia="zh-TW"/>
      </w:rPr>
      <w:t>十一</w:t>
    </w:r>
    <w:r w:rsidRPr="00E90011">
      <w:rPr>
        <w:rFonts w:hint="eastAsia"/>
      </w:rPr>
      <w:t xml:space="preserve">章　</w:t>
    </w:r>
    <w:r>
      <w:rPr>
        <w:rFonts w:hint="eastAsia"/>
        <w:lang w:eastAsia="zh-TW"/>
      </w:rPr>
      <w:t>其他權利</w:t>
    </w:r>
    <w:r w:rsidRPr="00E90011">
      <w:rPr>
        <w:rFonts w:hint="eastAsia"/>
      </w:rPr>
      <w:t xml:space="preserve">　</w:t>
    </w:r>
    <w:r w:rsidRPr="00D3592F">
      <w:rPr>
        <w:rFonts w:ascii="Times New Roman" w:hAnsi="Times New Roman" w:cs="Times New Roman"/>
      </w:rPr>
      <w:fldChar w:fldCharType="begin"/>
    </w:r>
    <w:r w:rsidRPr="00D3592F">
      <w:rPr>
        <w:rFonts w:ascii="Times New Roman" w:hAnsi="Times New Roman" w:cs="Times New Roman"/>
      </w:rPr>
      <w:instrText xml:space="preserve"> PAGE   \* MERGEFORMAT </w:instrText>
    </w:r>
    <w:r w:rsidRPr="00D3592F">
      <w:rPr>
        <w:rFonts w:ascii="Times New Roman" w:hAnsi="Times New Roman" w:cs="Times New Roman"/>
      </w:rPr>
      <w:fldChar w:fldCharType="separate"/>
    </w:r>
    <w:r>
      <w:rPr>
        <w:rFonts w:ascii="Times New Roman" w:hAnsi="Times New Roman" w:cs="Times New Roman"/>
        <w:noProof/>
      </w:rPr>
      <w:t>485</w:t>
    </w:r>
    <w:r w:rsidRPr="00D3592F">
      <w:rPr>
        <w:rFonts w:ascii="Times New Roman" w:hAnsi="Times New Roman" w:cs="Times New Roman"/>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Default="00970832" w:rsidP="00D3592F">
    <w:pPr>
      <w:pStyle w:val="afff0"/>
    </w:pPr>
    <w:r>
      <w:rPr>
        <w:rFonts w:hint="eastAsia"/>
        <w:lang w:eastAsia="zh-TW"/>
      </w:rPr>
      <w:t>結　語</w:t>
    </w:r>
    <w:r w:rsidRPr="00E90011">
      <w:rPr>
        <w:rFonts w:hint="eastAsia"/>
      </w:rPr>
      <w:t xml:space="preserve">　</w:t>
    </w:r>
    <w:r w:rsidRPr="00D3592F">
      <w:rPr>
        <w:rFonts w:ascii="Times New Roman" w:hAnsi="Times New Roman" w:cs="Times New Roman"/>
      </w:rPr>
      <w:fldChar w:fldCharType="begin"/>
    </w:r>
    <w:r w:rsidRPr="00D3592F">
      <w:rPr>
        <w:rFonts w:ascii="Times New Roman" w:hAnsi="Times New Roman" w:cs="Times New Roman"/>
      </w:rPr>
      <w:instrText xml:space="preserve"> PAGE   \* MERGEFORMAT </w:instrText>
    </w:r>
    <w:r w:rsidRPr="00D3592F">
      <w:rPr>
        <w:rFonts w:ascii="Times New Roman" w:hAnsi="Times New Roman" w:cs="Times New Roman"/>
      </w:rPr>
      <w:fldChar w:fldCharType="separate"/>
    </w:r>
    <w:r w:rsidR="003B68F8">
      <w:rPr>
        <w:rFonts w:ascii="Times New Roman" w:hAnsi="Times New Roman" w:cs="Times New Roman"/>
        <w:noProof/>
      </w:rPr>
      <w:t>487</w:t>
    </w:r>
    <w:r w:rsidRPr="00D3592F">
      <w:rPr>
        <w:rFonts w:ascii="Times New Roman" w:hAnsi="Times New Roman" w:cs="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Default="00970832" w:rsidP="00D3592F">
    <w:pPr>
      <w:pStyle w:val="afff0"/>
    </w:pPr>
    <w:r>
      <w:rPr>
        <w:rFonts w:hint="eastAsia"/>
        <w:lang w:eastAsia="zh-TW"/>
      </w:rPr>
      <w:t>目　次</w:t>
    </w:r>
    <w:r w:rsidRPr="00E90011">
      <w:rPr>
        <w:rFonts w:hint="eastAsia"/>
      </w:rPr>
      <w:t xml:space="preserve">　</w:t>
    </w:r>
    <w:r w:rsidRPr="00037CD1">
      <w:rPr>
        <w:rFonts w:ascii="Times New Roman" w:hAnsi="Times New Roman" w:cs="Times New Roman"/>
      </w:rPr>
      <w:fldChar w:fldCharType="begin"/>
    </w:r>
    <w:r w:rsidRPr="00037CD1">
      <w:rPr>
        <w:rFonts w:ascii="Times New Roman" w:hAnsi="Times New Roman" w:cs="Times New Roman"/>
      </w:rPr>
      <w:instrText xml:space="preserve"> PAGE   \* MERGEFORMAT </w:instrText>
    </w:r>
    <w:r w:rsidRPr="00037CD1">
      <w:rPr>
        <w:rFonts w:ascii="Times New Roman" w:hAnsi="Times New Roman" w:cs="Times New Roman"/>
      </w:rPr>
      <w:fldChar w:fldCharType="separate"/>
    </w:r>
    <w:r>
      <w:rPr>
        <w:rFonts w:ascii="Times New Roman" w:hAnsi="Times New Roman" w:cs="Times New Roman"/>
        <w:noProof/>
      </w:rPr>
      <w:t>VII</w:t>
    </w:r>
    <w:r w:rsidRPr="00037CD1">
      <w:rPr>
        <w:rFonts w:ascii="Times New Roman" w:hAnsi="Times New Roman" w:cs="Times New Roman"/>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Default="00970832" w:rsidP="00D3592F">
    <w:pPr>
      <w:pStyle w:val="afff0"/>
    </w:pPr>
    <w:r>
      <w:rPr>
        <w:rFonts w:hint="eastAsia"/>
        <w:lang w:eastAsia="zh-TW"/>
      </w:rPr>
      <w:t>附錄一　權利定義</w:t>
    </w:r>
    <w:r w:rsidRPr="00E90011">
      <w:rPr>
        <w:rFonts w:hint="eastAsia"/>
      </w:rPr>
      <w:t xml:space="preserve">　</w:t>
    </w:r>
    <w:r w:rsidRPr="00D3592F">
      <w:rPr>
        <w:rFonts w:ascii="Times New Roman" w:hAnsi="Times New Roman" w:cs="Times New Roman"/>
      </w:rPr>
      <w:fldChar w:fldCharType="begin"/>
    </w:r>
    <w:r w:rsidRPr="00D3592F">
      <w:rPr>
        <w:rFonts w:ascii="Times New Roman" w:hAnsi="Times New Roman" w:cs="Times New Roman"/>
      </w:rPr>
      <w:instrText xml:space="preserve"> PAGE   \* MERGEFORMAT </w:instrText>
    </w:r>
    <w:r w:rsidRPr="00D3592F">
      <w:rPr>
        <w:rFonts w:ascii="Times New Roman" w:hAnsi="Times New Roman" w:cs="Times New Roman"/>
      </w:rPr>
      <w:fldChar w:fldCharType="separate"/>
    </w:r>
    <w:r w:rsidR="003B68F8">
      <w:rPr>
        <w:rFonts w:ascii="Times New Roman" w:hAnsi="Times New Roman" w:cs="Times New Roman"/>
        <w:noProof/>
      </w:rPr>
      <w:t>489</w:t>
    </w:r>
    <w:r w:rsidRPr="00D3592F">
      <w:rPr>
        <w:rFonts w:ascii="Times New Roman" w:hAnsi="Times New Roman" w:cs="Times New Roman"/>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Default="00970832" w:rsidP="00D3592F">
    <w:pPr>
      <w:pStyle w:val="afff0"/>
    </w:pPr>
    <w:r>
      <w:rPr>
        <w:rFonts w:hint="eastAsia"/>
        <w:lang w:eastAsia="zh-TW"/>
      </w:rPr>
      <w:t xml:space="preserve">附錄二　</w:t>
    </w:r>
    <w:r w:rsidRPr="001872B0">
      <w:rPr>
        <w:rFonts w:ascii="Times New Roman" w:hAnsi="Times New Roman"/>
      </w:rPr>
      <w:t>201</w:t>
    </w:r>
    <w:r>
      <w:rPr>
        <w:rFonts w:ascii="Times New Roman" w:hAnsi="Times New Roman" w:hint="eastAsia"/>
        <w:lang w:eastAsia="zh-TW"/>
      </w:rPr>
      <w:t>7</w:t>
    </w:r>
    <w:r w:rsidRPr="001872B0">
      <w:rPr>
        <w:rFonts w:ascii="Times New Roman" w:hAnsi="標楷體"/>
      </w:rPr>
      <w:t>年監察院人權保障案件統計表</w:t>
    </w:r>
    <w:r w:rsidRPr="00E90011">
      <w:rPr>
        <w:rFonts w:hint="eastAsia"/>
      </w:rPr>
      <w:t xml:space="preserve">　</w:t>
    </w:r>
    <w:r w:rsidRPr="00D3592F">
      <w:rPr>
        <w:rFonts w:ascii="Times New Roman" w:hAnsi="Times New Roman" w:cs="Times New Roman"/>
      </w:rPr>
      <w:fldChar w:fldCharType="begin"/>
    </w:r>
    <w:r w:rsidRPr="00D3592F">
      <w:rPr>
        <w:rFonts w:ascii="Times New Roman" w:hAnsi="Times New Roman" w:cs="Times New Roman"/>
      </w:rPr>
      <w:instrText xml:space="preserve"> PAGE   \* MERGEFORMAT </w:instrText>
    </w:r>
    <w:r w:rsidRPr="00D3592F">
      <w:rPr>
        <w:rFonts w:ascii="Times New Roman" w:hAnsi="Times New Roman" w:cs="Times New Roman"/>
      </w:rPr>
      <w:fldChar w:fldCharType="separate"/>
    </w:r>
    <w:r>
      <w:rPr>
        <w:rFonts w:ascii="Times New Roman" w:hAnsi="Times New Roman" w:cs="Times New Roman"/>
        <w:noProof/>
      </w:rPr>
      <w:t>491</w:t>
    </w:r>
    <w:r w:rsidRPr="00D3592F">
      <w:rPr>
        <w:rFonts w:ascii="Times New Roman" w:hAnsi="Times New Roman" w:cs="Times New Roman"/>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Default="00970832" w:rsidP="00D3592F">
    <w:pPr>
      <w:pStyle w:val="afff0"/>
    </w:pPr>
    <w:r>
      <w:rPr>
        <w:rFonts w:hint="eastAsia"/>
        <w:lang w:eastAsia="zh-TW"/>
      </w:rPr>
      <w:t xml:space="preserve">附錄三　</w:t>
    </w:r>
    <w:r>
      <w:rPr>
        <w:rFonts w:ascii="標楷體" w:hAnsi="標楷體" w:hint="eastAsia"/>
        <w:lang w:eastAsia="zh-TW"/>
      </w:rPr>
      <w:t>世界人權宣言</w:t>
    </w:r>
    <w:r w:rsidRPr="00E90011">
      <w:rPr>
        <w:rFonts w:hint="eastAsia"/>
      </w:rPr>
      <w:t xml:space="preserve">　</w:t>
    </w:r>
    <w:r w:rsidRPr="00D3592F">
      <w:rPr>
        <w:rFonts w:ascii="Times New Roman" w:hAnsi="Times New Roman" w:cs="Times New Roman"/>
      </w:rPr>
      <w:fldChar w:fldCharType="begin"/>
    </w:r>
    <w:r w:rsidRPr="00D3592F">
      <w:rPr>
        <w:rFonts w:ascii="Times New Roman" w:hAnsi="Times New Roman" w:cs="Times New Roman"/>
      </w:rPr>
      <w:instrText xml:space="preserve"> PAGE   \* MERGEFORMAT </w:instrText>
    </w:r>
    <w:r w:rsidRPr="00D3592F">
      <w:rPr>
        <w:rFonts w:ascii="Times New Roman" w:hAnsi="Times New Roman" w:cs="Times New Roman"/>
      </w:rPr>
      <w:fldChar w:fldCharType="separate"/>
    </w:r>
    <w:r w:rsidR="00DB1482">
      <w:rPr>
        <w:rFonts w:ascii="Times New Roman" w:hAnsi="Times New Roman" w:cs="Times New Roman"/>
        <w:noProof/>
      </w:rPr>
      <w:t>497</w:t>
    </w:r>
    <w:r w:rsidRPr="00D3592F">
      <w:rPr>
        <w:rFonts w:ascii="Times New Roman" w:hAnsi="Times New Roman" w:cs="Times New Roman"/>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Default="00970832" w:rsidP="009475DF">
    <w:pPr>
      <w:pStyle w:val="af5"/>
      <w:jc w:val="right"/>
    </w:pPr>
    <w:r>
      <w:rPr>
        <w:rFonts w:hint="eastAsia"/>
      </w:rPr>
      <w:t>附錄四</w:t>
    </w:r>
    <w:r>
      <w:rPr>
        <w:rFonts w:ascii="細明體" w:eastAsia="細明體" w:hAnsi="細明體" w:cs="細明體" w:hint="eastAsia"/>
      </w:rPr>
      <w:t xml:space="preserve">　</w:t>
    </w:r>
    <w:r>
      <w:rPr>
        <w:rFonts w:hint="eastAsia"/>
      </w:rPr>
      <w:t>公民與政治權利國際公約</w:t>
    </w:r>
    <w:r w:rsidRPr="0068207A">
      <w:t xml:space="preserve">　</w:t>
    </w:r>
    <w:r w:rsidRPr="00560037">
      <w:fldChar w:fldCharType="begin"/>
    </w:r>
    <w:r w:rsidRPr="00560037">
      <w:instrText xml:space="preserve"> PAGE   \* MERGEFORMAT </w:instrText>
    </w:r>
    <w:r w:rsidRPr="00560037">
      <w:fldChar w:fldCharType="separate"/>
    </w:r>
    <w:r w:rsidR="00232768" w:rsidRPr="00232768">
      <w:rPr>
        <w:noProof/>
        <w:lang w:val="zh-TW"/>
      </w:rPr>
      <w:t>519</w:t>
    </w:r>
    <w:r w:rsidRPr="00560037">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Default="00970832" w:rsidP="009475DF">
    <w:pPr>
      <w:pStyle w:val="af5"/>
      <w:jc w:val="right"/>
    </w:pPr>
    <w:r>
      <w:rPr>
        <w:rFonts w:hint="eastAsia"/>
      </w:rPr>
      <w:t>附錄五</w:t>
    </w:r>
    <w:r>
      <w:rPr>
        <w:rFonts w:ascii="細明體" w:eastAsia="細明體" w:hAnsi="細明體" w:cs="細明體" w:hint="eastAsia"/>
      </w:rPr>
      <w:t xml:space="preserve">　</w:t>
    </w:r>
    <w:r w:rsidRPr="00B07C74">
      <w:rPr>
        <w:rFonts w:hint="eastAsia"/>
      </w:rPr>
      <w:t>經濟社會文化權利</w:t>
    </w:r>
    <w:r>
      <w:rPr>
        <w:rFonts w:hint="eastAsia"/>
      </w:rPr>
      <w:t>國際公約</w:t>
    </w:r>
    <w:r w:rsidRPr="0068207A">
      <w:t xml:space="preserve">　</w:t>
    </w:r>
    <w:r w:rsidRPr="00560037">
      <w:fldChar w:fldCharType="begin"/>
    </w:r>
    <w:r w:rsidRPr="00560037">
      <w:instrText xml:space="preserve"> PAGE   \* MERGEFORMAT </w:instrText>
    </w:r>
    <w:r w:rsidRPr="00560037">
      <w:fldChar w:fldCharType="separate"/>
    </w:r>
    <w:r w:rsidR="00232768" w:rsidRPr="00232768">
      <w:rPr>
        <w:noProof/>
        <w:lang w:val="zh-TW"/>
      </w:rPr>
      <w:t>531</w:t>
    </w:r>
    <w:r w:rsidRPr="00560037">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Default="00970832" w:rsidP="009475DF">
    <w:pPr>
      <w:pStyle w:val="af5"/>
      <w:jc w:val="right"/>
    </w:pPr>
    <w:r>
      <w:rPr>
        <w:rFonts w:hint="eastAsia"/>
      </w:rPr>
      <w:t>附錄六</w:t>
    </w:r>
    <w:r>
      <w:rPr>
        <w:rFonts w:ascii="細明體" w:eastAsia="細明體" w:hAnsi="細明體" w:cs="細明體" w:hint="eastAsia"/>
      </w:rPr>
      <w:t xml:space="preserve">　</w:t>
    </w:r>
    <w:r>
      <w:rPr>
        <w:rFonts w:ascii="標楷體" w:hAnsi="標楷體" w:hint="eastAsia"/>
        <w:spacing w:val="-2"/>
      </w:rPr>
      <w:t>兩</w:t>
    </w:r>
    <w:r w:rsidRPr="00C20CF5">
      <w:rPr>
        <w:rFonts w:ascii="標楷體" w:hAnsi="標楷體" w:hint="eastAsia"/>
        <w:spacing w:val="-2"/>
      </w:rPr>
      <w:t>公約施行法</w:t>
    </w:r>
    <w:r w:rsidRPr="0068207A">
      <w:t xml:space="preserve">　</w:t>
    </w:r>
    <w:r w:rsidRPr="00560037">
      <w:fldChar w:fldCharType="begin"/>
    </w:r>
    <w:r w:rsidRPr="00560037">
      <w:instrText xml:space="preserve"> PAGE   \* MERGEFORMAT </w:instrText>
    </w:r>
    <w:r w:rsidRPr="00560037">
      <w:fldChar w:fldCharType="separate"/>
    </w:r>
    <w:r w:rsidR="00232768" w:rsidRPr="00232768">
      <w:rPr>
        <w:noProof/>
        <w:lang w:val="zh-TW"/>
      </w:rPr>
      <w:t>533</w:t>
    </w:r>
    <w:r w:rsidRPr="00560037">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Pr="00C83027" w:rsidRDefault="00970832" w:rsidP="00C83027">
    <w:pPr>
      <w:pStyle w:val="af5"/>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Default="00970832" w:rsidP="009475DF">
    <w:pPr>
      <w:pStyle w:val="af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Pr="00D3592F" w:rsidRDefault="00970832" w:rsidP="00D3592F">
    <w:pPr>
      <w:pStyle w:val="1--0"/>
    </w:pPr>
    <w:r w:rsidRPr="00560037">
      <w:fldChar w:fldCharType="begin"/>
    </w:r>
    <w:r w:rsidRPr="00560037">
      <w:instrText xml:space="preserve"> PAGE   \* MERGEFORMAT </w:instrText>
    </w:r>
    <w:r w:rsidRPr="00560037">
      <w:fldChar w:fldCharType="separate"/>
    </w:r>
    <w:r w:rsidRPr="00CD5E85">
      <w:rPr>
        <w:noProof/>
        <w:lang w:val="zh-TW"/>
      </w:rPr>
      <w:t>4</w:t>
    </w:r>
    <w:r w:rsidRPr="00560037">
      <w:fldChar w:fldCharType="end"/>
    </w:r>
    <w:r w:rsidRPr="00560037">
      <w:rPr>
        <w:rFonts w:eastAsia="細明體" w:hAnsi="細明體"/>
      </w:rPr>
      <w:t xml:space="preserve">　</w:t>
    </w:r>
    <w:r w:rsidRPr="009A5E16">
      <w:t>201</w:t>
    </w:r>
    <w:r>
      <w:rPr>
        <w:rFonts w:hint="eastAsia"/>
      </w:rPr>
      <w:t>7</w:t>
    </w:r>
    <w:r w:rsidRPr="009A5E16">
      <w:rPr>
        <w:rFonts w:hAnsi="標楷體"/>
      </w:rPr>
      <w:t>年監察院人權工作實錄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Default="00970832" w:rsidP="00D3592F">
    <w:pPr>
      <w:pStyle w:val="afff0"/>
    </w:pPr>
    <w:r>
      <w:rPr>
        <w:rFonts w:hint="eastAsia"/>
      </w:rPr>
      <w:t>前</w:t>
    </w:r>
    <w:r>
      <w:rPr>
        <w:rFonts w:hint="eastAsia"/>
        <w:lang w:eastAsia="zh-TW"/>
      </w:rPr>
      <w:t xml:space="preserve">　</w:t>
    </w:r>
    <w:r>
      <w:rPr>
        <w:rFonts w:hint="eastAsia"/>
      </w:rPr>
      <w:t>言</w:t>
    </w:r>
    <w:r w:rsidRPr="00E90011">
      <w:rPr>
        <w:rFonts w:hint="eastAsia"/>
      </w:rPr>
      <w:t xml:space="preserve">　</w:t>
    </w:r>
    <w:r w:rsidRPr="00037CD1">
      <w:rPr>
        <w:rFonts w:ascii="Times New Roman" w:hAnsi="Times New Roman" w:cs="Times New Roman"/>
      </w:rPr>
      <w:fldChar w:fldCharType="begin"/>
    </w:r>
    <w:r w:rsidRPr="00037CD1">
      <w:rPr>
        <w:rFonts w:ascii="Times New Roman" w:hAnsi="Times New Roman" w:cs="Times New Roman"/>
      </w:rPr>
      <w:instrText xml:space="preserve"> PAGE   \* MERGEFORMAT </w:instrText>
    </w:r>
    <w:r w:rsidRPr="00037CD1">
      <w:rPr>
        <w:rFonts w:ascii="Times New Roman" w:hAnsi="Times New Roman" w:cs="Times New Roman"/>
      </w:rPr>
      <w:fldChar w:fldCharType="separate"/>
    </w:r>
    <w:r>
      <w:rPr>
        <w:rFonts w:ascii="Times New Roman" w:hAnsi="Times New Roman" w:cs="Times New Roman"/>
        <w:noProof/>
      </w:rPr>
      <w:t>3</w:t>
    </w:r>
    <w:r w:rsidRPr="00037CD1">
      <w:rPr>
        <w:rFonts w:ascii="Times New Roman" w:hAnsi="Times New Roman" w:cs="Times New Roman"/>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Pr="00D3592F" w:rsidRDefault="00970832" w:rsidP="00D3592F">
    <w:pPr>
      <w:pStyle w:val="1--0"/>
    </w:pPr>
    <w:r w:rsidRPr="00560037">
      <w:fldChar w:fldCharType="begin"/>
    </w:r>
    <w:r w:rsidRPr="00560037">
      <w:instrText xml:space="preserve"> PAGE   \* MERGEFORMAT </w:instrText>
    </w:r>
    <w:r w:rsidRPr="00560037">
      <w:fldChar w:fldCharType="separate"/>
    </w:r>
    <w:r w:rsidRPr="00CD5E85">
      <w:rPr>
        <w:noProof/>
        <w:lang w:val="zh-TW"/>
      </w:rPr>
      <w:t>244</w:t>
    </w:r>
    <w:r w:rsidRPr="00560037">
      <w:fldChar w:fldCharType="end"/>
    </w:r>
    <w:r w:rsidRPr="00560037">
      <w:rPr>
        <w:rFonts w:eastAsia="細明體" w:hAnsi="細明體"/>
      </w:rPr>
      <w:t xml:space="preserve">　</w:t>
    </w:r>
    <w:r w:rsidRPr="009A5E16">
      <w:t>201</w:t>
    </w:r>
    <w:r>
      <w:rPr>
        <w:rFonts w:hint="eastAsia"/>
      </w:rPr>
      <w:t>7</w:t>
    </w:r>
    <w:r w:rsidRPr="009A5E16">
      <w:rPr>
        <w:rFonts w:hAnsi="標楷體"/>
      </w:rPr>
      <w:t>年監察院人權工作實錄</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Default="00970832" w:rsidP="00D3592F">
    <w:pPr>
      <w:pStyle w:val="afff0"/>
    </w:pPr>
    <w:r w:rsidRPr="00E90011">
      <w:rPr>
        <w:rFonts w:hint="eastAsia"/>
      </w:rPr>
      <w:t xml:space="preserve">第一章　自由權　</w:t>
    </w:r>
    <w:r w:rsidRPr="00D3592F">
      <w:rPr>
        <w:rFonts w:ascii="Times New Roman" w:hAnsi="Times New Roman" w:cs="Times New Roman"/>
      </w:rPr>
      <w:fldChar w:fldCharType="begin"/>
    </w:r>
    <w:r w:rsidRPr="00D3592F">
      <w:rPr>
        <w:rFonts w:ascii="Times New Roman" w:hAnsi="Times New Roman" w:cs="Times New Roman"/>
      </w:rPr>
      <w:instrText xml:space="preserve"> PAGE   \* MERGEFORMAT </w:instrText>
    </w:r>
    <w:r w:rsidRPr="00D3592F">
      <w:rPr>
        <w:rFonts w:ascii="Times New Roman" w:hAnsi="Times New Roman" w:cs="Times New Roman"/>
      </w:rPr>
      <w:fldChar w:fldCharType="separate"/>
    </w:r>
    <w:r>
      <w:rPr>
        <w:rFonts w:ascii="Times New Roman" w:hAnsi="Times New Roman" w:cs="Times New Roman"/>
        <w:noProof/>
      </w:rPr>
      <w:t>35</w:t>
    </w:r>
    <w:r w:rsidRPr="00D3592F">
      <w:rPr>
        <w:rFonts w:ascii="Times New Roman" w:hAnsi="Times New Roman" w:cs="Times New Roman"/>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Default="00970832" w:rsidP="00D3592F">
    <w:pPr>
      <w:pStyle w:val="afff0"/>
    </w:pPr>
    <w:r w:rsidRPr="00E90011">
      <w:rPr>
        <w:rFonts w:hint="eastAsia"/>
      </w:rPr>
      <w:t>第</w:t>
    </w:r>
    <w:r>
      <w:rPr>
        <w:rFonts w:hint="eastAsia"/>
        <w:lang w:eastAsia="zh-TW"/>
      </w:rPr>
      <w:t>二</w:t>
    </w:r>
    <w:r w:rsidRPr="00E90011">
      <w:rPr>
        <w:rFonts w:hint="eastAsia"/>
      </w:rPr>
      <w:t xml:space="preserve">章　</w:t>
    </w:r>
    <w:r>
      <w:rPr>
        <w:rFonts w:hint="eastAsia"/>
        <w:lang w:eastAsia="zh-TW"/>
      </w:rPr>
      <w:t>平等</w:t>
    </w:r>
    <w:r w:rsidRPr="00E90011">
      <w:rPr>
        <w:rFonts w:hint="eastAsia"/>
      </w:rPr>
      <w:t xml:space="preserve">權　</w:t>
    </w:r>
    <w:r w:rsidRPr="00D3592F">
      <w:rPr>
        <w:rFonts w:ascii="Times New Roman" w:hAnsi="Times New Roman" w:cs="Times New Roman"/>
      </w:rPr>
      <w:fldChar w:fldCharType="begin"/>
    </w:r>
    <w:r w:rsidRPr="00D3592F">
      <w:rPr>
        <w:rFonts w:ascii="Times New Roman" w:hAnsi="Times New Roman" w:cs="Times New Roman"/>
      </w:rPr>
      <w:instrText xml:space="preserve"> PAGE   \* MERGEFORMAT </w:instrText>
    </w:r>
    <w:r w:rsidRPr="00D3592F">
      <w:rPr>
        <w:rFonts w:ascii="Times New Roman" w:hAnsi="Times New Roman" w:cs="Times New Roman"/>
      </w:rPr>
      <w:fldChar w:fldCharType="separate"/>
    </w:r>
    <w:r>
      <w:rPr>
        <w:rFonts w:ascii="Times New Roman" w:hAnsi="Times New Roman" w:cs="Times New Roman"/>
        <w:noProof/>
      </w:rPr>
      <w:t>87</w:t>
    </w:r>
    <w:r w:rsidRPr="00D3592F">
      <w:rPr>
        <w:rFonts w:ascii="Times New Roman" w:hAnsi="Times New Roman" w:cs="Times New Roman"/>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Default="00970832" w:rsidP="00D3592F">
    <w:pPr>
      <w:pStyle w:val="afff0"/>
    </w:pPr>
    <w:r w:rsidRPr="00E90011">
      <w:rPr>
        <w:rFonts w:hint="eastAsia"/>
      </w:rPr>
      <w:t>第</w:t>
    </w:r>
    <w:r>
      <w:rPr>
        <w:rFonts w:hint="eastAsia"/>
        <w:lang w:eastAsia="zh-TW"/>
      </w:rPr>
      <w:t>三</w:t>
    </w:r>
    <w:r w:rsidRPr="00E90011">
      <w:rPr>
        <w:rFonts w:hint="eastAsia"/>
      </w:rPr>
      <w:t xml:space="preserve">章　</w:t>
    </w:r>
    <w:r>
      <w:rPr>
        <w:rFonts w:hint="eastAsia"/>
        <w:lang w:eastAsia="zh-TW"/>
      </w:rPr>
      <w:t>生存</w:t>
    </w:r>
    <w:r w:rsidRPr="00E90011">
      <w:rPr>
        <w:rFonts w:hint="eastAsia"/>
      </w:rPr>
      <w:t xml:space="preserve">權　</w:t>
    </w:r>
    <w:r w:rsidRPr="00D3592F">
      <w:rPr>
        <w:rFonts w:ascii="Times New Roman" w:hAnsi="Times New Roman" w:cs="Times New Roman"/>
      </w:rPr>
      <w:fldChar w:fldCharType="begin"/>
    </w:r>
    <w:r w:rsidRPr="00D3592F">
      <w:rPr>
        <w:rFonts w:ascii="Times New Roman" w:hAnsi="Times New Roman" w:cs="Times New Roman"/>
      </w:rPr>
      <w:instrText xml:space="preserve"> PAGE   \* MERGEFORMAT </w:instrText>
    </w:r>
    <w:r w:rsidRPr="00D3592F">
      <w:rPr>
        <w:rFonts w:ascii="Times New Roman" w:hAnsi="Times New Roman" w:cs="Times New Roman"/>
      </w:rPr>
      <w:fldChar w:fldCharType="separate"/>
    </w:r>
    <w:r>
      <w:rPr>
        <w:rFonts w:ascii="Times New Roman" w:hAnsi="Times New Roman" w:cs="Times New Roman"/>
        <w:noProof/>
      </w:rPr>
      <w:t>137</w:t>
    </w:r>
    <w:r w:rsidRPr="00D3592F">
      <w:rPr>
        <w:rFonts w:ascii="Times New Roman" w:hAnsi="Times New Roman" w:cs="Times New Roman"/>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32" w:rsidRDefault="00970832" w:rsidP="00D3592F">
    <w:pPr>
      <w:pStyle w:val="afff0"/>
    </w:pPr>
    <w:r w:rsidRPr="00E90011">
      <w:rPr>
        <w:rFonts w:hint="eastAsia"/>
      </w:rPr>
      <w:t>第</w:t>
    </w:r>
    <w:r>
      <w:rPr>
        <w:rFonts w:hint="eastAsia"/>
        <w:lang w:eastAsia="zh-TW"/>
      </w:rPr>
      <w:t>四</w:t>
    </w:r>
    <w:r w:rsidRPr="00E90011">
      <w:rPr>
        <w:rFonts w:hint="eastAsia"/>
      </w:rPr>
      <w:t xml:space="preserve">章　</w:t>
    </w:r>
    <w:r>
      <w:rPr>
        <w:rFonts w:hint="eastAsia"/>
        <w:lang w:eastAsia="zh-TW"/>
      </w:rPr>
      <w:t>司法正義</w:t>
    </w:r>
    <w:r w:rsidRPr="00E90011">
      <w:rPr>
        <w:rFonts w:hint="eastAsia"/>
      </w:rPr>
      <w:t xml:space="preserve">　</w:t>
    </w:r>
    <w:r w:rsidRPr="00D3592F">
      <w:rPr>
        <w:rFonts w:ascii="Times New Roman" w:hAnsi="Times New Roman" w:cs="Times New Roman"/>
      </w:rPr>
      <w:fldChar w:fldCharType="begin"/>
    </w:r>
    <w:r w:rsidRPr="00D3592F">
      <w:rPr>
        <w:rFonts w:ascii="Times New Roman" w:hAnsi="Times New Roman" w:cs="Times New Roman"/>
      </w:rPr>
      <w:instrText xml:space="preserve"> PAGE   \* MERGEFORMAT </w:instrText>
    </w:r>
    <w:r w:rsidRPr="00D3592F">
      <w:rPr>
        <w:rFonts w:ascii="Times New Roman" w:hAnsi="Times New Roman" w:cs="Times New Roman"/>
      </w:rPr>
      <w:fldChar w:fldCharType="separate"/>
    </w:r>
    <w:r>
      <w:rPr>
        <w:rFonts w:ascii="Times New Roman" w:hAnsi="Times New Roman" w:cs="Times New Roman"/>
        <w:noProof/>
      </w:rPr>
      <w:t>245</w:t>
    </w:r>
    <w:r w:rsidRPr="00D3592F">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5AEC"/>
    <w:multiLevelType w:val="multilevel"/>
    <w:tmpl w:val="03CE4EF0"/>
    <w:lvl w:ilvl="0">
      <w:start w:val="1"/>
      <w:numFmt w:val="taiwaneseCountingThousand"/>
      <w:suff w:val="space"/>
      <w:lvlText w:val="%1、"/>
      <w:lvlJc w:val="left"/>
      <w:pPr>
        <w:ind w:left="953" w:hanging="641"/>
      </w:pPr>
      <w:rPr>
        <w:rFonts w:ascii="標楷體" w:eastAsia="標楷體" w:hint="eastAsia"/>
        <w:b w:val="0"/>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605" w:hanging="959"/>
      </w:pPr>
      <w:rPr>
        <w:rFonts w:ascii="標楷體" w:eastAsia="標楷體" w:hint="eastAsia"/>
        <w:b w:val="0"/>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605" w:hanging="641"/>
      </w:pPr>
      <w:rPr>
        <w:rFonts w:ascii="標楷體" w:eastAsia="標楷體" w:hint="eastAsia"/>
        <w:b w:val="0"/>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240" w:hanging="970"/>
      </w:pPr>
      <w:rPr>
        <w:rFonts w:ascii="標楷體" w:eastAsia="標楷體" w:hint="eastAsia"/>
        <w:b w:val="0"/>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10762182"/>
    <w:multiLevelType w:val="hybridMultilevel"/>
    <w:tmpl w:val="77EABF60"/>
    <w:lvl w:ilvl="0" w:tplc="04090003">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2">
    <w:nsid w:val="2297358D"/>
    <w:multiLevelType w:val="hybridMultilevel"/>
    <w:tmpl w:val="5130FA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39A110B"/>
    <w:multiLevelType w:val="hybridMultilevel"/>
    <w:tmpl w:val="FECC8FAA"/>
    <w:lvl w:ilvl="0" w:tplc="2BBAF7AA">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nsid w:val="56E54857"/>
    <w:multiLevelType w:val="hybridMultilevel"/>
    <w:tmpl w:val="D0BAF488"/>
    <w:lvl w:ilvl="0" w:tplc="DD906724">
      <w:start w:val="1"/>
      <w:numFmt w:val="decimal"/>
      <w:pStyle w:val="a"/>
      <w:lvlText w:val="照片%1　"/>
      <w:lvlJc w:val="left"/>
      <w:pPr>
        <w:ind w:left="480" w:hanging="480"/>
      </w:pPr>
      <w:rPr>
        <w:rFonts w:ascii="Times New Roman" w:eastAsia="標楷體" w:hAnsi="Times New Roman" w:cs="Times New Roman" w:hint="default"/>
        <w:b/>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847606D"/>
    <w:multiLevelType w:val="multilevel"/>
    <w:tmpl w:val="74485EF0"/>
    <w:lvl w:ilvl="0">
      <w:start w:val="1"/>
      <w:numFmt w:val="taiwaneseCountingThousand"/>
      <w:pStyle w:val="a0"/>
      <w:suff w:val="nothing"/>
      <w:lvlText w:val="%1、"/>
      <w:lvlJc w:val="left"/>
      <w:pPr>
        <w:ind w:left="953" w:hanging="641"/>
      </w:pPr>
      <w:rPr>
        <w:rFonts w:ascii="標楷體" w:eastAsia="標楷體" w:hint="eastAsia"/>
        <w:sz w:val="32"/>
      </w:rPr>
    </w:lvl>
    <w:lvl w:ilvl="1">
      <w:start w:val="1"/>
      <w:numFmt w:val="taiwaneseCountingThousand"/>
      <w:lvlText w:val="(%2)"/>
      <w:lvlJc w:val="left"/>
      <w:pPr>
        <w:ind w:left="1605" w:hanging="959"/>
      </w:pPr>
      <w:rPr>
        <w:rFonts w:hint="default"/>
        <w:sz w:val="32"/>
      </w:rPr>
    </w:lvl>
    <w:lvl w:ilvl="2">
      <w:start w:val="1"/>
      <w:numFmt w:val="decimalFullWidth"/>
      <w:suff w:val="nothing"/>
      <w:lvlText w:val="%3、"/>
      <w:lvlJc w:val="left"/>
      <w:pPr>
        <w:ind w:left="1916" w:hanging="635"/>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 w:numId="2">
    <w:abstractNumId w:val="5"/>
  </w:num>
  <w:num w:numId="3">
    <w:abstractNumId w:val="1"/>
  </w:num>
  <w:num w:numId="4">
    <w:abstractNumId w:val="3"/>
  </w:num>
  <w:num w:numId="5">
    <w:abstractNumId w:val="4"/>
  </w:num>
  <w:num w:numId="6">
    <w:abstractNumId w:val="2"/>
  </w:num>
  <w:num w:numId="7">
    <w:abstractNumId w:val="0"/>
  </w:num>
  <w:num w:numId="8">
    <w:abstractNumId w:val="0"/>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hideSpellingErrors/>
  <w:hideGrammaticalErrors/>
  <w:attachedTemplate r:id="rId1"/>
  <w:defaultTabStop w:val="120"/>
  <w:evenAndOddHeaders/>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ewDocFlag" w:val="93newdoc"/>
    <w:docVar w:name="SaveDraftToDoc" w:val="0"/>
    <w:docVar w:name="SaveSerial" w:val=" "/>
    <w:docVar w:name="SaveStatus" w:val="0"/>
  </w:docVars>
  <w:rsids>
    <w:rsidRoot w:val="00EC13DD"/>
    <w:rsid w:val="000023D8"/>
    <w:rsid w:val="000048CF"/>
    <w:rsid w:val="0000751B"/>
    <w:rsid w:val="00011937"/>
    <w:rsid w:val="000130AA"/>
    <w:rsid w:val="00014F9B"/>
    <w:rsid w:val="00021529"/>
    <w:rsid w:val="00021D2E"/>
    <w:rsid w:val="00022732"/>
    <w:rsid w:val="00022C32"/>
    <w:rsid w:val="00023182"/>
    <w:rsid w:val="00024666"/>
    <w:rsid w:val="000249AB"/>
    <w:rsid w:val="00025329"/>
    <w:rsid w:val="00025C57"/>
    <w:rsid w:val="00025C8B"/>
    <w:rsid w:val="00026FE1"/>
    <w:rsid w:val="00027E3B"/>
    <w:rsid w:val="000315BA"/>
    <w:rsid w:val="00032C5C"/>
    <w:rsid w:val="000342B5"/>
    <w:rsid w:val="00037CD1"/>
    <w:rsid w:val="0004070A"/>
    <w:rsid w:val="0004301C"/>
    <w:rsid w:val="0004382F"/>
    <w:rsid w:val="000448D6"/>
    <w:rsid w:val="00044B89"/>
    <w:rsid w:val="0004554B"/>
    <w:rsid w:val="000462E9"/>
    <w:rsid w:val="0004644E"/>
    <w:rsid w:val="000506AB"/>
    <w:rsid w:val="00051514"/>
    <w:rsid w:val="000518FC"/>
    <w:rsid w:val="00052832"/>
    <w:rsid w:val="00055ED7"/>
    <w:rsid w:val="00055FA2"/>
    <w:rsid w:val="000575C9"/>
    <w:rsid w:val="00057F86"/>
    <w:rsid w:val="000608E9"/>
    <w:rsid w:val="00062CF6"/>
    <w:rsid w:val="000643D5"/>
    <w:rsid w:val="00064813"/>
    <w:rsid w:val="000661F4"/>
    <w:rsid w:val="0006693B"/>
    <w:rsid w:val="00070156"/>
    <w:rsid w:val="000702D0"/>
    <w:rsid w:val="00071247"/>
    <w:rsid w:val="00071B7C"/>
    <w:rsid w:val="00072664"/>
    <w:rsid w:val="00075193"/>
    <w:rsid w:val="000772D3"/>
    <w:rsid w:val="00080FBA"/>
    <w:rsid w:val="000823C8"/>
    <w:rsid w:val="00082B49"/>
    <w:rsid w:val="00083C30"/>
    <w:rsid w:val="00083D18"/>
    <w:rsid w:val="000853BF"/>
    <w:rsid w:val="000857DC"/>
    <w:rsid w:val="00085C47"/>
    <w:rsid w:val="00085FF3"/>
    <w:rsid w:val="000862B6"/>
    <w:rsid w:val="000910B4"/>
    <w:rsid w:val="000916CC"/>
    <w:rsid w:val="0009218B"/>
    <w:rsid w:val="00092C92"/>
    <w:rsid w:val="000A0DCF"/>
    <w:rsid w:val="000A2A42"/>
    <w:rsid w:val="000A3AD0"/>
    <w:rsid w:val="000A3C1F"/>
    <w:rsid w:val="000A4933"/>
    <w:rsid w:val="000A54A3"/>
    <w:rsid w:val="000A7E8F"/>
    <w:rsid w:val="000B1457"/>
    <w:rsid w:val="000B21D6"/>
    <w:rsid w:val="000B2385"/>
    <w:rsid w:val="000B3F9E"/>
    <w:rsid w:val="000B4370"/>
    <w:rsid w:val="000B692A"/>
    <w:rsid w:val="000C0066"/>
    <w:rsid w:val="000C02BD"/>
    <w:rsid w:val="000C1025"/>
    <w:rsid w:val="000C63DD"/>
    <w:rsid w:val="000D2025"/>
    <w:rsid w:val="000D4120"/>
    <w:rsid w:val="000D44A5"/>
    <w:rsid w:val="000D5B0D"/>
    <w:rsid w:val="000E0813"/>
    <w:rsid w:val="000E1121"/>
    <w:rsid w:val="000E15FB"/>
    <w:rsid w:val="000E18C8"/>
    <w:rsid w:val="000E1EBF"/>
    <w:rsid w:val="000E2001"/>
    <w:rsid w:val="000E210E"/>
    <w:rsid w:val="000E22D5"/>
    <w:rsid w:val="000E321D"/>
    <w:rsid w:val="000E4308"/>
    <w:rsid w:val="000E4DE6"/>
    <w:rsid w:val="000E568F"/>
    <w:rsid w:val="000E6675"/>
    <w:rsid w:val="000E6821"/>
    <w:rsid w:val="000E7B4A"/>
    <w:rsid w:val="000F0F97"/>
    <w:rsid w:val="000F45DD"/>
    <w:rsid w:val="000F5EDF"/>
    <w:rsid w:val="000F67BA"/>
    <w:rsid w:val="000F6A2F"/>
    <w:rsid w:val="001011C0"/>
    <w:rsid w:val="001068C6"/>
    <w:rsid w:val="00106AB5"/>
    <w:rsid w:val="0010736E"/>
    <w:rsid w:val="0011227F"/>
    <w:rsid w:val="0011255E"/>
    <w:rsid w:val="001128CA"/>
    <w:rsid w:val="0011394E"/>
    <w:rsid w:val="00116F60"/>
    <w:rsid w:val="001209FF"/>
    <w:rsid w:val="001223CF"/>
    <w:rsid w:val="0012561D"/>
    <w:rsid w:val="00125890"/>
    <w:rsid w:val="00125968"/>
    <w:rsid w:val="0012737A"/>
    <w:rsid w:val="00127446"/>
    <w:rsid w:val="00127CCD"/>
    <w:rsid w:val="00127F89"/>
    <w:rsid w:val="00130946"/>
    <w:rsid w:val="00131232"/>
    <w:rsid w:val="001313B9"/>
    <w:rsid w:val="00131890"/>
    <w:rsid w:val="0013230C"/>
    <w:rsid w:val="001326ED"/>
    <w:rsid w:val="00132ACF"/>
    <w:rsid w:val="00132FCF"/>
    <w:rsid w:val="00136CB3"/>
    <w:rsid w:val="001377AD"/>
    <w:rsid w:val="00142742"/>
    <w:rsid w:val="00144075"/>
    <w:rsid w:val="00144DEE"/>
    <w:rsid w:val="00145E05"/>
    <w:rsid w:val="00146509"/>
    <w:rsid w:val="00146F60"/>
    <w:rsid w:val="001502D7"/>
    <w:rsid w:val="00151C02"/>
    <w:rsid w:val="00152646"/>
    <w:rsid w:val="00153149"/>
    <w:rsid w:val="00153BE3"/>
    <w:rsid w:val="001547B7"/>
    <w:rsid w:val="00157F92"/>
    <w:rsid w:val="001608AD"/>
    <w:rsid w:val="00164199"/>
    <w:rsid w:val="00166AB8"/>
    <w:rsid w:val="00167156"/>
    <w:rsid w:val="0016722D"/>
    <w:rsid w:val="00170163"/>
    <w:rsid w:val="00170436"/>
    <w:rsid w:val="00170916"/>
    <w:rsid w:val="00170D7A"/>
    <w:rsid w:val="00171681"/>
    <w:rsid w:val="001718A6"/>
    <w:rsid w:val="00171DA6"/>
    <w:rsid w:val="0017313D"/>
    <w:rsid w:val="001734B5"/>
    <w:rsid w:val="00173A1A"/>
    <w:rsid w:val="0017465D"/>
    <w:rsid w:val="00174F92"/>
    <w:rsid w:val="00176C9E"/>
    <w:rsid w:val="00177BAB"/>
    <w:rsid w:val="00182231"/>
    <w:rsid w:val="00187089"/>
    <w:rsid w:val="001875A2"/>
    <w:rsid w:val="0018795F"/>
    <w:rsid w:val="001904DF"/>
    <w:rsid w:val="00191EAE"/>
    <w:rsid w:val="00193770"/>
    <w:rsid w:val="00196868"/>
    <w:rsid w:val="001A0A05"/>
    <w:rsid w:val="001A1FD6"/>
    <w:rsid w:val="001A2343"/>
    <w:rsid w:val="001A2FF4"/>
    <w:rsid w:val="001A35C7"/>
    <w:rsid w:val="001A539F"/>
    <w:rsid w:val="001A66FA"/>
    <w:rsid w:val="001B2888"/>
    <w:rsid w:val="001B2A08"/>
    <w:rsid w:val="001B3419"/>
    <w:rsid w:val="001B4065"/>
    <w:rsid w:val="001B4E79"/>
    <w:rsid w:val="001B528D"/>
    <w:rsid w:val="001B562E"/>
    <w:rsid w:val="001B7615"/>
    <w:rsid w:val="001B78BB"/>
    <w:rsid w:val="001B7915"/>
    <w:rsid w:val="001C04CF"/>
    <w:rsid w:val="001C2E03"/>
    <w:rsid w:val="001C3F38"/>
    <w:rsid w:val="001C604B"/>
    <w:rsid w:val="001C6A47"/>
    <w:rsid w:val="001C7250"/>
    <w:rsid w:val="001D0D73"/>
    <w:rsid w:val="001D2A5C"/>
    <w:rsid w:val="001D464F"/>
    <w:rsid w:val="001D505D"/>
    <w:rsid w:val="001D5AA1"/>
    <w:rsid w:val="001D6EFA"/>
    <w:rsid w:val="001D7612"/>
    <w:rsid w:val="001E1348"/>
    <w:rsid w:val="001E1478"/>
    <w:rsid w:val="001E28E6"/>
    <w:rsid w:val="001E2C66"/>
    <w:rsid w:val="001E3A26"/>
    <w:rsid w:val="001E4835"/>
    <w:rsid w:val="001E58EF"/>
    <w:rsid w:val="001E7288"/>
    <w:rsid w:val="001F1BFF"/>
    <w:rsid w:val="001F1CDD"/>
    <w:rsid w:val="001F2D61"/>
    <w:rsid w:val="001F3B35"/>
    <w:rsid w:val="001F4377"/>
    <w:rsid w:val="001F4F1B"/>
    <w:rsid w:val="001F6D10"/>
    <w:rsid w:val="00202537"/>
    <w:rsid w:val="00207679"/>
    <w:rsid w:val="00207EB8"/>
    <w:rsid w:val="00210A39"/>
    <w:rsid w:val="00212180"/>
    <w:rsid w:val="00215AD3"/>
    <w:rsid w:val="002179B9"/>
    <w:rsid w:val="00221743"/>
    <w:rsid w:val="00222039"/>
    <w:rsid w:val="00222109"/>
    <w:rsid w:val="00222A4E"/>
    <w:rsid w:val="00222D6C"/>
    <w:rsid w:val="00230916"/>
    <w:rsid w:val="00230A76"/>
    <w:rsid w:val="00232768"/>
    <w:rsid w:val="00232948"/>
    <w:rsid w:val="00234F21"/>
    <w:rsid w:val="00235F30"/>
    <w:rsid w:val="0024228D"/>
    <w:rsid w:val="00243780"/>
    <w:rsid w:val="00243EED"/>
    <w:rsid w:val="00245654"/>
    <w:rsid w:val="0024642A"/>
    <w:rsid w:val="0024797D"/>
    <w:rsid w:val="00252036"/>
    <w:rsid w:val="002521CB"/>
    <w:rsid w:val="00252374"/>
    <w:rsid w:val="00253A59"/>
    <w:rsid w:val="00253E75"/>
    <w:rsid w:val="002540EE"/>
    <w:rsid w:val="002545C7"/>
    <w:rsid w:val="00255178"/>
    <w:rsid w:val="00255D08"/>
    <w:rsid w:val="00256C80"/>
    <w:rsid w:val="0025770E"/>
    <w:rsid w:val="002624F9"/>
    <w:rsid w:val="002639FA"/>
    <w:rsid w:val="00267034"/>
    <w:rsid w:val="00267074"/>
    <w:rsid w:val="00267686"/>
    <w:rsid w:val="00267D91"/>
    <w:rsid w:val="00270354"/>
    <w:rsid w:val="00271C0E"/>
    <w:rsid w:val="00272186"/>
    <w:rsid w:val="00272823"/>
    <w:rsid w:val="00273447"/>
    <w:rsid w:val="00273AEB"/>
    <w:rsid w:val="00274413"/>
    <w:rsid w:val="00274553"/>
    <w:rsid w:val="00274D71"/>
    <w:rsid w:val="002752F7"/>
    <w:rsid w:val="00275548"/>
    <w:rsid w:val="002776E2"/>
    <w:rsid w:val="00280643"/>
    <w:rsid w:val="00282C23"/>
    <w:rsid w:val="00284352"/>
    <w:rsid w:val="00284384"/>
    <w:rsid w:val="00286B5B"/>
    <w:rsid w:val="00286BD5"/>
    <w:rsid w:val="00286D2C"/>
    <w:rsid w:val="002877DE"/>
    <w:rsid w:val="00287CDA"/>
    <w:rsid w:val="00287E7B"/>
    <w:rsid w:val="00291E49"/>
    <w:rsid w:val="00294065"/>
    <w:rsid w:val="002952DE"/>
    <w:rsid w:val="00295B63"/>
    <w:rsid w:val="002A1493"/>
    <w:rsid w:val="002A63D9"/>
    <w:rsid w:val="002A7FA6"/>
    <w:rsid w:val="002B0CE7"/>
    <w:rsid w:val="002B14EC"/>
    <w:rsid w:val="002B34D9"/>
    <w:rsid w:val="002B3957"/>
    <w:rsid w:val="002B4751"/>
    <w:rsid w:val="002B4E20"/>
    <w:rsid w:val="002B7293"/>
    <w:rsid w:val="002B79FE"/>
    <w:rsid w:val="002C05F7"/>
    <w:rsid w:val="002C5F0E"/>
    <w:rsid w:val="002C68D4"/>
    <w:rsid w:val="002D0227"/>
    <w:rsid w:val="002D1098"/>
    <w:rsid w:val="002D1175"/>
    <w:rsid w:val="002D133E"/>
    <w:rsid w:val="002D1C40"/>
    <w:rsid w:val="002D1DDB"/>
    <w:rsid w:val="002D303E"/>
    <w:rsid w:val="002D4004"/>
    <w:rsid w:val="002D5C1C"/>
    <w:rsid w:val="002E0010"/>
    <w:rsid w:val="002E17BC"/>
    <w:rsid w:val="002E31CA"/>
    <w:rsid w:val="002E52C8"/>
    <w:rsid w:val="002E579A"/>
    <w:rsid w:val="002E57A4"/>
    <w:rsid w:val="002E6D1E"/>
    <w:rsid w:val="002F03B2"/>
    <w:rsid w:val="002F102F"/>
    <w:rsid w:val="002F28C0"/>
    <w:rsid w:val="002F4008"/>
    <w:rsid w:val="00300177"/>
    <w:rsid w:val="00300C25"/>
    <w:rsid w:val="00301BDD"/>
    <w:rsid w:val="00302AC9"/>
    <w:rsid w:val="00302BD2"/>
    <w:rsid w:val="003033EF"/>
    <w:rsid w:val="00303A89"/>
    <w:rsid w:val="00306607"/>
    <w:rsid w:val="003106C6"/>
    <w:rsid w:val="00313685"/>
    <w:rsid w:val="00322A99"/>
    <w:rsid w:val="003264A3"/>
    <w:rsid w:val="00326D1D"/>
    <w:rsid w:val="00326D27"/>
    <w:rsid w:val="003272B4"/>
    <w:rsid w:val="00327CC4"/>
    <w:rsid w:val="0033180C"/>
    <w:rsid w:val="00333A94"/>
    <w:rsid w:val="00334017"/>
    <w:rsid w:val="003372F5"/>
    <w:rsid w:val="0034022A"/>
    <w:rsid w:val="0034261A"/>
    <w:rsid w:val="00342D60"/>
    <w:rsid w:val="003447DD"/>
    <w:rsid w:val="00344A03"/>
    <w:rsid w:val="00344F69"/>
    <w:rsid w:val="003460C3"/>
    <w:rsid w:val="0035245D"/>
    <w:rsid w:val="0035784C"/>
    <w:rsid w:val="00363173"/>
    <w:rsid w:val="003660CD"/>
    <w:rsid w:val="003664F5"/>
    <w:rsid w:val="003674EF"/>
    <w:rsid w:val="003675FE"/>
    <w:rsid w:val="0037019B"/>
    <w:rsid w:val="00370E9B"/>
    <w:rsid w:val="003730B1"/>
    <w:rsid w:val="00374E9D"/>
    <w:rsid w:val="003750EC"/>
    <w:rsid w:val="003763E5"/>
    <w:rsid w:val="003768A0"/>
    <w:rsid w:val="00377EE4"/>
    <w:rsid w:val="00377EF9"/>
    <w:rsid w:val="003807A5"/>
    <w:rsid w:val="0038209E"/>
    <w:rsid w:val="003823CE"/>
    <w:rsid w:val="00383BEE"/>
    <w:rsid w:val="003865A9"/>
    <w:rsid w:val="00387CF4"/>
    <w:rsid w:val="0039098F"/>
    <w:rsid w:val="00390F78"/>
    <w:rsid w:val="00391EEA"/>
    <w:rsid w:val="0039290C"/>
    <w:rsid w:val="00393701"/>
    <w:rsid w:val="0039375C"/>
    <w:rsid w:val="00393962"/>
    <w:rsid w:val="003940FE"/>
    <w:rsid w:val="00394442"/>
    <w:rsid w:val="00394D91"/>
    <w:rsid w:val="00396E14"/>
    <w:rsid w:val="00397F9A"/>
    <w:rsid w:val="003A0B75"/>
    <w:rsid w:val="003A12CD"/>
    <w:rsid w:val="003A2B23"/>
    <w:rsid w:val="003A30B7"/>
    <w:rsid w:val="003A33BD"/>
    <w:rsid w:val="003A4174"/>
    <w:rsid w:val="003B029E"/>
    <w:rsid w:val="003B11C2"/>
    <w:rsid w:val="003B3091"/>
    <w:rsid w:val="003B45B6"/>
    <w:rsid w:val="003B6850"/>
    <w:rsid w:val="003B68F8"/>
    <w:rsid w:val="003B72AD"/>
    <w:rsid w:val="003B7ECE"/>
    <w:rsid w:val="003C10DC"/>
    <w:rsid w:val="003C1C60"/>
    <w:rsid w:val="003C22A4"/>
    <w:rsid w:val="003C26D5"/>
    <w:rsid w:val="003C2AAA"/>
    <w:rsid w:val="003C2FF2"/>
    <w:rsid w:val="003C37A5"/>
    <w:rsid w:val="003C4214"/>
    <w:rsid w:val="003C4310"/>
    <w:rsid w:val="003C4DB6"/>
    <w:rsid w:val="003C55FB"/>
    <w:rsid w:val="003C5CF7"/>
    <w:rsid w:val="003D0711"/>
    <w:rsid w:val="003D2164"/>
    <w:rsid w:val="003D2204"/>
    <w:rsid w:val="003D24A9"/>
    <w:rsid w:val="003D2C0C"/>
    <w:rsid w:val="003D2E2F"/>
    <w:rsid w:val="003D2E5C"/>
    <w:rsid w:val="003D41F3"/>
    <w:rsid w:val="003D5D00"/>
    <w:rsid w:val="003D7D47"/>
    <w:rsid w:val="003E09B0"/>
    <w:rsid w:val="003E255C"/>
    <w:rsid w:val="003E3A24"/>
    <w:rsid w:val="003E3F69"/>
    <w:rsid w:val="003E5D8B"/>
    <w:rsid w:val="003F35F4"/>
    <w:rsid w:val="003F6235"/>
    <w:rsid w:val="003F6BA6"/>
    <w:rsid w:val="003F6C5F"/>
    <w:rsid w:val="003F6DF9"/>
    <w:rsid w:val="003F7A6F"/>
    <w:rsid w:val="00407BDC"/>
    <w:rsid w:val="00411660"/>
    <w:rsid w:val="00411FA1"/>
    <w:rsid w:val="00412D22"/>
    <w:rsid w:val="004167A8"/>
    <w:rsid w:val="00416CF8"/>
    <w:rsid w:val="0041744C"/>
    <w:rsid w:val="00417865"/>
    <w:rsid w:val="00421D21"/>
    <w:rsid w:val="004236EB"/>
    <w:rsid w:val="00423D21"/>
    <w:rsid w:val="00425EE5"/>
    <w:rsid w:val="00426112"/>
    <w:rsid w:val="004269E5"/>
    <w:rsid w:val="00426A3B"/>
    <w:rsid w:val="00426FA6"/>
    <w:rsid w:val="004321AA"/>
    <w:rsid w:val="00433A75"/>
    <w:rsid w:val="00434EAA"/>
    <w:rsid w:val="004355C6"/>
    <w:rsid w:val="00435D8C"/>
    <w:rsid w:val="00436608"/>
    <w:rsid w:val="00437B51"/>
    <w:rsid w:val="00440323"/>
    <w:rsid w:val="004408E7"/>
    <w:rsid w:val="00441C91"/>
    <w:rsid w:val="004427EF"/>
    <w:rsid w:val="00442B7E"/>
    <w:rsid w:val="00443013"/>
    <w:rsid w:val="004430FE"/>
    <w:rsid w:val="00443CFF"/>
    <w:rsid w:val="004443C6"/>
    <w:rsid w:val="00444D95"/>
    <w:rsid w:val="004469D9"/>
    <w:rsid w:val="00450495"/>
    <w:rsid w:val="00450E3B"/>
    <w:rsid w:val="0045234D"/>
    <w:rsid w:val="004535B5"/>
    <w:rsid w:val="00453B26"/>
    <w:rsid w:val="00455150"/>
    <w:rsid w:val="0045522B"/>
    <w:rsid w:val="00455AA2"/>
    <w:rsid w:val="00455E45"/>
    <w:rsid w:val="00460CA8"/>
    <w:rsid w:val="00460E88"/>
    <w:rsid w:val="0046191E"/>
    <w:rsid w:val="004622B5"/>
    <w:rsid w:val="0046270E"/>
    <w:rsid w:val="00463E16"/>
    <w:rsid w:val="00464D12"/>
    <w:rsid w:val="00465FAD"/>
    <w:rsid w:val="00466616"/>
    <w:rsid w:val="00466AF2"/>
    <w:rsid w:val="00467C9C"/>
    <w:rsid w:val="00470B9B"/>
    <w:rsid w:val="0047248E"/>
    <w:rsid w:val="0047305E"/>
    <w:rsid w:val="00473691"/>
    <w:rsid w:val="00476404"/>
    <w:rsid w:val="00477E13"/>
    <w:rsid w:val="00484100"/>
    <w:rsid w:val="004901AD"/>
    <w:rsid w:val="00490244"/>
    <w:rsid w:val="00490C2A"/>
    <w:rsid w:val="00492E26"/>
    <w:rsid w:val="004961C6"/>
    <w:rsid w:val="00496AED"/>
    <w:rsid w:val="004A0984"/>
    <w:rsid w:val="004A1350"/>
    <w:rsid w:val="004A16AF"/>
    <w:rsid w:val="004A1819"/>
    <w:rsid w:val="004A1BFA"/>
    <w:rsid w:val="004A32EE"/>
    <w:rsid w:val="004A3A2E"/>
    <w:rsid w:val="004A6B1F"/>
    <w:rsid w:val="004B1F95"/>
    <w:rsid w:val="004B2981"/>
    <w:rsid w:val="004B3432"/>
    <w:rsid w:val="004B6AC6"/>
    <w:rsid w:val="004B6F33"/>
    <w:rsid w:val="004B7571"/>
    <w:rsid w:val="004C02D5"/>
    <w:rsid w:val="004C1696"/>
    <w:rsid w:val="004C2222"/>
    <w:rsid w:val="004C24DA"/>
    <w:rsid w:val="004C27B9"/>
    <w:rsid w:val="004C3AE4"/>
    <w:rsid w:val="004C543D"/>
    <w:rsid w:val="004C58F5"/>
    <w:rsid w:val="004D0068"/>
    <w:rsid w:val="004D0513"/>
    <w:rsid w:val="004D1DCF"/>
    <w:rsid w:val="004D21EA"/>
    <w:rsid w:val="004D275F"/>
    <w:rsid w:val="004D394F"/>
    <w:rsid w:val="004D4323"/>
    <w:rsid w:val="004D44A3"/>
    <w:rsid w:val="004D4E4A"/>
    <w:rsid w:val="004D5A8D"/>
    <w:rsid w:val="004D639E"/>
    <w:rsid w:val="004E0921"/>
    <w:rsid w:val="004E2221"/>
    <w:rsid w:val="004E2250"/>
    <w:rsid w:val="004E2859"/>
    <w:rsid w:val="004E458F"/>
    <w:rsid w:val="004E546C"/>
    <w:rsid w:val="004E6586"/>
    <w:rsid w:val="004E69F5"/>
    <w:rsid w:val="004F07BE"/>
    <w:rsid w:val="004F1EF4"/>
    <w:rsid w:val="004F2226"/>
    <w:rsid w:val="004F3D4F"/>
    <w:rsid w:val="004F556C"/>
    <w:rsid w:val="004F5D5B"/>
    <w:rsid w:val="004F7D27"/>
    <w:rsid w:val="005012B9"/>
    <w:rsid w:val="0050197A"/>
    <w:rsid w:val="00504B20"/>
    <w:rsid w:val="00510041"/>
    <w:rsid w:val="005109C4"/>
    <w:rsid w:val="00510AAB"/>
    <w:rsid w:val="00511936"/>
    <w:rsid w:val="005120A0"/>
    <w:rsid w:val="005131F4"/>
    <w:rsid w:val="005136CF"/>
    <w:rsid w:val="005149E7"/>
    <w:rsid w:val="00515C56"/>
    <w:rsid w:val="00515EB2"/>
    <w:rsid w:val="0051680A"/>
    <w:rsid w:val="00520153"/>
    <w:rsid w:val="00521918"/>
    <w:rsid w:val="00521C62"/>
    <w:rsid w:val="00522873"/>
    <w:rsid w:val="00524327"/>
    <w:rsid w:val="005249B0"/>
    <w:rsid w:val="00524BA4"/>
    <w:rsid w:val="00527475"/>
    <w:rsid w:val="00527678"/>
    <w:rsid w:val="00527C54"/>
    <w:rsid w:val="00527D6A"/>
    <w:rsid w:val="00531686"/>
    <w:rsid w:val="00532441"/>
    <w:rsid w:val="005328B5"/>
    <w:rsid w:val="00533558"/>
    <w:rsid w:val="00535C96"/>
    <w:rsid w:val="00536FBE"/>
    <w:rsid w:val="00537718"/>
    <w:rsid w:val="00540710"/>
    <w:rsid w:val="005408FF"/>
    <w:rsid w:val="00541518"/>
    <w:rsid w:val="00544889"/>
    <w:rsid w:val="0054652A"/>
    <w:rsid w:val="00546707"/>
    <w:rsid w:val="00547ECD"/>
    <w:rsid w:val="00552BAD"/>
    <w:rsid w:val="00554A75"/>
    <w:rsid w:val="005600A4"/>
    <w:rsid w:val="00560599"/>
    <w:rsid w:val="0056073C"/>
    <w:rsid w:val="00560998"/>
    <w:rsid w:val="00562398"/>
    <w:rsid w:val="005631B5"/>
    <w:rsid w:val="00563A0B"/>
    <w:rsid w:val="00563C90"/>
    <w:rsid w:val="00564517"/>
    <w:rsid w:val="00565803"/>
    <w:rsid w:val="00566109"/>
    <w:rsid w:val="0057081E"/>
    <w:rsid w:val="00571803"/>
    <w:rsid w:val="00572C1C"/>
    <w:rsid w:val="00572F12"/>
    <w:rsid w:val="00572F66"/>
    <w:rsid w:val="005739F2"/>
    <w:rsid w:val="00575DAE"/>
    <w:rsid w:val="00577D14"/>
    <w:rsid w:val="005800C0"/>
    <w:rsid w:val="00584ACF"/>
    <w:rsid w:val="00585341"/>
    <w:rsid w:val="00585539"/>
    <w:rsid w:val="00585C4D"/>
    <w:rsid w:val="00586627"/>
    <w:rsid w:val="005918D5"/>
    <w:rsid w:val="00593085"/>
    <w:rsid w:val="005930A4"/>
    <w:rsid w:val="00596F16"/>
    <w:rsid w:val="00597483"/>
    <w:rsid w:val="00597AB7"/>
    <w:rsid w:val="005A0082"/>
    <w:rsid w:val="005A1E66"/>
    <w:rsid w:val="005A25B4"/>
    <w:rsid w:val="005A303E"/>
    <w:rsid w:val="005A5777"/>
    <w:rsid w:val="005A6884"/>
    <w:rsid w:val="005B0A05"/>
    <w:rsid w:val="005B0CD0"/>
    <w:rsid w:val="005B3004"/>
    <w:rsid w:val="005B541E"/>
    <w:rsid w:val="005B626A"/>
    <w:rsid w:val="005B6A37"/>
    <w:rsid w:val="005C2E72"/>
    <w:rsid w:val="005C3E12"/>
    <w:rsid w:val="005C4B76"/>
    <w:rsid w:val="005C5491"/>
    <w:rsid w:val="005C556A"/>
    <w:rsid w:val="005D0346"/>
    <w:rsid w:val="005D1E8F"/>
    <w:rsid w:val="005D2E3A"/>
    <w:rsid w:val="005D3186"/>
    <w:rsid w:val="005D356A"/>
    <w:rsid w:val="005D38D4"/>
    <w:rsid w:val="005D3B9E"/>
    <w:rsid w:val="005D4803"/>
    <w:rsid w:val="005D4BDD"/>
    <w:rsid w:val="005D5BC7"/>
    <w:rsid w:val="005E177E"/>
    <w:rsid w:val="005E34B1"/>
    <w:rsid w:val="005E6320"/>
    <w:rsid w:val="005F016C"/>
    <w:rsid w:val="005F02B9"/>
    <w:rsid w:val="005F0413"/>
    <w:rsid w:val="005F1DE2"/>
    <w:rsid w:val="005F315D"/>
    <w:rsid w:val="005F33DA"/>
    <w:rsid w:val="005F4238"/>
    <w:rsid w:val="00600363"/>
    <w:rsid w:val="006004F8"/>
    <w:rsid w:val="006033C3"/>
    <w:rsid w:val="00603561"/>
    <w:rsid w:val="006037C4"/>
    <w:rsid w:val="00604716"/>
    <w:rsid w:val="0061006E"/>
    <w:rsid w:val="006107F5"/>
    <w:rsid w:val="00613D6A"/>
    <w:rsid w:val="00615E2A"/>
    <w:rsid w:val="006173B9"/>
    <w:rsid w:val="006174C3"/>
    <w:rsid w:val="00617E48"/>
    <w:rsid w:val="00621359"/>
    <w:rsid w:val="0062564E"/>
    <w:rsid w:val="006259F5"/>
    <w:rsid w:val="00625B17"/>
    <w:rsid w:val="006262A0"/>
    <w:rsid w:val="00626859"/>
    <w:rsid w:val="00627768"/>
    <w:rsid w:val="00627F27"/>
    <w:rsid w:val="00631415"/>
    <w:rsid w:val="00632493"/>
    <w:rsid w:val="0063505D"/>
    <w:rsid w:val="0063560D"/>
    <w:rsid w:val="00637406"/>
    <w:rsid w:val="00637F4E"/>
    <w:rsid w:val="00645CAD"/>
    <w:rsid w:val="00646C8F"/>
    <w:rsid w:val="00647EF0"/>
    <w:rsid w:val="00650257"/>
    <w:rsid w:val="00650547"/>
    <w:rsid w:val="00650A00"/>
    <w:rsid w:val="00654206"/>
    <w:rsid w:val="0065623E"/>
    <w:rsid w:val="0065680D"/>
    <w:rsid w:val="00656B20"/>
    <w:rsid w:val="00657429"/>
    <w:rsid w:val="0066033C"/>
    <w:rsid w:val="00662EA0"/>
    <w:rsid w:val="006647E9"/>
    <w:rsid w:val="0066522A"/>
    <w:rsid w:val="00666644"/>
    <w:rsid w:val="00666BC4"/>
    <w:rsid w:val="00666E0C"/>
    <w:rsid w:val="006674CE"/>
    <w:rsid w:val="0067087A"/>
    <w:rsid w:val="00673AB8"/>
    <w:rsid w:val="00675805"/>
    <w:rsid w:val="00675FCF"/>
    <w:rsid w:val="0067637A"/>
    <w:rsid w:val="006808A2"/>
    <w:rsid w:val="00682251"/>
    <w:rsid w:val="00682D9C"/>
    <w:rsid w:val="00683FC7"/>
    <w:rsid w:val="00684B28"/>
    <w:rsid w:val="006915D0"/>
    <w:rsid w:val="00691DDC"/>
    <w:rsid w:val="00692062"/>
    <w:rsid w:val="00696AAA"/>
    <w:rsid w:val="00697CA5"/>
    <w:rsid w:val="006A0DE6"/>
    <w:rsid w:val="006A115A"/>
    <w:rsid w:val="006A17F0"/>
    <w:rsid w:val="006A4812"/>
    <w:rsid w:val="006A4F3C"/>
    <w:rsid w:val="006A632C"/>
    <w:rsid w:val="006A68AE"/>
    <w:rsid w:val="006B0974"/>
    <w:rsid w:val="006B24A5"/>
    <w:rsid w:val="006B285F"/>
    <w:rsid w:val="006B4690"/>
    <w:rsid w:val="006B4842"/>
    <w:rsid w:val="006B4B2A"/>
    <w:rsid w:val="006B4D7C"/>
    <w:rsid w:val="006B5B92"/>
    <w:rsid w:val="006B7CBE"/>
    <w:rsid w:val="006C0323"/>
    <w:rsid w:val="006C0371"/>
    <w:rsid w:val="006C064E"/>
    <w:rsid w:val="006C5560"/>
    <w:rsid w:val="006C771F"/>
    <w:rsid w:val="006D0DAD"/>
    <w:rsid w:val="006D1859"/>
    <w:rsid w:val="006D238C"/>
    <w:rsid w:val="006D2B2E"/>
    <w:rsid w:val="006D2BAD"/>
    <w:rsid w:val="006D3500"/>
    <w:rsid w:val="006D4F0C"/>
    <w:rsid w:val="006D70F5"/>
    <w:rsid w:val="006D775E"/>
    <w:rsid w:val="006E051F"/>
    <w:rsid w:val="006E1F72"/>
    <w:rsid w:val="006E2EB5"/>
    <w:rsid w:val="006E356A"/>
    <w:rsid w:val="006E48B3"/>
    <w:rsid w:val="006E66C6"/>
    <w:rsid w:val="006E6BE0"/>
    <w:rsid w:val="006F1702"/>
    <w:rsid w:val="006F2931"/>
    <w:rsid w:val="006F2C12"/>
    <w:rsid w:val="006F3DE0"/>
    <w:rsid w:val="006F4AF4"/>
    <w:rsid w:val="006F59A5"/>
    <w:rsid w:val="006F6B7E"/>
    <w:rsid w:val="006F7D2F"/>
    <w:rsid w:val="00701DA7"/>
    <w:rsid w:val="00702F81"/>
    <w:rsid w:val="00703B92"/>
    <w:rsid w:val="0070468E"/>
    <w:rsid w:val="00704997"/>
    <w:rsid w:val="00705C9A"/>
    <w:rsid w:val="00706C0B"/>
    <w:rsid w:val="00706FAE"/>
    <w:rsid w:val="00707477"/>
    <w:rsid w:val="00707DAE"/>
    <w:rsid w:val="00714DBA"/>
    <w:rsid w:val="00715263"/>
    <w:rsid w:val="00715F05"/>
    <w:rsid w:val="00716441"/>
    <w:rsid w:val="007206FE"/>
    <w:rsid w:val="007212AC"/>
    <w:rsid w:val="00721678"/>
    <w:rsid w:val="00721C17"/>
    <w:rsid w:val="00724D82"/>
    <w:rsid w:val="00730333"/>
    <w:rsid w:val="007329EA"/>
    <w:rsid w:val="00734895"/>
    <w:rsid w:val="00736838"/>
    <w:rsid w:val="007373B4"/>
    <w:rsid w:val="007409C6"/>
    <w:rsid w:val="00742ECA"/>
    <w:rsid w:val="00742F51"/>
    <w:rsid w:val="00743E5D"/>
    <w:rsid w:val="00744D67"/>
    <w:rsid w:val="00745DC9"/>
    <w:rsid w:val="007460A4"/>
    <w:rsid w:val="007463DD"/>
    <w:rsid w:val="00747FDE"/>
    <w:rsid w:val="00751067"/>
    <w:rsid w:val="00751200"/>
    <w:rsid w:val="00753840"/>
    <w:rsid w:val="00753D6F"/>
    <w:rsid w:val="007540C3"/>
    <w:rsid w:val="007546A7"/>
    <w:rsid w:val="00755B13"/>
    <w:rsid w:val="00761082"/>
    <w:rsid w:val="00761D2D"/>
    <w:rsid w:val="00763E88"/>
    <w:rsid w:val="00764999"/>
    <w:rsid w:val="00765285"/>
    <w:rsid w:val="0077027A"/>
    <w:rsid w:val="007703A5"/>
    <w:rsid w:val="00774A13"/>
    <w:rsid w:val="00776195"/>
    <w:rsid w:val="00776994"/>
    <w:rsid w:val="00777606"/>
    <w:rsid w:val="00777A4A"/>
    <w:rsid w:val="0078021E"/>
    <w:rsid w:val="00780248"/>
    <w:rsid w:val="00780E22"/>
    <w:rsid w:val="0078182D"/>
    <w:rsid w:val="00781A34"/>
    <w:rsid w:val="00782C14"/>
    <w:rsid w:val="007837E8"/>
    <w:rsid w:val="0078480A"/>
    <w:rsid w:val="00786A3D"/>
    <w:rsid w:val="0078746F"/>
    <w:rsid w:val="00790276"/>
    <w:rsid w:val="00790801"/>
    <w:rsid w:val="00790C30"/>
    <w:rsid w:val="00791052"/>
    <w:rsid w:val="007913E6"/>
    <w:rsid w:val="0079465B"/>
    <w:rsid w:val="00795D1C"/>
    <w:rsid w:val="0079656F"/>
    <w:rsid w:val="00796B2B"/>
    <w:rsid w:val="0079715D"/>
    <w:rsid w:val="007A6259"/>
    <w:rsid w:val="007A69AC"/>
    <w:rsid w:val="007B23C3"/>
    <w:rsid w:val="007B284C"/>
    <w:rsid w:val="007B2CA1"/>
    <w:rsid w:val="007B6FB7"/>
    <w:rsid w:val="007B7ECA"/>
    <w:rsid w:val="007C28B0"/>
    <w:rsid w:val="007C2E65"/>
    <w:rsid w:val="007C385B"/>
    <w:rsid w:val="007C44A1"/>
    <w:rsid w:val="007C584D"/>
    <w:rsid w:val="007C5C86"/>
    <w:rsid w:val="007D04F5"/>
    <w:rsid w:val="007D092C"/>
    <w:rsid w:val="007D0F55"/>
    <w:rsid w:val="007D2074"/>
    <w:rsid w:val="007D32E9"/>
    <w:rsid w:val="007D4274"/>
    <w:rsid w:val="007D467F"/>
    <w:rsid w:val="007D5AA5"/>
    <w:rsid w:val="007D65FA"/>
    <w:rsid w:val="007E5B72"/>
    <w:rsid w:val="007E626E"/>
    <w:rsid w:val="007E65C4"/>
    <w:rsid w:val="007E6FD0"/>
    <w:rsid w:val="007E7E08"/>
    <w:rsid w:val="007F01E5"/>
    <w:rsid w:val="007F0884"/>
    <w:rsid w:val="007F0B09"/>
    <w:rsid w:val="007F1249"/>
    <w:rsid w:val="007F2B68"/>
    <w:rsid w:val="007F2D63"/>
    <w:rsid w:val="007F364D"/>
    <w:rsid w:val="007F4879"/>
    <w:rsid w:val="007F57FE"/>
    <w:rsid w:val="007F6511"/>
    <w:rsid w:val="007F6D60"/>
    <w:rsid w:val="008013B4"/>
    <w:rsid w:val="00801D24"/>
    <w:rsid w:val="00801E38"/>
    <w:rsid w:val="00802DFF"/>
    <w:rsid w:val="00803A66"/>
    <w:rsid w:val="00803D2E"/>
    <w:rsid w:val="008049BD"/>
    <w:rsid w:val="008062AF"/>
    <w:rsid w:val="008070DF"/>
    <w:rsid w:val="008072FD"/>
    <w:rsid w:val="008105BF"/>
    <w:rsid w:val="00810B50"/>
    <w:rsid w:val="00811A95"/>
    <w:rsid w:val="00811AA1"/>
    <w:rsid w:val="00812B06"/>
    <w:rsid w:val="0081357B"/>
    <w:rsid w:val="008141CF"/>
    <w:rsid w:val="008156DA"/>
    <w:rsid w:val="00816ED5"/>
    <w:rsid w:val="0082144A"/>
    <w:rsid w:val="00824F67"/>
    <w:rsid w:val="00826457"/>
    <w:rsid w:val="0082677B"/>
    <w:rsid w:val="008267E1"/>
    <w:rsid w:val="00826C7B"/>
    <w:rsid w:val="008275EF"/>
    <w:rsid w:val="00827714"/>
    <w:rsid w:val="00827882"/>
    <w:rsid w:val="00827D9B"/>
    <w:rsid w:val="0083156B"/>
    <w:rsid w:val="00831A1F"/>
    <w:rsid w:val="008323E0"/>
    <w:rsid w:val="00835560"/>
    <w:rsid w:val="008359B1"/>
    <w:rsid w:val="00837375"/>
    <w:rsid w:val="0084050C"/>
    <w:rsid w:val="008429DA"/>
    <w:rsid w:val="00842E3E"/>
    <w:rsid w:val="00843054"/>
    <w:rsid w:val="00847A28"/>
    <w:rsid w:val="00847AA1"/>
    <w:rsid w:val="008525D8"/>
    <w:rsid w:val="00852C4E"/>
    <w:rsid w:val="00854AA8"/>
    <w:rsid w:val="00854E48"/>
    <w:rsid w:val="00855D70"/>
    <w:rsid w:val="00860090"/>
    <w:rsid w:val="0086083C"/>
    <w:rsid w:val="00860E1D"/>
    <w:rsid w:val="008650BA"/>
    <w:rsid w:val="0086604B"/>
    <w:rsid w:val="008666E0"/>
    <w:rsid w:val="00866BE0"/>
    <w:rsid w:val="00866CAE"/>
    <w:rsid w:val="008703C1"/>
    <w:rsid w:val="00871E28"/>
    <w:rsid w:val="00872A55"/>
    <w:rsid w:val="00873ADC"/>
    <w:rsid w:val="008744FB"/>
    <w:rsid w:val="00876D4C"/>
    <w:rsid w:val="00877747"/>
    <w:rsid w:val="00880F12"/>
    <w:rsid w:val="008812C0"/>
    <w:rsid w:val="00882730"/>
    <w:rsid w:val="0088434D"/>
    <w:rsid w:val="00885631"/>
    <w:rsid w:val="00885ADC"/>
    <w:rsid w:val="00886510"/>
    <w:rsid w:val="00886EDD"/>
    <w:rsid w:val="00887AFB"/>
    <w:rsid w:val="00890239"/>
    <w:rsid w:val="00892E00"/>
    <w:rsid w:val="0089302A"/>
    <w:rsid w:val="00894B45"/>
    <w:rsid w:val="00895792"/>
    <w:rsid w:val="00895836"/>
    <w:rsid w:val="00895EF6"/>
    <w:rsid w:val="00896F7A"/>
    <w:rsid w:val="008979C0"/>
    <w:rsid w:val="008A04B8"/>
    <w:rsid w:val="008A10A7"/>
    <w:rsid w:val="008A1F0A"/>
    <w:rsid w:val="008A43BB"/>
    <w:rsid w:val="008A564D"/>
    <w:rsid w:val="008B2F3D"/>
    <w:rsid w:val="008B3B86"/>
    <w:rsid w:val="008B4C76"/>
    <w:rsid w:val="008B50DB"/>
    <w:rsid w:val="008B5E82"/>
    <w:rsid w:val="008B6018"/>
    <w:rsid w:val="008C05C4"/>
    <w:rsid w:val="008C3111"/>
    <w:rsid w:val="008C3D21"/>
    <w:rsid w:val="008D0916"/>
    <w:rsid w:val="008D1F91"/>
    <w:rsid w:val="008D26E0"/>
    <w:rsid w:val="008D2CBF"/>
    <w:rsid w:val="008D2ECA"/>
    <w:rsid w:val="008D394E"/>
    <w:rsid w:val="008D7C4B"/>
    <w:rsid w:val="008D7F8D"/>
    <w:rsid w:val="008E05CF"/>
    <w:rsid w:val="008E0E51"/>
    <w:rsid w:val="008E4068"/>
    <w:rsid w:val="008E7C44"/>
    <w:rsid w:val="008F0CED"/>
    <w:rsid w:val="008F2851"/>
    <w:rsid w:val="008F2F31"/>
    <w:rsid w:val="008F31E9"/>
    <w:rsid w:val="008F5C43"/>
    <w:rsid w:val="009017C1"/>
    <w:rsid w:val="00901B72"/>
    <w:rsid w:val="0090365D"/>
    <w:rsid w:val="00905954"/>
    <w:rsid w:val="00905EFE"/>
    <w:rsid w:val="00906347"/>
    <w:rsid w:val="00907846"/>
    <w:rsid w:val="0091002E"/>
    <w:rsid w:val="009105B8"/>
    <w:rsid w:val="009110B4"/>
    <w:rsid w:val="00912850"/>
    <w:rsid w:val="00912880"/>
    <w:rsid w:val="0091435D"/>
    <w:rsid w:val="00917A29"/>
    <w:rsid w:val="00917A61"/>
    <w:rsid w:val="00920A34"/>
    <w:rsid w:val="0092333E"/>
    <w:rsid w:val="0092345B"/>
    <w:rsid w:val="009254CC"/>
    <w:rsid w:val="00930141"/>
    <w:rsid w:val="00931F25"/>
    <w:rsid w:val="009322CD"/>
    <w:rsid w:val="0093249C"/>
    <w:rsid w:val="00934208"/>
    <w:rsid w:val="00937E63"/>
    <w:rsid w:val="0094078C"/>
    <w:rsid w:val="009442A9"/>
    <w:rsid w:val="009446C7"/>
    <w:rsid w:val="00944DD5"/>
    <w:rsid w:val="0094559A"/>
    <w:rsid w:val="00947488"/>
    <w:rsid w:val="009475DF"/>
    <w:rsid w:val="0094773D"/>
    <w:rsid w:val="00952600"/>
    <w:rsid w:val="0095371E"/>
    <w:rsid w:val="00954E2F"/>
    <w:rsid w:val="009624C7"/>
    <w:rsid w:val="00962830"/>
    <w:rsid w:val="00962B27"/>
    <w:rsid w:val="00962B60"/>
    <w:rsid w:val="0096524F"/>
    <w:rsid w:val="00967294"/>
    <w:rsid w:val="00970832"/>
    <w:rsid w:val="009714E8"/>
    <w:rsid w:val="009718B2"/>
    <w:rsid w:val="00973856"/>
    <w:rsid w:val="00974F17"/>
    <w:rsid w:val="009770D0"/>
    <w:rsid w:val="00977876"/>
    <w:rsid w:val="00977E7F"/>
    <w:rsid w:val="009816D4"/>
    <w:rsid w:val="009824C7"/>
    <w:rsid w:val="00983675"/>
    <w:rsid w:val="00984298"/>
    <w:rsid w:val="00984838"/>
    <w:rsid w:val="00987077"/>
    <w:rsid w:val="00990D1B"/>
    <w:rsid w:val="00992A1F"/>
    <w:rsid w:val="009936F1"/>
    <w:rsid w:val="00993807"/>
    <w:rsid w:val="00993C2B"/>
    <w:rsid w:val="009941AB"/>
    <w:rsid w:val="009969DA"/>
    <w:rsid w:val="009A0672"/>
    <w:rsid w:val="009A108A"/>
    <w:rsid w:val="009A3544"/>
    <w:rsid w:val="009A55E1"/>
    <w:rsid w:val="009A636E"/>
    <w:rsid w:val="009A64E3"/>
    <w:rsid w:val="009A7A60"/>
    <w:rsid w:val="009B4DFD"/>
    <w:rsid w:val="009B6B21"/>
    <w:rsid w:val="009C17E3"/>
    <w:rsid w:val="009C255D"/>
    <w:rsid w:val="009C2B54"/>
    <w:rsid w:val="009C7C8D"/>
    <w:rsid w:val="009D0553"/>
    <w:rsid w:val="009D15AA"/>
    <w:rsid w:val="009D563D"/>
    <w:rsid w:val="009D587F"/>
    <w:rsid w:val="009E0BBC"/>
    <w:rsid w:val="009E21E8"/>
    <w:rsid w:val="009E25FF"/>
    <w:rsid w:val="009E423F"/>
    <w:rsid w:val="009E4629"/>
    <w:rsid w:val="009E4D29"/>
    <w:rsid w:val="009E55EB"/>
    <w:rsid w:val="009E6CE0"/>
    <w:rsid w:val="009E7A79"/>
    <w:rsid w:val="009F0E96"/>
    <w:rsid w:val="009F1EA3"/>
    <w:rsid w:val="009F2CD0"/>
    <w:rsid w:val="009F3107"/>
    <w:rsid w:val="009F4948"/>
    <w:rsid w:val="009F5B62"/>
    <w:rsid w:val="009F64BA"/>
    <w:rsid w:val="009F65C0"/>
    <w:rsid w:val="00A01012"/>
    <w:rsid w:val="00A02D57"/>
    <w:rsid w:val="00A049B0"/>
    <w:rsid w:val="00A04E8B"/>
    <w:rsid w:val="00A054EB"/>
    <w:rsid w:val="00A06E4C"/>
    <w:rsid w:val="00A07CAD"/>
    <w:rsid w:val="00A13595"/>
    <w:rsid w:val="00A14369"/>
    <w:rsid w:val="00A1647C"/>
    <w:rsid w:val="00A20DD6"/>
    <w:rsid w:val="00A22247"/>
    <w:rsid w:val="00A2345D"/>
    <w:rsid w:val="00A24582"/>
    <w:rsid w:val="00A24A51"/>
    <w:rsid w:val="00A2513E"/>
    <w:rsid w:val="00A26703"/>
    <w:rsid w:val="00A3556E"/>
    <w:rsid w:val="00A357ED"/>
    <w:rsid w:val="00A37163"/>
    <w:rsid w:val="00A372EF"/>
    <w:rsid w:val="00A46A91"/>
    <w:rsid w:val="00A470EB"/>
    <w:rsid w:val="00A52614"/>
    <w:rsid w:val="00A527E4"/>
    <w:rsid w:val="00A52BA8"/>
    <w:rsid w:val="00A572D2"/>
    <w:rsid w:val="00A57AAF"/>
    <w:rsid w:val="00A60757"/>
    <w:rsid w:val="00A60BEC"/>
    <w:rsid w:val="00A60C23"/>
    <w:rsid w:val="00A62082"/>
    <w:rsid w:val="00A65182"/>
    <w:rsid w:val="00A67BD4"/>
    <w:rsid w:val="00A67CB7"/>
    <w:rsid w:val="00A67E8E"/>
    <w:rsid w:val="00A70F88"/>
    <w:rsid w:val="00A718F5"/>
    <w:rsid w:val="00A7214B"/>
    <w:rsid w:val="00A7224A"/>
    <w:rsid w:val="00A75EC9"/>
    <w:rsid w:val="00A76585"/>
    <w:rsid w:val="00A76907"/>
    <w:rsid w:val="00A769BC"/>
    <w:rsid w:val="00A76B3F"/>
    <w:rsid w:val="00A773D6"/>
    <w:rsid w:val="00A77C37"/>
    <w:rsid w:val="00A77F66"/>
    <w:rsid w:val="00A80BE0"/>
    <w:rsid w:val="00A83A36"/>
    <w:rsid w:val="00A83D78"/>
    <w:rsid w:val="00A84E07"/>
    <w:rsid w:val="00A8637B"/>
    <w:rsid w:val="00A86B54"/>
    <w:rsid w:val="00A8760F"/>
    <w:rsid w:val="00A921F0"/>
    <w:rsid w:val="00A933C0"/>
    <w:rsid w:val="00A949DB"/>
    <w:rsid w:val="00A95C53"/>
    <w:rsid w:val="00A97E4D"/>
    <w:rsid w:val="00AA1233"/>
    <w:rsid w:val="00AA2499"/>
    <w:rsid w:val="00AA2C31"/>
    <w:rsid w:val="00AA4792"/>
    <w:rsid w:val="00AA52BB"/>
    <w:rsid w:val="00AA5DFC"/>
    <w:rsid w:val="00AA673D"/>
    <w:rsid w:val="00AA6CEF"/>
    <w:rsid w:val="00AA7D49"/>
    <w:rsid w:val="00AB3F51"/>
    <w:rsid w:val="00AB42C6"/>
    <w:rsid w:val="00AC1FF4"/>
    <w:rsid w:val="00AC5557"/>
    <w:rsid w:val="00AC6478"/>
    <w:rsid w:val="00AC77DF"/>
    <w:rsid w:val="00AC7A3A"/>
    <w:rsid w:val="00AD0252"/>
    <w:rsid w:val="00AD07A5"/>
    <w:rsid w:val="00AD1C2E"/>
    <w:rsid w:val="00AD3D90"/>
    <w:rsid w:val="00AD4200"/>
    <w:rsid w:val="00AD42B2"/>
    <w:rsid w:val="00AE0398"/>
    <w:rsid w:val="00AE0E32"/>
    <w:rsid w:val="00AE231D"/>
    <w:rsid w:val="00AE303D"/>
    <w:rsid w:val="00AE44BF"/>
    <w:rsid w:val="00AE4905"/>
    <w:rsid w:val="00AE52EC"/>
    <w:rsid w:val="00AE5EF0"/>
    <w:rsid w:val="00AE6C22"/>
    <w:rsid w:val="00AE77CB"/>
    <w:rsid w:val="00AF0FA1"/>
    <w:rsid w:val="00AF1002"/>
    <w:rsid w:val="00AF1C9A"/>
    <w:rsid w:val="00AF2073"/>
    <w:rsid w:val="00AF2539"/>
    <w:rsid w:val="00AF2567"/>
    <w:rsid w:val="00AF3327"/>
    <w:rsid w:val="00AF3AB0"/>
    <w:rsid w:val="00AF5A51"/>
    <w:rsid w:val="00AF61AF"/>
    <w:rsid w:val="00AF76FB"/>
    <w:rsid w:val="00AF7CD6"/>
    <w:rsid w:val="00B001AF"/>
    <w:rsid w:val="00B019A2"/>
    <w:rsid w:val="00B020BB"/>
    <w:rsid w:val="00B03F30"/>
    <w:rsid w:val="00B0408D"/>
    <w:rsid w:val="00B04831"/>
    <w:rsid w:val="00B04EB1"/>
    <w:rsid w:val="00B079E9"/>
    <w:rsid w:val="00B106B7"/>
    <w:rsid w:val="00B10B14"/>
    <w:rsid w:val="00B125A4"/>
    <w:rsid w:val="00B12F6A"/>
    <w:rsid w:val="00B130E4"/>
    <w:rsid w:val="00B13A72"/>
    <w:rsid w:val="00B14626"/>
    <w:rsid w:val="00B1759A"/>
    <w:rsid w:val="00B1765E"/>
    <w:rsid w:val="00B217F4"/>
    <w:rsid w:val="00B22818"/>
    <w:rsid w:val="00B22EE6"/>
    <w:rsid w:val="00B26249"/>
    <w:rsid w:val="00B3010F"/>
    <w:rsid w:val="00B3022F"/>
    <w:rsid w:val="00B302A1"/>
    <w:rsid w:val="00B31A7D"/>
    <w:rsid w:val="00B32493"/>
    <w:rsid w:val="00B34FB2"/>
    <w:rsid w:val="00B36583"/>
    <w:rsid w:val="00B36A8A"/>
    <w:rsid w:val="00B40399"/>
    <w:rsid w:val="00B403EE"/>
    <w:rsid w:val="00B42E38"/>
    <w:rsid w:val="00B43FDD"/>
    <w:rsid w:val="00B44643"/>
    <w:rsid w:val="00B45ED4"/>
    <w:rsid w:val="00B46F0D"/>
    <w:rsid w:val="00B4748C"/>
    <w:rsid w:val="00B50552"/>
    <w:rsid w:val="00B51331"/>
    <w:rsid w:val="00B5168E"/>
    <w:rsid w:val="00B51ECE"/>
    <w:rsid w:val="00B521F2"/>
    <w:rsid w:val="00B53707"/>
    <w:rsid w:val="00B54161"/>
    <w:rsid w:val="00B55095"/>
    <w:rsid w:val="00B564FC"/>
    <w:rsid w:val="00B5698D"/>
    <w:rsid w:val="00B57162"/>
    <w:rsid w:val="00B60D42"/>
    <w:rsid w:val="00B6362A"/>
    <w:rsid w:val="00B63888"/>
    <w:rsid w:val="00B65F54"/>
    <w:rsid w:val="00B66FA5"/>
    <w:rsid w:val="00B7065B"/>
    <w:rsid w:val="00B7222B"/>
    <w:rsid w:val="00B726A4"/>
    <w:rsid w:val="00B729E2"/>
    <w:rsid w:val="00B75C1D"/>
    <w:rsid w:val="00B767A1"/>
    <w:rsid w:val="00B76B6B"/>
    <w:rsid w:val="00B76EEA"/>
    <w:rsid w:val="00B76F2F"/>
    <w:rsid w:val="00B803C8"/>
    <w:rsid w:val="00B80C54"/>
    <w:rsid w:val="00B81B4B"/>
    <w:rsid w:val="00B82DEF"/>
    <w:rsid w:val="00B83558"/>
    <w:rsid w:val="00B84B99"/>
    <w:rsid w:val="00B9037E"/>
    <w:rsid w:val="00B90D5A"/>
    <w:rsid w:val="00B93584"/>
    <w:rsid w:val="00B964C6"/>
    <w:rsid w:val="00B96756"/>
    <w:rsid w:val="00BA03D0"/>
    <w:rsid w:val="00BA13DB"/>
    <w:rsid w:val="00BA2C08"/>
    <w:rsid w:val="00BA2E6A"/>
    <w:rsid w:val="00BA4528"/>
    <w:rsid w:val="00BA5AE3"/>
    <w:rsid w:val="00BA5E6E"/>
    <w:rsid w:val="00BA67CE"/>
    <w:rsid w:val="00BA79A5"/>
    <w:rsid w:val="00BB01D5"/>
    <w:rsid w:val="00BB0F17"/>
    <w:rsid w:val="00BB1351"/>
    <w:rsid w:val="00BB17BF"/>
    <w:rsid w:val="00BB336B"/>
    <w:rsid w:val="00BB42F5"/>
    <w:rsid w:val="00BB5EC2"/>
    <w:rsid w:val="00BC044A"/>
    <w:rsid w:val="00BC3198"/>
    <w:rsid w:val="00BC331C"/>
    <w:rsid w:val="00BC5387"/>
    <w:rsid w:val="00BC5A8A"/>
    <w:rsid w:val="00BC6854"/>
    <w:rsid w:val="00BC70C2"/>
    <w:rsid w:val="00BC7199"/>
    <w:rsid w:val="00BD2100"/>
    <w:rsid w:val="00BD2DAF"/>
    <w:rsid w:val="00BD4745"/>
    <w:rsid w:val="00BD4AA9"/>
    <w:rsid w:val="00BD4D07"/>
    <w:rsid w:val="00BD4D6B"/>
    <w:rsid w:val="00BD69D7"/>
    <w:rsid w:val="00BD70A7"/>
    <w:rsid w:val="00BE02FC"/>
    <w:rsid w:val="00BE0802"/>
    <w:rsid w:val="00BE14FD"/>
    <w:rsid w:val="00BE242A"/>
    <w:rsid w:val="00BE2EB7"/>
    <w:rsid w:val="00BE384B"/>
    <w:rsid w:val="00BE4967"/>
    <w:rsid w:val="00BE6532"/>
    <w:rsid w:val="00BF0440"/>
    <w:rsid w:val="00BF25A0"/>
    <w:rsid w:val="00BF3C87"/>
    <w:rsid w:val="00BF4102"/>
    <w:rsid w:val="00BF4405"/>
    <w:rsid w:val="00BF4D75"/>
    <w:rsid w:val="00BF5846"/>
    <w:rsid w:val="00BF60AF"/>
    <w:rsid w:val="00C00301"/>
    <w:rsid w:val="00C019EF"/>
    <w:rsid w:val="00C03371"/>
    <w:rsid w:val="00C12732"/>
    <w:rsid w:val="00C1293F"/>
    <w:rsid w:val="00C13BF4"/>
    <w:rsid w:val="00C1435B"/>
    <w:rsid w:val="00C17AE1"/>
    <w:rsid w:val="00C20C0A"/>
    <w:rsid w:val="00C22C69"/>
    <w:rsid w:val="00C23648"/>
    <w:rsid w:val="00C26D06"/>
    <w:rsid w:val="00C2768C"/>
    <w:rsid w:val="00C30DF2"/>
    <w:rsid w:val="00C31822"/>
    <w:rsid w:val="00C33190"/>
    <w:rsid w:val="00C346AD"/>
    <w:rsid w:val="00C34DCB"/>
    <w:rsid w:val="00C41021"/>
    <w:rsid w:val="00C41096"/>
    <w:rsid w:val="00C4419D"/>
    <w:rsid w:val="00C45B6A"/>
    <w:rsid w:val="00C467A6"/>
    <w:rsid w:val="00C50E24"/>
    <w:rsid w:val="00C54238"/>
    <w:rsid w:val="00C5461F"/>
    <w:rsid w:val="00C549AE"/>
    <w:rsid w:val="00C55320"/>
    <w:rsid w:val="00C5554D"/>
    <w:rsid w:val="00C55C71"/>
    <w:rsid w:val="00C55CA7"/>
    <w:rsid w:val="00C55F3B"/>
    <w:rsid w:val="00C57675"/>
    <w:rsid w:val="00C61332"/>
    <w:rsid w:val="00C654DF"/>
    <w:rsid w:val="00C65FCB"/>
    <w:rsid w:val="00C67067"/>
    <w:rsid w:val="00C67129"/>
    <w:rsid w:val="00C716EA"/>
    <w:rsid w:val="00C71F66"/>
    <w:rsid w:val="00C75E5C"/>
    <w:rsid w:val="00C773F0"/>
    <w:rsid w:val="00C813A9"/>
    <w:rsid w:val="00C81520"/>
    <w:rsid w:val="00C83027"/>
    <w:rsid w:val="00C83853"/>
    <w:rsid w:val="00C84521"/>
    <w:rsid w:val="00C852F4"/>
    <w:rsid w:val="00C87098"/>
    <w:rsid w:val="00C9029B"/>
    <w:rsid w:val="00C936E3"/>
    <w:rsid w:val="00C94FC6"/>
    <w:rsid w:val="00C97BB5"/>
    <w:rsid w:val="00CA0C5C"/>
    <w:rsid w:val="00CA0EBD"/>
    <w:rsid w:val="00CA17A8"/>
    <w:rsid w:val="00CA4E95"/>
    <w:rsid w:val="00CA5198"/>
    <w:rsid w:val="00CA5867"/>
    <w:rsid w:val="00CA5F9E"/>
    <w:rsid w:val="00CA676D"/>
    <w:rsid w:val="00CA7526"/>
    <w:rsid w:val="00CB0A4A"/>
    <w:rsid w:val="00CB347A"/>
    <w:rsid w:val="00CB3831"/>
    <w:rsid w:val="00CB79B3"/>
    <w:rsid w:val="00CC09BD"/>
    <w:rsid w:val="00CC0A25"/>
    <w:rsid w:val="00CC1872"/>
    <w:rsid w:val="00CC1AC4"/>
    <w:rsid w:val="00CC21C5"/>
    <w:rsid w:val="00CC278F"/>
    <w:rsid w:val="00CC4386"/>
    <w:rsid w:val="00CC4746"/>
    <w:rsid w:val="00CC4A4E"/>
    <w:rsid w:val="00CC5CA1"/>
    <w:rsid w:val="00CC687A"/>
    <w:rsid w:val="00CC6C8C"/>
    <w:rsid w:val="00CD0C19"/>
    <w:rsid w:val="00CD18F7"/>
    <w:rsid w:val="00CD2B44"/>
    <w:rsid w:val="00CD4B54"/>
    <w:rsid w:val="00CD5311"/>
    <w:rsid w:val="00CD57A3"/>
    <w:rsid w:val="00CD5E85"/>
    <w:rsid w:val="00CD5F2F"/>
    <w:rsid w:val="00CD6F2A"/>
    <w:rsid w:val="00CE442F"/>
    <w:rsid w:val="00CE44C1"/>
    <w:rsid w:val="00CE5B78"/>
    <w:rsid w:val="00CE713A"/>
    <w:rsid w:val="00CF2F28"/>
    <w:rsid w:val="00CF3D37"/>
    <w:rsid w:val="00CF47F4"/>
    <w:rsid w:val="00CF6634"/>
    <w:rsid w:val="00D02416"/>
    <w:rsid w:val="00D02A01"/>
    <w:rsid w:val="00D031DF"/>
    <w:rsid w:val="00D055FC"/>
    <w:rsid w:val="00D075D5"/>
    <w:rsid w:val="00D07C2A"/>
    <w:rsid w:val="00D1049F"/>
    <w:rsid w:val="00D12150"/>
    <w:rsid w:val="00D167F7"/>
    <w:rsid w:val="00D16C0D"/>
    <w:rsid w:val="00D17586"/>
    <w:rsid w:val="00D207B3"/>
    <w:rsid w:val="00D2092F"/>
    <w:rsid w:val="00D209D0"/>
    <w:rsid w:val="00D2212F"/>
    <w:rsid w:val="00D24230"/>
    <w:rsid w:val="00D2688B"/>
    <w:rsid w:val="00D306AB"/>
    <w:rsid w:val="00D319CA"/>
    <w:rsid w:val="00D32A44"/>
    <w:rsid w:val="00D32E0C"/>
    <w:rsid w:val="00D331EF"/>
    <w:rsid w:val="00D3463A"/>
    <w:rsid w:val="00D34879"/>
    <w:rsid w:val="00D3592F"/>
    <w:rsid w:val="00D36441"/>
    <w:rsid w:val="00D36BDF"/>
    <w:rsid w:val="00D43EA3"/>
    <w:rsid w:val="00D4440F"/>
    <w:rsid w:val="00D45D11"/>
    <w:rsid w:val="00D46E31"/>
    <w:rsid w:val="00D524F3"/>
    <w:rsid w:val="00D53237"/>
    <w:rsid w:val="00D53443"/>
    <w:rsid w:val="00D53D2A"/>
    <w:rsid w:val="00D54530"/>
    <w:rsid w:val="00D54AFE"/>
    <w:rsid w:val="00D55C22"/>
    <w:rsid w:val="00D5626F"/>
    <w:rsid w:val="00D56847"/>
    <w:rsid w:val="00D6198B"/>
    <w:rsid w:val="00D6414B"/>
    <w:rsid w:val="00D64185"/>
    <w:rsid w:val="00D64233"/>
    <w:rsid w:val="00D65EC2"/>
    <w:rsid w:val="00D661B6"/>
    <w:rsid w:val="00D67309"/>
    <w:rsid w:val="00D70326"/>
    <w:rsid w:val="00D737D1"/>
    <w:rsid w:val="00D75481"/>
    <w:rsid w:val="00D758EC"/>
    <w:rsid w:val="00D80316"/>
    <w:rsid w:val="00D82D41"/>
    <w:rsid w:val="00D84910"/>
    <w:rsid w:val="00D850CF"/>
    <w:rsid w:val="00D86785"/>
    <w:rsid w:val="00D9042F"/>
    <w:rsid w:val="00D90887"/>
    <w:rsid w:val="00D910CE"/>
    <w:rsid w:val="00D92435"/>
    <w:rsid w:val="00D92DAE"/>
    <w:rsid w:val="00D9396D"/>
    <w:rsid w:val="00D93E31"/>
    <w:rsid w:val="00D95602"/>
    <w:rsid w:val="00D9586C"/>
    <w:rsid w:val="00D96138"/>
    <w:rsid w:val="00D96B53"/>
    <w:rsid w:val="00DA10E0"/>
    <w:rsid w:val="00DA18D6"/>
    <w:rsid w:val="00DA23C0"/>
    <w:rsid w:val="00DA3E19"/>
    <w:rsid w:val="00DA41FF"/>
    <w:rsid w:val="00DA6956"/>
    <w:rsid w:val="00DA7A7D"/>
    <w:rsid w:val="00DB067A"/>
    <w:rsid w:val="00DB1482"/>
    <w:rsid w:val="00DB27F4"/>
    <w:rsid w:val="00DB2D5D"/>
    <w:rsid w:val="00DB3233"/>
    <w:rsid w:val="00DB32BE"/>
    <w:rsid w:val="00DB44D3"/>
    <w:rsid w:val="00DB65AB"/>
    <w:rsid w:val="00DB6CAB"/>
    <w:rsid w:val="00DB79AD"/>
    <w:rsid w:val="00DC164B"/>
    <w:rsid w:val="00DC1ADD"/>
    <w:rsid w:val="00DC1B3F"/>
    <w:rsid w:val="00DC4F71"/>
    <w:rsid w:val="00DC5F56"/>
    <w:rsid w:val="00DC61F3"/>
    <w:rsid w:val="00DC6930"/>
    <w:rsid w:val="00DC6B74"/>
    <w:rsid w:val="00DC7F53"/>
    <w:rsid w:val="00DD0484"/>
    <w:rsid w:val="00DD1C4C"/>
    <w:rsid w:val="00DD2EA6"/>
    <w:rsid w:val="00DE2A1D"/>
    <w:rsid w:val="00DE66F8"/>
    <w:rsid w:val="00DF2E3D"/>
    <w:rsid w:val="00DF6006"/>
    <w:rsid w:val="00DF60F3"/>
    <w:rsid w:val="00DF646A"/>
    <w:rsid w:val="00DF6CA7"/>
    <w:rsid w:val="00E01029"/>
    <w:rsid w:val="00E03343"/>
    <w:rsid w:val="00E0475A"/>
    <w:rsid w:val="00E06B17"/>
    <w:rsid w:val="00E06D2D"/>
    <w:rsid w:val="00E07758"/>
    <w:rsid w:val="00E07DC5"/>
    <w:rsid w:val="00E10C9B"/>
    <w:rsid w:val="00E11B82"/>
    <w:rsid w:val="00E13744"/>
    <w:rsid w:val="00E1381A"/>
    <w:rsid w:val="00E13AF4"/>
    <w:rsid w:val="00E13B44"/>
    <w:rsid w:val="00E1477D"/>
    <w:rsid w:val="00E153BF"/>
    <w:rsid w:val="00E15842"/>
    <w:rsid w:val="00E15EB2"/>
    <w:rsid w:val="00E16E3A"/>
    <w:rsid w:val="00E218D6"/>
    <w:rsid w:val="00E245D8"/>
    <w:rsid w:val="00E24CA6"/>
    <w:rsid w:val="00E251DB"/>
    <w:rsid w:val="00E308D1"/>
    <w:rsid w:val="00E32D37"/>
    <w:rsid w:val="00E3301E"/>
    <w:rsid w:val="00E34060"/>
    <w:rsid w:val="00E3447C"/>
    <w:rsid w:val="00E359EF"/>
    <w:rsid w:val="00E4152F"/>
    <w:rsid w:val="00E43CC5"/>
    <w:rsid w:val="00E45E5E"/>
    <w:rsid w:val="00E471A7"/>
    <w:rsid w:val="00E47D21"/>
    <w:rsid w:val="00E5118D"/>
    <w:rsid w:val="00E53322"/>
    <w:rsid w:val="00E54C99"/>
    <w:rsid w:val="00E54CB2"/>
    <w:rsid w:val="00E5718D"/>
    <w:rsid w:val="00E61BCA"/>
    <w:rsid w:val="00E6271D"/>
    <w:rsid w:val="00E6487A"/>
    <w:rsid w:val="00E64C1A"/>
    <w:rsid w:val="00E6652A"/>
    <w:rsid w:val="00E72552"/>
    <w:rsid w:val="00E73950"/>
    <w:rsid w:val="00E74068"/>
    <w:rsid w:val="00E75A4D"/>
    <w:rsid w:val="00E76D59"/>
    <w:rsid w:val="00E77417"/>
    <w:rsid w:val="00E7755E"/>
    <w:rsid w:val="00E77ED6"/>
    <w:rsid w:val="00E8154B"/>
    <w:rsid w:val="00E8180F"/>
    <w:rsid w:val="00E852D8"/>
    <w:rsid w:val="00E853FE"/>
    <w:rsid w:val="00E86AA1"/>
    <w:rsid w:val="00E878E1"/>
    <w:rsid w:val="00E90C61"/>
    <w:rsid w:val="00E9100D"/>
    <w:rsid w:val="00E91B27"/>
    <w:rsid w:val="00E922E1"/>
    <w:rsid w:val="00E9352A"/>
    <w:rsid w:val="00E96100"/>
    <w:rsid w:val="00EA0280"/>
    <w:rsid w:val="00EA1FF8"/>
    <w:rsid w:val="00EA2D85"/>
    <w:rsid w:val="00EA65C5"/>
    <w:rsid w:val="00EA7439"/>
    <w:rsid w:val="00EA7A54"/>
    <w:rsid w:val="00EB048E"/>
    <w:rsid w:val="00EB1FB2"/>
    <w:rsid w:val="00EB2579"/>
    <w:rsid w:val="00EB305C"/>
    <w:rsid w:val="00EB3878"/>
    <w:rsid w:val="00EB44A8"/>
    <w:rsid w:val="00EB57B0"/>
    <w:rsid w:val="00EB5853"/>
    <w:rsid w:val="00EB7070"/>
    <w:rsid w:val="00EC13DD"/>
    <w:rsid w:val="00EC198C"/>
    <w:rsid w:val="00EC24CF"/>
    <w:rsid w:val="00ED1EFA"/>
    <w:rsid w:val="00ED1F20"/>
    <w:rsid w:val="00ED2752"/>
    <w:rsid w:val="00ED31F5"/>
    <w:rsid w:val="00ED388E"/>
    <w:rsid w:val="00ED38A3"/>
    <w:rsid w:val="00ED446D"/>
    <w:rsid w:val="00ED4BE5"/>
    <w:rsid w:val="00ED770C"/>
    <w:rsid w:val="00ED7809"/>
    <w:rsid w:val="00EE0478"/>
    <w:rsid w:val="00EE4307"/>
    <w:rsid w:val="00EE4CF0"/>
    <w:rsid w:val="00EE4F62"/>
    <w:rsid w:val="00EE676E"/>
    <w:rsid w:val="00EE6998"/>
    <w:rsid w:val="00EE7232"/>
    <w:rsid w:val="00EF3CFE"/>
    <w:rsid w:val="00EF5BC3"/>
    <w:rsid w:val="00EF5CBB"/>
    <w:rsid w:val="00EF5CFD"/>
    <w:rsid w:val="00EF71B5"/>
    <w:rsid w:val="00EF7A6F"/>
    <w:rsid w:val="00F010B7"/>
    <w:rsid w:val="00F0489D"/>
    <w:rsid w:val="00F0494B"/>
    <w:rsid w:val="00F05792"/>
    <w:rsid w:val="00F0661B"/>
    <w:rsid w:val="00F07808"/>
    <w:rsid w:val="00F118BE"/>
    <w:rsid w:val="00F1234D"/>
    <w:rsid w:val="00F12419"/>
    <w:rsid w:val="00F12FFB"/>
    <w:rsid w:val="00F160C7"/>
    <w:rsid w:val="00F17518"/>
    <w:rsid w:val="00F21A7D"/>
    <w:rsid w:val="00F21E66"/>
    <w:rsid w:val="00F22C45"/>
    <w:rsid w:val="00F24E89"/>
    <w:rsid w:val="00F254FF"/>
    <w:rsid w:val="00F26F7B"/>
    <w:rsid w:val="00F32D4D"/>
    <w:rsid w:val="00F340E7"/>
    <w:rsid w:val="00F34382"/>
    <w:rsid w:val="00F34880"/>
    <w:rsid w:val="00F37B8E"/>
    <w:rsid w:val="00F424D2"/>
    <w:rsid w:val="00F42AC0"/>
    <w:rsid w:val="00F430B0"/>
    <w:rsid w:val="00F45108"/>
    <w:rsid w:val="00F45B7C"/>
    <w:rsid w:val="00F46EFD"/>
    <w:rsid w:val="00F47095"/>
    <w:rsid w:val="00F47DF8"/>
    <w:rsid w:val="00F52ECC"/>
    <w:rsid w:val="00F53150"/>
    <w:rsid w:val="00F54FCC"/>
    <w:rsid w:val="00F56F3E"/>
    <w:rsid w:val="00F57619"/>
    <w:rsid w:val="00F57E51"/>
    <w:rsid w:val="00F57F29"/>
    <w:rsid w:val="00F617E2"/>
    <w:rsid w:val="00F63040"/>
    <w:rsid w:val="00F63144"/>
    <w:rsid w:val="00F631CD"/>
    <w:rsid w:val="00F64265"/>
    <w:rsid w:val="00F65138"/>
    <w:rsid w:val="00F66378"/>
    <w:rsid w:val="00F669A1"/>
    <w:rsid w:val="00F7126B"/>
    <w:rsid w:val="00F729F3"/>
    <w:rsid w:val="00F738E3"/>
    <w:rsid w:val="00F7536D"/>
    <w:rsid w:val="00F75E76"/>
    <w:rsid w:val="00F77468"/>
    <w:rsid w:val="00F80CBE"/>
    <w:rsid w:val="00F82D2C"/>
    <w:rsid w:val="00F8575F"/>
    <w:rsid w:val="00F85A65"/>
    <w:rsid w:val="00F8632C"/>
    <w:rsid w:val="00F87B67"/>
    <w:rsid w:val="00F87E79"/>
    <w:rsid w:val="00F90655"/>
    <w:rsid w:val="00F91FB1"/>
    <w:rsid w:val="00F9266D"/>
    <w:rsid w:val="00F9371B"/>
    <w:rsid w:val="00F93DC3"/>
    <w:rsid w:val="00F955CD"/>
    <w:rsid w:val="00F96A47"/>
    <w:rsid w:val="00F97F45"/>
    <w:rsid w:val="00FA07C2"/>
    <w:rsid w:val="00FA299A"/>
    <w:rsid w:val="00FA2C34"/>
    <w:rsid w:val="00FA2F3B"/>
    <w:rsid w:val="00FA42B3"/>
    <w:rsid w:val="00FA49E0"/>
    <w:rsid w:val="00FA5A42"/>
    <w:rsid w:val="00FA6EFF"/>
    <w:rsid w:val="00FA7278"/>
    <w:rsid w:val="00FB000A"/>
    <w:rsid w:val="00FB0BF0"/>
    <w:rsid w:val="00FB2C60"/>
    <w:rsid w:val="00FB2C93"/>
    <w:rsid w:val="00FB58A0"/>
    <w:rsid w:val="00FB5C8B"/>
    <w:rsid w:val="00FB7C52"/>
    <w:rsid w:val="00FC0501"/>
    <w:rsid w:val="00FC0784"/>
    <w:rsid w:val="00FC0FB2"/>
    <w:rsid w:val="00FC2B0F"/>
    <w:rsid w:val="00FC4121"/>
    <w:rsid w:val="00FC563F"/>
    <w:rsid w:val="00FC5B60"/>
    <w:rsid w:val="00FC6253"/>
    <w:rsid w:val="00FC6F5B"/>
    <w:rsid w:val="00FC7C9E"/>
    <w:rsid w:val="00FD29F8"/>
    <w:rsid w:val="00FD6062"/>
    <w:rsid w:val="00FD653B"/>
    <w:rsid w:val="00FE0638"/>
    <w:rsid w:val="00FE29D5"/>
    <w:rsid w:val="00FE3372"/>
    <w:rsid w:val="00FE3F5E"/>
    <w:rsid w:val="00FE5E5C"/>
    <w:rsid w:val="00FE77FB"/>
    <w:rsid w:val="00FF0667"/>
    <w:rsid w:val="00FF0BBC"/>
    <w:rsid w:val="00FF1BD5"/>
    <w:rsid w:val="00FF5760"/>
    <w:rsid w:val="00FF62DA"/>
    <w:rsid w:val="00FF79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173B9"/>
    <w:pPr>
      <w:widowControl w:val="0"/>
      <w:snapToGrid w:val="0"/>
    </w:pPr>
    <w:rPr>
      <w:rFonts w:eastAsia="標楷體"/>
      <w:kern w:val="2"/>
      <w:sz w:val="24"/>
    </w:rPr>
  </w:style>
  <w:style w:type="paragraph" w:styleId="1">
    <w:name w:val="heading 1"/>
    <w:basedOn w:val="a1"/>
    <w:next w:val="a1"/>
    <w:link w:val="10"/>
    <w:uiPriority w:val="9"/>
    <w:qFormat/>
    <w:rsid w:val="00912880"/>
    <w:pPr>
      <w:keepNext/>
      <w:spacing w:before="180" w:after="180" w:line="720" w:lineRule="atLeast"/>
      <w:outlineLvl w:val="0"/>
    </w:pPr>
    <w:rPr>
      <w:rFonts w:eastAsia="新細明體" w:cstheme="majorBidi"/>
      <w:b/>
      <w:bCs/>
      <w:kern w:val="52"/>
      <w:sz w:val="40"/>
      <w:szCs w:val="52"/>
      <w:lang w:eastAsia="zh-HK"/>
    </w:rPr>
  </w:style>
  <w:style w:type="paragraph" w:styleId="2">
    <w:name w:val="heading 2"/>
    <w:basedOn w:val="a1"/>
    <w:next w:val="a2"/>
    <w:qFormat/>
    <w:rsid w:val="00734895"/>
    <w:pPr>
      <w:keepNext/>
      <w:spacing w:beforeLines="50" w:before="270" w:afterLines="50" w:after="270" w:line="500" w:lineRule="exact"/>
      <w:ind w:left="1027" w:hanging="885"/>
      <w:outlineLvl w:val="1"/>
    </w:pPr>
    <w:rPr>
      <w:rFonts w:ascii="Arial" w:eastAsia="新細明體" w:hAnsi="Arial"/>
      <w:b/>
      <w:sz w:val="36"/>
      <w:lang w:eastAsia="zh-HK"/>
    </w:rPr>
  </w:style>
  <w:style w:type="paragraph" w:styleId="3">
    <w:name w:val="heading 3"/>
    <w:aliases w:val="章標題,(一)"/>
    <w:basedOn w:val="a1"/>
    <w:next w:val="a2"/>
    <w:link w:val="30"/>
    <w:qFormat/>
    <w:rsid w:val="00C654DF"/>
    <w:pPr>
      <w:keepNext/>
      <w:spacing w:afterLines="50" w:after="270"/>
      <w:outlineLvl w:val="2"/>
    </w:pPr>
    <w:rPr>
      <w:rFonts w:ascii="Arial" w:eastAsia="新細明體" w:hAnsi="Arial"/>
      <w:b/>
      <w:color w:val="000000" w:themeColor="text1"/>
      <w:sz w:val="36"/>
    </w:rPr>
  </w:style>
  <w:style w:type="paragraph" w:styleId="4">
    <w:name w:val="heading 4"/>
    <w:basedOn w:val="a1"/>
    <w:next w:val="a2"/>
    <w:qFormat/>
    <w:rsid w:val="00BA79A5"/>
    <w:pPr>
      <w:keepNext/>
      <w:spacing w:beforeLines="50" w:before="270" w:afterLines="50" w:after="270" w:line="500" w:lineRule="exact"/>
      <w:outlineLvl w:val="3"/>
    </w:pPr>
    <w:rPr>
      <w:rFonts w:ascii="Arial" w:eastAsia="新細明體" w:hAnsi="Arial"/>
      <w:b/>
      <w:sz w:val="36"/>
    </w:rPr>
  </w:style>
  <w:style w:type="paragraph" w:styleId="5">
    <w:name w:val="heading 5"/>
    <w:basedOn w:val="a1"/>
    <w:next w:val="a2"/>
    <w:link w:val="50"/>
    <w:qFormat/>
    <w:rsid w:val="00B81B4B"/>
    <w:pPr>
      <w:keepNext/>
      <w:numPr>
        <w:ilvl w:val="4"/>
        <w:numId w:val="1"/>
      </w:numPr>
      <w:spacing w:beforeLines="50" w:before="180" w:afterLines="50" w:after="180" w:line="500" w:lineRule="exact"/>
      <w:outlineLvl w:val="4"/>
    </w:pPr>
    <w:rPr>
      <w:rFonts w:ascii="Arial" w:eastAsia="新細明體" w:hAnsi="Arial"/>
      <w:b/>
      <w:sz w:val="32"/>
    </w:rPr>
  </w:style>
  <w:style w:type="paragraph" w:styleId="6">
    <w:name w:val="heading 6"/>
    <w:basedOn w:val="a1"/>
    <w:next w:val="a2"/>
    <w:link w:val="60"/>
    <w:qFormat/>
    <w:rsid w:val="006173B9"/>
    <w:pPr>
      <w:keepNext/>
      <w:numPr>
        <w:ilvl w:val="5"/>
        <w:numId w:val="1"/>
      </w:numPr>
      <w:spacing w:line="720" w:lineRule="auto"/>
      <w:outlineLvl w:val="5"/>
    </w:pPr>
    <w:rPr>
      <w:rFonts w:ascii="Arial" w:eastAsia="新細明體" w:hAnsi="Arial"/>
      <w:sz w:val="36"/>
    </w:rPr>
  </w:style>
  <w:style w:type="paragraph" w:styleId="7">
    <w:name w:val="heading 7"/>
    <w:basedOn w:val="a1"/>
    <w:next w:val="a2"/>
    <w:qFormat/>
    <w:rsid w:val="006173B9"/>
    <w:pPr>
      <w:keepNext/>
      <w:numPr>
        <w:ilvl w:val="6"/>
        <w:numId w:val="1"/>
      </w:numPr>
      <w:spacing w:line="720" w:lineRule="auto"/>
      <w:outlineLvl w:val="6"/>
    </w:pPr>
    <w:rPr>
      <w:rFonts w:ascii="Arial" w:eastAsia="新細明體" w:hAnsi="Arial"/>
      <w:b/>
      <w:sz w:val="36"/>
    </w:rPr>
  </w:style>
  <w:style w:type="paragraph" w:styleId="8">
    <w:name w:val="heading 8"/>
    <w:basedOn w:val="a1"/>
    <w:next w:val="a2"/>
    <w:qFormat/>
    <w:rsid w:val="006173B9"/>
    <w:pPr>
      <w:keepNext/>
      <w:numPr>
        <w:ilvl w:val="7"/>
        <w:numId w:val="1"/>
      </w:numPr>
      <w:spacing w:line="720" w:lineRule="auto"/>
      <w:outlineLvl w:val="7"/>
    </w:pPr>
    <w:rPr>
      <w:rFonts w:ascii="Arial" w:eastAsia="新細明體" w:hAnsi="Arial"/>
      <w:sz w:val="36"/>
    </w:rPr>
  </w:style>
  <w:style w:type="paragraph" w:styleId="9">
    <w:name w:val="heading 9"/>
    <w:basedOn w:val="a1"/>
    <w:next w:val="a2"/>
    <w:qFormat/>
    <w:rsid w:val="006173B9"/>
    <w:pPr>
      <w:keepNext/>
      <w:numPr>
        <w:ilvl w:val="8"/>
        <w:numId w:val="1"/>
      </w:numPr>
      <w:spacing w:line="720" w:lineRule="auto"/>
      <w:outlineLvl w:val="8"/>
    </w:pPr>
    <w:rPr>
      <w:rFonts w:ascii="Arial" w:eastAsia="新細明體" w:hAnsi="Arial"/>
      <w:sz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rsid w:val="00912880"/>
    <w:rPr>
      <w:rFonts w:cstheme="majorBidi"/>
      <w:b/>
      <w:bCs/>
      <w:kern w:val="52"/>
      <w:sz w:val="40"/>
      <w:szCs w:val="52"/>
      <w:lang w:eastAsia="zh-HK"/>
    </w:rPr>
  </w:style>
  <w:style w:type="paragraph" w:styleId="a2">
    <w:name w:val="Normal Indent"/>
    <w:basedOn w:val="a1"/>
    <w:semiHidden/>
    <w:rsid w:val="006173B9"/>
    <w:pPr>
      <w:ind w:left="480"/>
    </w:pPr>
  </w:style>
  <w:style w:type="character" w:customStyle="1" w:styleId="30">
    <w:name w:val="標題 3 字元"/>
    <w:aliases w:val="章標題 字元,(一) 字元"/>
    <w:basedOn w:val="a3"/>
    <w:link w:val="3"/>
    <w:rsid w:val="00C654DF"/>
    <w:rPr>
      <w:rFonts w:ascii="Arial" w:hAnsi="Arial"/>
      <w:b/>
      <w:color w:val="000000" w:themeColor="text1"/>
      <w:kern w:val="2"/>
      <w:sz w:val="36"/>
    </w:rPr>
  </w:style>
  <w:style w:type="character" w:customStyle="1" w:styleId="50">
    <w:name w:val="標題 5 字元"/>
    <w:basedOn w:val="a3"/>
    <w:link w:val="5"/>
    <w:rsid w:val="00B81B4B"/>
    <w:rPr>
      <w:rFonts w:ascii="Arial" w:hAnsi="Arial"/>
      <w:b/>
      <w:kern w:val="2"/>
      <w:sz w:val="32"/>
    </w:rPr>
  </w:style>
  <w:style w:type="character" w:customStyle="1" w:styleId="60">
    <w:name w:val="標題 6 字元"/>
    <w:basedOn w:val="a3"/>
    <w:link w:val="6"/>
    <w:rsid w:val="00912880"/>
    <w:rPr>
      <w:rFonts w:ascii="Arial" w:hAnsi="Arial"/>
      <w:kern w:val="2"/>
      <w:sz w:val="36"/>
    </w:rPr>
  </w:style>
  <w:style w:type="paragraph" w:customStyle="1" w:styleId="a6">
    <w:name w:val="聯絡方式"/>
    <w:basedOn w:val="a1"/>
    <w:rsid w:val="006173B9"/>
    <w:pPr>
      <w:spacing w:line="260" w:lineRule="exact"/>
      <w:ind w:left="500" w:hanging="500"/>
    </w:pPr>
    <w:rPr>
      <w:snapToGrid w:val="0"/>
      <w:kern w:val="0"/>
    </w:rPr>
  </w:style>
  <w:style w:type="paragraph" w:customStyle="1" w:styleId="a7">
    <w:name w:val="行文機關"/>
    <w:basedOn w:val="a1"/>
    <w:rsid w:val="006173B9"/>
  </w:style>
  <w:style w:type="paragraph" w:customStyle="1" w:styleId="a8">
    <w:name w:val="機關名稱"/>
    <w:basedOn w:val="a1"/>
    <w:rsid w:val="006173B9"/>
    <w:pPr>
      <w:spacing w:after="160" w:line="560" w:lineRule="exact"/>
    </w:pPr>
    <w:rPr>
      <w:sz w:val="40"/>
    </w:rPr>
  </w:style>
  <w:style w:type="paragraph" w:customStyle="1" w:styleId="a9">
    <w:name w:val="機關名稱隔欄"/>
    <w:basedOn w:val="a1"/>
    <w:rsid w:val="006173B9"/>
    <w:pPr>
      <w:spacing w:after="160"/>
    </w:pPr>
    <w:rPr>
      <w:sz w:val="44"/>
    </w:rPr>
  </w:style>
  <w:style w:type="paragraph" w:customStyle="1" w:styleId="aa">
    <w:name w:val="受文者"/>
    <w:basedOn w:val="a1"/>
    <w:rsid w:val="006173B9"/>
    <w:pPr>
      <w:snapToGrid/>
      <w:spacing w:after="200"/>
      <w:ind w:left="1276" w:hanging="1276"/>
    </w:pPr>
    <w:rPr>
      <w:sz w:val="32"/>
    </w:rPr>
  </w:style>
  <w:style w:type="paragraph" w:customStyle="1" w:styleId="ab">
    <w:name w:val="發文日期"/>
    <w:basedOn w:val="a1"/>
    <w:rsid w:val="006173B9"/>
    <w:pPr>
      <w:spacing w:line="280" w:lineRule="exact"/>
    </w:pPr>
  </w:style>
  <w:style w:type="paragraph" w:customStyle="1" w:styleId="ac">
    <w:name w:val="發文字號"/>
    <w:basedOn w:val="a1"/>
    <w:rsid w:val="006173B9"/>
    <w:pPr>
      <w:spacing w:line="280" w:lineRule="exact"/>
    </w:pPr>
  </w:style>
  <w:style w:type="paragraph" w:customStyle="1" w:styleId="ad">
    <w:name w:val="速別"/>
    <w:basedOn w:val="a1"/>
    <w:rsid w:val="006173B9"/>
    <w:pPr>
      <w:spacing w:line="280" w:lineRule="exact"/>
    </w:pPr>
  </w:style>
  <w:style w:type="paragraph" w:customStyle="1" w:styleId="ae">
    <w:name w:val="密等"/>
    <w:basedOn w:val="a1"/>
    <w:rsid w:val="006173B9"/>
    <w:pPr>
      <w:spacing w:line="280" w:lineRule="atLeast"/>
    </w:pPr>
  </w:style>
  <w:style w:type="paragraph" w:customStyle="1" w:styleId="af">
    <w:name w:val="附件"/>
    <w:basedOn w:val="a1"/>
    <w:rsid w:val="006173B9"/>
    <w:pPr>
      <w:spacing w:line="280" w:lineRule="exact"/>
      <w:ind w:left="680" w:hanging="680"/>
    </w:pPr>
  </w:style>
  <w:style w:type="paragraph" w:customStyle="1" w:styleId="af0">
    <w:name w:val="主旨"/>
    <w:basedOn w:val="a1"/>
    <w:rsid w:val="006173B9"/>
    <w:pPr>
      <w:ind w:left="964" w:hanging="964"/>
    </w:pPr>
    <w:rPr>
      <w:sz w:val="32"/>
    </w:rPr>
  </w:style>
  <w:style w:type="paragraph" w:customStyle="1" w:styleId="af1">
    <w:name w:val="說明辦法首行"/>
    <w:basedOn w:val="a1"/>
    <w:rsid w:val="006173B9"/>
    <w:pPr>
      <w:spacing w:line="500" w:lineRule="exact"/>
      <w:ind w:left="964" w:hanging="964"/>
    </w:pPr>
    <w:rPr>
      <w:sz w:val="32"/>
    </w:rPr>
  </w:style>
  <w:style w:type="paragraph" w:customStyle="1" w:styleId="a0">
    <w:name w:val="分項段落"/>
    <w:basedOn w:val="a1"/>
    <w:rsid w:val="006173B9"/>
    <w:pPr>
      <w:widowControl/>
      <w:numPr>
        <w:numId w:val="2"/>
      </w:numPr>
      <w:textAlignment w:val="baseline"/>
    </w:pPr>
    <w:rPr>
      <w:noProof/>
      <w:kern w:val="0"/>
      <w:sz w:val="32"/>
    </w:rPr>
  </w:style>
  <w:style w:type="paragraph" w:customStyle="1" w:styleId="af2">
    <w:name w:val="正副本"/>
    <w:basedOn w:val="a1"/>
    <w:rsid w:val="006173B9"/>
    <w:pPr>
      <w:ind w:left="658" w:hanging="658"/>
    </w:pPr>
  </w:style>
  <w:style w:type="paragraph" w:customStyle="1" w:styleId="af3">
    <w:name w:val="首長"/>
    <w:basedOn w:val="a1"/>
    <w:rsid w:val="006173B9"/>
    <w:pPr>
      <w:spacing w:line="500" w:lineRule="exact"/>
    </w:pPr>
    <w:rPr>
      <w:sz w:val="32"/>
    </w:rPr>
  </w:style>
  <w:style w:type="paragraph" w:customStyle="1" w:styleId="af4">
    <w:name w:val="地址"/>
    <w:basedOn w:val="a1"/>
    <w:rsid w:val="006173B9"/>
    <w:pPr>
      <w:spacing w:line="240" w:lineRule="exact"/>
      <w:ind w:left="300" w:hanging="300"/>
    </w:pPr>
    <w:rPr>
      <w:snapToGrid w:val="0"/>
      <w:kern w:val="0"/>
    </w:rPr>
  </w:style>
  <w:style w:type="paragraph" w:styleId="af5">
    <w:name w:val="header"/>
    <w:basedOn w:val="a1"/>
    <w:link w:val="af6"/>
    <w:uiPriority w:val="99"/>
    <w:rsid w:val="006173B9"/>
    <w:pPr>
      <w:tabs>
        <w:tab w:val="center" w:pos="4153"/>
        <w:tab w:val="right" w:pos="8306"/>
      </w:tabs>
    </w:pPr>
    <w:rPr>
      <w:sz w:val="20"/>
    </w:rPr>
  </w:style>
  <w:style w:type="character" w:customStyle="1" w:styleId="af6">
    <w:name w:val="頁首 字元"/>
    <w:link w:val="af5"/>
    <w:uiPriority w:val="99"/>
    <w:rsid w:val="00435D8C"/>
    <w:rPr>
      <w:rFonts w:eastAsia="標楷體"/>
      <w:kern w:val="2"/>
    </w:rPr>
  </w:style>
  <w:style w:type="paragraph" w:styleId="af7">
    <w:name w:val="footer"/>
    <w:basedOn w:val="a1"/>
    <w:link w:val="af8"/>
    <w:uiPriority w:val="99"/>
    <w:rsid w:val="006173B9"/>
    <w:pPr>
      <w:tabs>
        <w:tab w:val="center" w:pos="4153"/>
        <w:tab w:val="right" w:pos="8306"/>
      </w:tabs>
    </w:pPr>
    <w:rPr>
      <w:sz w:val="20"/>
    </w:rPr>
  </w:style>
  <w:style w:type="character" w:customStyle="1" w:styleId="af8">
    <w:name w:val="頁尾 字元"/>
    <w:basedOn w:val="a3"/>
    <w:link w:val="af7"/>
    <w:uiPriority w:val="99"/>
    <w:rsid w:val="00544889"/>
    <w:rPr>
      <w:rFonts w:eastAsia="標楷體"/>
      <w:kern w:val="2"/>
    </w:rPr>
  </w:style>
  <w:style w:type="character" w:styleId="af9">
    <w:name w:val="page number"/>
    <w:basedOn w:val="a3"/>
    <w:semiHidden/>
    <w:rsid w:val="006173B9"/>
  </w:style>
  <w:style w:type="paragraph" w:customStyle="1" w:styleId="afa">
    <w:name w:val="出席者"/>
    <w:basedOn w:val="a1"/>
    <w:rsid w:val="006173B9"/>
    <w:pPr>
      <w:ind w:left="919" w:hanging="919"/>
    </w:pPr>
  </w:style>
  <w:style w:type="character" w:styleId="afb">
    <w:name w:val="annotation reference"/>
    <w:basedOn w:val="a3"/>
    <w:uiPriority w:val="99"/>
    <w:semiHidden/>
    <w:unhideWhenUsed/>
    <w:rsid w:val="00D910CE"/>
    <w:rPr>
      <w:sz w:val="18"/>
      <w:szCs w:val="18"/>
    </w:rPr>
  </w:style>
  <w:style w:type="paragraph" w:styleId="afc">
    <w:name w:val="annotation text"/>
    <w:basedOn w:val="a1"/>
    <w:link w:val="afd"/>
    <w:uiPriority w:val="99"/>
    <w:semiHidden/>
    <w:unhideWhenUsed/>
    <w:rsid w:val="00D910CE"/>
  </w:style>
  <w:style w:type="character" w:customStyle="1" w:styleId="afd">
    <w:name w:val="註解文字 字元"/>
    <w:basedOn w:val="a3"/>
    <w:link w:val="afc"/>
    <w:uiPriority w:val="99"/>
    <w:semiHidden/>
    <w:rsid w:val="00D910CE"/>
    <w:rPr>
      <w:rFonts w:eastAsia="標楷體"/>
      <w:kern w:val="2"/>
      <w:sz w:val="24"/>
    </w:rPr>
  </w:style>
  <w:style w:type="paragraph" w:styleId="afe">
    <w:name w:val="annotation subject"/>
    <w:basedOn w:val="afc"/>
    <w:next w:val="afc"/>
    <w:link w:val="aff"/>
    <w:uiPriority w:val="99"/>
    <w:semiHidden/>
    <w:unhideWhenUsed/>
    <w:rsid w:val="00D910CE"/>
    <w:rPr>
      <w:b/>
      <w:bCs/>
    </w:rPr>
  </w:style>
  <w:style w:type="character" w:customStyle="1" w:styleId="aff">
    <w:name w:val="註解主旨 字元"/>
    <w:basedOn w:val="afd"/>
    <w:link w:val="afe"/>
    <w:uiPriority w:val="99"/>
    <w:semiHidden/>
    <w:rsid w:val="00D910CE"/>
    <w:rPr>
      <w:rFonts w:eastAsia="標楷體"/>
      <w:b/>
      <w:bCs/>
      <w:kern w:val="2"/>
      <w:sz w:val="24"/>
    </w:rPr>
  </w:style>
  <w:style w:type="paragraph" w:styleId="aff0">
    <w:name w:val="Balloon Text"/>
    <w:basedOn w:val="a1"/>
    <w:link w:val="aff1"/>
    <w:uiPriority w:val="99"/>
    <w:semiHidden/>
    <w:unhideWhenUsed/>
    <w:rsid w:val="00D910CE"/>
    <w:rPr>
      <w:rFonts w:asciiTheme="majorHAnsi" w:eastAsiaTheme="majorEastAsia" w:hAnsiTheme="majorHAnsi" w:cstheme="majorBidi"/>
      <w:sz w:val="18"/>
      <w:szCs w:val="18"/>
    </w:rPr>
  </w:style>
  <w:style w:type="character" w:customStyle="1" w:styleId="aff1">
    <w:name w:val="註解方塊文字 字元"/>
    <w:basedOn w:val="a3"/>
    <w:link w:val="aff0"/>
    <w:uiPriority w:val="99"/>
    <w:semiHidden/>
    <w:rsid w:val="00D910CE"/>
    <w:rPr>
      <w:rFonts w:asciiTheme="majorHAnsi" w:eastAsiaTheme="majorEastAsia" w:hAnsiTheme="majorHAnsi" w:cstheme="majorBidi"/>
      <w:kern w:val="2"/>
      <w:sz w:val="18"/>
      <w:szCs w:val="18"/>
    </w:rPr>
  </w:style>
  <w:style w:type="character" w:styleId="aff2">
    <w:name w:val="footnote reference"/>
    <w:aliases w:val="4_G,FR"/>
    <w:basedOn w:val="a3"/>
    <w:uiPriority w:val="99"/>
    <w:unhideWhenUsed/>
    <w:rsid w:val="00C45B6A"/>
    <w:rPr>
      <w:vertAlign w:val="superscript"/>
    </w:rPr>
  </w:style>
  <w:style w:type="paragraph" w:customStyle="1" w:styleId="1---">
    <w:name w:val="1---段落"/>
    <w:basedOn w:val="a1"/>
    <w:link w:val="1---0"/>
    <w:qFormat/>
    <w:rsid w:val="00274413"/>
    <w:pPr>
      <w:kinsoku w:val="0"/>
      <w:overflowPunct w:val="0"/>
      <w:snapToGrid/>
      <w:spacing w:line="360" w:lineRule="exact"/>
      <w:ind w:firstLineChars="200" w:firstLine="200"/>
      <w:jc w:val="both"/>
    </w:pPr>
    <w:rPr>
      <w:rFonts w:eastAsia="新細明體"/>
      <w:szCs w:val="28"/>
      <w:lang w:val="x-none" w:eastAsia="zh-HK"/>
    </w:rPr>
  </w:style>
  <w:style w:type="character" w:customStyle="1" w:styleId="1---0">
    <w:name w:val="1---段落 字元"/>
    <w:basedOn w:val="a3"/>
    <w:link w:val="1---"/>
    <w:rsid w:val="00274413"/>
    <w:rPr>
      <w:kern w:val="2"/>
      <w:sz w:val="24"/>
      <w:szCs w:val="28"/>
      <w:lang w:val="x-none" w:eastAsia="zh-HK"/>
    </w:rPr>
  </w:style>
  <w:style w:type="paragraph" w:customStyle="1" w:styleId="2---">
    <w:name w:val="2---註解"/>
    <w:basedOn w:val="a0"/>
    <w:qFormat/>
    <w:rsid w:val="00E359EF"/>
    <w:pPr>
      <w:widowControl w:val="0"/>
      <w:numPr>
        <w:numId w:val="0"/>
      </w:numPr>
      <w:kinsoku w:val="0"/>
      <w:overflowPunct w:val="0"/>
      <w:ind w:left="71" w:hangingChars="71" w:hanging="71"/>
      <w:jc w:val="both"/>
      <w:textAlignment w:val="auto"/>
    </w:pPr>
    <w:rPr>
      <w:rFonts w:eastAsia="新細明體"/>
      <w:noProof w:val="0"/>
      <w:kern w:val="2"/>
      <w:sz w:val="19"/>
      <w:szCs w:val="18"/>
    </w:rPr>
  </w:style>
  <w:style w:type="paragraph" w:customStyle="1" w:styleId="20">
    <w:name w:val="樣式2"/>
    <w:basedOn w:val="a1"/>
    <w:next w:val="4"/>
    <w:link w:val="21"/>
    <w:autoRedefine/>
    <w:qFormat/>
    <w:rsid w:val="00EF3CFE"/>
    <w:pPr>
      <w:adjustRightInd w:val="0"/>
      <w:spacing w:beforeLines="50" w:before="270" w:afterLines="50" w:after="270" w:line="500" w:lineRule="exact"/>
      <w:ind w:left="849" w:hangingChars="303" w:hanging="849"/>
      <w:jc w:val="both"/>
    </w:pPr>
    <w:rPr>
      <w:rFonts w:eastAsia="新細明體" w:hAnsi="新細明體"/>
      <w:b/>
      <w:color w:val="000000" w:themeColor="text1"/>
      <w:sz w:val="28"/>
      <w:szCs w:val="28"/>
    </w:rPr>
  </w:style>
  <w:style w:type="character" w:customStyle="1" w:styleId="21">
    <w:name w:val="樣式2 字元"/>
    <w:basedOn w:val="a3"/>
    <w:link w:val="20"/>
    <w:rsid w:val="00EF3CFE"/>
    <w:rPr>
      <w:rFonts w:hAnsi="新細明體"/>
      <w:b/>
      <w:color w:val="000000" w:themeColor="text1"/>
      <w:kern w:val="2"/>
      <w:sz w:val="28"/>
      <w:szCs w:val="28"/>
    </w:rPr>
  </w:style>
  <w:style w:type="paragraph" w:customStyle="1" w:styleId="11">
    <w:name w:val="樣式1"/>
    <w:basedOn w:val="1---"/>
    <w:link w:val="12"/>
    <w:qFormat/>
    <w:rsid w:val="0093249C"/>
    <w:pPr>
      <w:overflowPunct/>
      <w:ind w:firstLineChars="0" w:firstLine="0"/>
    </w:pPr>
    <w:rPr>
      <w:b/>
      <w:i/>
      <w:color w:val="17365D"/>
    </w:rPr>
  </w:style>
  <w:style w:type="character" w:customStyle="1" w:styleId="12">
    <w:name w:val="樣式1 字元"/>
    <w:basedOn w:val="1---0"/>
    <w:link w:val="11"/>
    <w:rsid w:val="0093249C"/>
    <w:rPr>
      <w:rFonts w:ascii="新細明體" w:hAnsi="新細明體"/>
      <w:b/>
      <w:i/>
      <w:color w:val="17365D"/>
      <w:kern w:val="2"/>
      <w:sz w:val="28"/>
      <w:szCs w:val="28"/>
      <w:lang w:val="x-none" w:eastAsia="zh-HK"/>
    </w:rPr>
  </w:style>
  <w:style w:type="paragraph" w:styleId="aff3">
    <w:name w:val="footnote text"/>
    <w:basedOn w:val="a1"/>
    <w:link w:val="aff4"/>
    <w:uiPriority w:val="99"/>
    <w:semiHidden/>
    <w:unhideWhenUsed/>
    <w:rsid w:val="00C45B6A"/>
    <w:rPr>
      <w:sz w:val="20"/>
    </w:rPr>
  </w:style>
  <w:style w:type="character" w:customStyle="1" w:styleId="aff4">
    <w:name w:val="註腳文字 字元"/>
    <w:basedOn w:val="a3"/>
    <w:link w:val="aff3"/>
    <w:uiPriority w:val="99"/>
    <w:semiHidden/>
    <w:rsid w:val="00C45B6A"/>
    <w:rPr>
      <w:rFonts w:eastAsia="標楷體"/>
      <w:kern w:val="2"/>
    </w:rPr>
  </w:style>
  <w:style w:type="paragraph" w:customStyle="1" w:styleId="40">
    <w:name w:val="樣式4"/>
    <w:basedOn w:val="11"/>
    <w:link w:val="41"/>
    <w:qFormat/>
    <w:rsid w:val="00E15842"/>
    <w:pPr>
      <w:spacing w:before="240" w:line="240" w:lineRule="auto"/>
      <w:ind w:left="426" w:hangingChars="152" w:hanging="426"/>
    </w:pPr>
    <w:rPr>
      <w:b w:val="0"/>
    </w:rPr>
  </w:style>
  <w:style w:type="character" w:customStyle="1" w:styleId="41">
    <w:name w:val="樣式4 字元"/>
    <w:link w:val="40"/>
    <w:rsid w:val="00E15842"/>
    <w:rPr>
      <w:rFonts w:hAnsi="新細明體"/>
      <w:b/>
      <w:i/>
      <w:color w:val="C00000"/>
      <w:kern w:val="2"/>
      <w:sz w:val="28"/>
      <w:szCs w:val="28"/>
      <w:lang w:eastAsia="zh-HK"/>
    </w:rPr>
  </w:style>
  <w:style w:type="paragraph" w:customStyle="1" w:styleId="0">
    <w:name w:val="段落樣式0"/>
    <w:basedOn w:val="a1"/>
    <w:qFormat/>
    <w:rsid w:val="008F2F31"/>
    <w:pPr>
      <w:tabs>
        <w:tab w:val="left" w:pos="567"/>
      </w:tabs>
      <w:overflowPunct w:val="0"/>
      <w:autoSpaceDE w:val="0"/>
      <w:autoSpaceDN w:val="0"/>
      <w:snapToGrid/>
      <w:ind w:leftChars="200" w:left="200"/>
      <w:jc w:val="both"/>
    </w:pPr>
    <w:rPr>
      <w:rFonts w:ascii="標楷體"/>
      <w:kern w:val="32"/>
      <w:sz w:val="32"/>
    </w:rPr>
  </w:style>
  <w:style w:type="paragraph" w:customStyle="1" w:styleId="31">
    <w:name w:val="樣式3"/>
    <w:basedOn w:val="a1"/>
    <w:link w:val="32"/>
    <w:qFormat/>
    <w:rsid w:val="0093249C"/>
    <w:pPr>
      <w:adjustRightInd w:val="0"/>
      <w:snapToGrid/>
      <w:spacing w:line="500" w:lineRule="exact"/>
      <w:ind w:left="426" w:hangingChars="152" w:hanging="426"/>
      <w:jc w:val="both"/>
    </w:pPr>
    <w:rPr>
      <w:rFonts w:eastAsia="新細明體"/>
      <w:color w:val="000000"/>
      <w:sz w:val="28"/>
      <w:szCs w:val="28"/>
    </w:rPr>
  </w:style>
  <w:style w:type="character" w:customStyle="1" w:styleId="32">
    <w:name w:val="樣式3 字元"/>
    <w:basedOn w:val="a3"/>
    <w:link w:val="31"/>
    <w:rsid w:val="0093249C"/>
    <w:rPr>
      <w:color w:val="000000"/>
      <w:kern w:val="2"/>
      <w:sz w:val="28"/>
      <w:szCs w:val="28"/>
    </w:rPr>
  </w:style>
  <w:style w:type="paragraph" w:customStyle="1" w:styleId="51">
    <w:name w:val="樣式5"/>
    <w:basedOn w:val="20"/>
    <w:link w:val="52"/>
    <w:qFormat/>
    <w:rsid w:val="008141CF"/>
    <w:pPr>
      <w:snapToGrid/>
      <w:spacing w:beforeLines="0" w:before="0" w:afterLines="0" w:after="0"/>
      <w:ind w:left="708" w:hangingChars="253" w:hanging="708"/>
    </w:pPr>
    <w:rPr>
      <w:rFonts w:hAnsi="Times New Roman"/>
      <w:b w:val="0"/>
      <w:color w:val="000000"/>
    </w:rPr>
  </w:style>
  <w:style w:type="character" w:customStyle="1" w:styleId="52">
    <w:name w:val="樣式5 字元"/>
    <w:basedOn w:val="21"/>
    <w:link w:val="51"/>
    <w:rsid w:val="008141CF"/>
    <w:rPr>
      <w:rFonts w:hAnsi="新細明體"/>
      <w:b w:val="0"/>
      <w:color w:val="000000"/>
      <w:kern w:val="2"/>
      <w:sz w:val="28"/>
      <w:szCs w:val="28"/>
    </w:rPr>
  </w:style>
  <w:style w:type="table" w:styleId="aff5">
    <w:name w:val="Table Grid"/>
    <w:basedOn w:val="a4"/>
    <w:uiPriority w:val="59"/>
    <w:rsid w:val="00130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Hyperlink"/>
    <w:basedOn w:val="a3"/>
    <w:uiPriority w:val="99"/>
    <w:unhideWhenUsed/>
    <w:rsid w:val="00435D8C"/>
    <w:rPr>
      <w:color w:val="0000FF"/>
      <w:u w:val="single"/>
    </w:rPr>
  </w:style>
  <w:style w:type="paragraph" w:styleId="aff7">
    <w:name w:val="TOC Heading"/>
    <w:basedOn w:val="1"/>
    <w:next w:val="a1"/>
    <w:uiPriority w:val="39"/>
    <w:unhideWhenUsed/>
    <w:qFormat/>
    <w:rsid w:val="00435D8C"/>
    <w:pPr>
      <w:keepLines/>
      <w:widowControl/>
      <w:snapToGrid/>
      <w:spacing w:before="480" w:after="0" w:line="276" w:lineRule="auto"/>
      <w:outlineLvl w:val="9"/>
    </w:pPr>
    <w:rPr>
      <w:color w:val="365F91" w:themeColor="accent1" w:themeShade="BF"/>
      <w:kern w:val="0"/>
      <w:sz w:val="28"/>
      <w:szCs w:val="28"/>
    </w:rPr>
  </w:style>
  <w:style w:type="paragraph" w:styleId="33">
    <w:name w:val="toc 3"/>
    <w:basedOn w:val="a1"/>
    <w:next w:val="a1"/>
    <w:autoRedefine/>
    <w:uiPriority w:val="39"/>
    <w:unhideWhenUsed/>
    <w:qFormat/>
    <w:rsid w:val="00435D8C"/>
    <w:pPr>
      <w:ind w:leftChars="400" w:left="960"/>
    </w:pPr>
  </w:style>
  <w:style w:type="paragraph" w:styleId="aff8">
    <w:name w:val="Plain Text"/>
    <w:basedOn w:val="a1"/>
    <w:link w:val="aff9"/>
    <w:uiPriority w:val="99"/>
    <w:unhideWhenUsed/>
    <w:rsid w:val="00912880"/>
    <w:pPr>
      <w:snapToGrid/>
    </w:pPr>
    <w:rPr>
      <w:rFonts w:ascii="Calibri" w:eastAsia="新細明體" w:hAnsi="Courier New" w:cs="Courier New"/>
      <w:szCs w:val="24"/>
    </w:rPr>
  </w:style>
  <w:style w:type="character" w:customStyle="1" w:styleId="aff9">
    <w:name w:val="純文字 字元"/>
    <w:basedOn w:val="a3"/>
    <w:link w:val="aff8"/>
    <w:uiPriority w:val="99"/>
    <w:rsid w:val="00912880"/>
    <w:rPr>
      <w:rFonts w:ascii="Calibri" w:hAnsi="Courier New" w:cs="Courier New"/>
      <w:kern w:val="2"/>
      <w:sz w:val="24"/>
      <w:szCs w:val="24"/>
    </w:rPr>
  </w:style>
  <w:style w:type="paragraph" w:customStyle="1" w:styleId="affa">
    <w:name w:val="中間字"/>
    <w:basedOn w:val="1---"/>
    <w:qFormat/>
    <w:rsid w:val="00912880"/>
    <w:pPr>
      <w:spacing w:beforeLines="50" w:before="180" w:after="180"/>
      <w:ind w:firstLineChars="0" w:firstLine="0"/>
      <w:jc w:val="center"/>
    </w:pPr>
    <w:rPr>
      <w:rFonts w:ascii="華康新特明體" w:eastAsia="華康新特明體"/>
      <w:kern w:val="0"/>
      <w:lang w:val="en-US" w:eastAsia="zh-TW"/>
    </w:rPr>
  </w:style>
  <w:style w:type="paragraph" w:styleId="Web">
    <w:name w:val="Normal (Web)"/>
    <w:basedOn w:val="a1"/>
    <w:uiPriority w:val="99"/>
    <w:semiHidden/>
    <w:unhideWhenUsed/>
    <w:rsid w:val="00912880"/>
    <w:pPr>
      <w:widowControl/>
      <w:snapToGrid/>
    </w:pPr>
    <w:rPr>
      <w:rFonts w:ascii="新細明體" w:eastAsia="新細明體" w:hAnsi="新細明體" w:cs="新細明體"/>
      <w:kern w:val="0"/>
      <w:szCs w:val="24"/>
    </w:rPr>
  </w:style>
  <w:style w:type="paragraph" w:styleId="affb">
    <w:name w:val="List Paragraph"/>
    <w:basedOn w:val="a1"/>
    <w:uiPriority w:val="34"/>
    <w:qFormat/>
    <w:rsid w:val="00912880"/>
    <w:pPr>
      <w:snapToGrid/>
      <w:ind w:leftChars="200" w:left="480"/>
    </w:pPr>
    <w:rPr>
      <w:rFonts w:asciiTheme="minorHAnsi" w:eastAsiaTheme="minorEastAsia" w:hAnsiTheme="minorHAnsi" w:cstheme="minorBidi"/>
      <w:szCs w:val="22"/>
    </w:rPr>
  </w:style>
  <w:style w:type="paragraph" w:styleId="13">
    <w:name w:val="toc 1"/>
    <w:basedOn w:val="a1"/>
    <w:next w:val="a1"/>
    <w:autoRedefine/>
    <w:uiPriority w:val="39"/>
    <w:unhideWhenUsed/>
    <w:qFormat/>
    <w:rsid w:val="00912880"/>
  </w:style>
  <w:style w:type="paragraph" w:styleId="22">
    <w:name w:val="toc 2"/>
    <w:basedOn w:val="a1"/>
    <w:next w:val="a1"/>
    <w:autoRedefine/>
    <w:uiPriority w:val="39"/>
    <w:unhideWhenUsed/>
    <w:qFormat/>
    <w:rsid w:val="00912880"/>
    <w:pPr>
      <w:ind w:leftChars="200" w:left="480"/>
    </w:pPr>
  </w:style>
  <w:style w:type="character" w:styleId="affc">
    <w:name w:val="Emphasis"/>
    <w:basedOn w:val="a3"/>
    <w:uiPriority w:val="20"/>
    <w:qFormat/>
    <w:rsid w:val="00912880"/>
    <w:rPr>
      <w:b w:val="0"/>
      <w:bCs w:val="0"/>
      <w:i w:val="0"/>
      <w:iCs w:val="0"/>
      <w:color w:val="CC0033"/>
    </w:rPr>
  </w:style>
  <w:style w:type="paragraph" w:customStyle="1" w:styleId="a">
    <w:name w:val="照片標題"/>
    <w:qFormat/>
    <w:rsid w:val="00912880"/>
    <w:pPr>
      <w:numPr>
        <w:numId w:val="5"/>
      </w:numPr>
      <w:adjustRightInd w:val="0"/>
      <w:snapToGrid w:val="0"/>
      <w:spacing w:before="40" w:after="240"/>
      <w:jc w:val="both"/>
    </w:pPr>
    <w:rPr>
      <w:rFonts w:ascii="標楷體" w:eastAsia="標楷體" w:hAnsi="華康楷書體W5(P)"/>
      <w:bCs/>
      <w:spacing w:val="-10"/>
      <w:kern w:val="28"/>
      <w:sz w:val="28"/>
      <w:szCs w:val="28"/>
    </w:rPr>
  </w:style>
  <w:style w:type="paragraph" w:styleId="affd">
    <w:name w:val="endnote text"/>
    <w:basedOn w:val="a1"/>
    <w:link w:val="affe"/>
    <w:uiPriority w:val="99"/>
    <w:semiHidden/>
    <w:unhideWhenUsed/>
    <w:rsid w:val="002639FA"/>
  </w:style>
  <w:style w:type="character" w:customStyle="1" w:styleId="affe">
    <w:name w:val="章節附註文字 字元"/>
    <w:basedOn w:val="a3"/>
    <w:link w:val="affd"/>
    <w:uiPriority w:val="99"/>
    <w:semiHidden/>
    <w:rsid w:val="002639FA"/>
    <w:rPr>
      <w:rFonts w:eastAsia="標楷體"/>
      <w:kern w:val="2"/>
      <w:sz w:val="24"/>
    </w:rPr>
  </w:style>
  <w:style w:type="character" w:styleId="afff">
    <w:name w:val="endnote reference"/>
    <w:basedOn w:val="a3"/>
    <w:uiPriority w:val="99"/>
    <w:semiHidden/>
    <w:unhideWhenUsed/>
    <w:rsid w:val="002639FA"/>
    <w:rPr>
      <w:vertAlign w:val="superscript"/>
    </w:rPr>
  </w:style>
  <w:style w:type="paragraph" w:styleId="42">
    <w:name w:val="toc 4"/>
    <w:basedOn w:val="a1"/>
    <w:next w:val="a1"/>
    <w:autoRedefine/>
    <w:uiPriority w:val="39"/>
    <w:unhideWhenUsed/>
    <w:rsid w:val="00D96B53"/>
    <w:pPr>
      <w:snapToGrid/>
      <w:ind w:leftChars="600" w:left="1440"/>
    </w:pPr>
    <w:rPr>
      <w:rFonts w:asciiTheme="minorHAnsi" w:eastAsiaTheme="minorEastAsia" w:hAnsiTheme="minorHAnsi" w:cstheme="minorBidi"/>
      <w:szCs w:val="22"/>
    </w:rPr>
  </w:style>
  <w:style w:type="paragraph" w:styleId="53">
    <w:name w:val="toc 5"/>
    <w:basedOn w:val="a1"/>
    <w:next w:val="a1"/>
    <w:autoRedefine/>
    <w:uiPriority w:val="39"/>
    <w:unhideWhenUsed/>
    <w:rsid w:val="00D96B53"/>
    <w:pPr>
      <w:snapToGrid/>
      <w:ind w:leftChars="800" w:left="1920"/>
    </w:pPr>
    <w:rPr>
      <w:rFonts w:asciiTheme="minorHAnsi" w:eastAsiaTheme="minorEastAsia" w:hAnsiTheme="minorHAnsi" w:cstheme="minorBidi"/>
      <w:szCs w:val="22"/>
    </w:rPr>
  </w:style>
  <w:style w:type="paragraph" w:styleId="61">
    <w:name w:val="toc 6"/>
    <w:basedOn w:val="a1"/>
    <w:next w:val="a1"/>
    <w:autoRedefine/>
    <w:uiPriority w:val="39"/>
    <w:unhideWhenUsed/>
    <w:rsid w:val="00D96B53"/>
    <w:pPr>
      <w:snapToGrid/>
      <w:ind w:leftChars="1000" w:left="2400"/>
    </w:pPr>
    <w:rPr>
      <w:rFonts w:asciiTheme="minorHAnsi" w:eastAsiaTheme="minorEastAsia" w:hAnsiTheme="minorHAnsi" w:cstheme="minorBidi"/>
      <w:szCs w:val="22"/>
    </w:rPr>
  </w:style>
  <w:style w:type="paragraph" w:styleId="70">
    <w:name w:val="toc 7"/>
    <w:basedOn w:val="a1"/>
    <w:next w:val="a1"/>
    <w:autoRedefine/>
    <w:uiPriority w:val="39"/>
    <w:unhideWhenUsed/>
    <w:rsid w:val="00D96B53"/>
    <w:pPr>
      <w:snapToGrid/>
      <w:ind w:leftChars="1200" w:left="2880"/>
    </w:pPr>
    <w:rPr>
      <w:rFonts w:asciiTheme="minorHAnsi" w:eastAsiaTheme="minorEastAsia" w:hAnsiTheme="minorHAnsi" w:cstheme="minorBidi"/>
      <w:szCs w:val="22"/>
    </w:rPr>
  </w:style>
  <w:style w:type="paragraph" w:styleId="80">
    <w:name w:val="toc 8"/>
    <w:basedOn w:val="a1"/>
    <w:next w:val="a1"/>
    <w:autoRedefine/>
    <w:uiPriority w:val="39"/>
    <w:unhideWhenUsed/>
    <w:rsid w:val="00D96B53"/>
    <w:pPr>
      <w:snapToGrid/>
      <w:ind w:leftChars="1400" w:left="3360"/>
    </w:pPr>
    <w:rPr>
      <w:rFonts w:asciiTheme="minorHAnsi" w:eastAsiaTheme="minorEastAsia" w:hAnsiTheme="minorHAnsi" w:cstheme="minorBidi"/>
      <w:szCs w:val="22"/>
    </w:rPr>
  </w:style>
  <w:style w:type="paragraph" w:styleId="90">
    <w:name w:val="toc 9"/>
    <w:basedOn w:val="a1"/>
    <w:next w:val="a1"/>
    <w:autoRedefine/>
    <w:uiPriority w:val="39"/>
    <w:unhideWhenUsed/>
    <w:rsid w:val="00D96B53"/>
    <w:pPr>
      <w:snapToGrid/>
      <w:ind w:leftChars="1600" w:left="3840"/>
    </w:pPr>
    <w:rPr>
      <w:rFonts w:asciiTheme="minorHAnsi" w:eastAsiaTheme="minorEastAsia" w:hAnsiTheme="minorHAnsi" w:cstheme="minorBidi"/>
      <w:szCs w:val="22"/>
    </w:rPr>
  </w:style>
  <w:style w:type="paragraph" w:customStyle="1" w:styleId="1--">
    <w:name w:val="1--章"/>
    <w:basedOn w:val="a1"/>
    <w:qFormat/>
    <w:rsid w:val="00D3592F"/>
    <w:pPr>
      <w:kinsoku w:val="0"/>
      <w:overflowPunct w:val="0"/>
      <w:snapToGrid/>
      <w:spacing w:afterLines="50" w:after="50"/>
      <w:jc w:val="both"/>
    </w:pPr>
    <w:rPr>
      <w:rFonts w:ascii="華康粗黑體" w:eastAsia="華康粗黑體"/>
      <w:kern w:val="0"/>
      <w:sz w:val="36"/>
      <w:szCs w:val="36"/>
    </w:rPr>
  </w:style>
  <w:style w:type="paragraph" w:customStyle="1" w:styleId="afff0">
    <w:name w:val="右書枚"/>
    <w:basedOn w:val="af5"/>
    <w:qFormat/>
    <w:rsid w:val="00D3592F"/>
    <w:pPr>
      <w:kinsoku w:val="0"/>
      <w:overflowPunct w:val="0"/>
      <w:spacing w:line="360" w:lineRule="exact"/>
      <w:jc w:val="right"/>
    </w:pPr>
    <w:rPr>
      <w:rFonts w:ascii="新細明體" w:hAnsi="新細明體" w:cs="新細明體"/>
      <w:kern w:val="0"/>
      <w:lang w:eastAsia="zh-HK"/>
    </w:rPr>
  </w:style>
  <w:style w:type="paragraph" w:customStyle="1" w:styleId="1--0">
    <w:name w:val="1--左書枚"/>
    <w:basedOn w:val="af5"/>
    <w:qFormat/>
    <w:rsid w:val="00D3592F"/>
    <w:pPr>
      <w:kinsoku w:val="0"/>
      <w:overflowPunct w:val="0"/>
      <w:spacing w:line="360" w:lineRule="exact"/>
      <w:jc w:val="both"/>
    </w:pPr>
    <w:rPr>
      <w:kern w:val="0"/>
    </w:rPr>
  </w:style>
  <w:style w:type="paragraph" w:customStyle="1" w:styleId="1--13">
    <w:name w:val="1--顏楷13"/>
    <w:basedOn w:val="a1"/>
    <w:qFormat/>
    <w:rsid w:val="001A2343"/>
    <w:pPr>
      <w:kinsoku w:val="0"/>
      <w:overflowPunct w:val="0"/>
      <w:snapToGrid/>
      <w:spacing w:beforeLines="50" w:before="50" w:afterLines="50" w:after="50" w:line="360" w:lineRule="exact"/>
      <w:jc w:val="both"/>
    </w:pPr>
    <w:rPr>
      <w:rFonts w:ascii="新細明體" w:eastAsia="華康正顏楷體W5" w:hAnsi="新細明體"/>
      <w:kern w:val="0"/>
      <w:sz w:val="26"/>
      <w:szCs w:val="22"/>
    </w:rPr>
  </w:style>
  <w:style w:type="paragraph" w:customStyle="1" w:styleId="afff1">
    <w:name w:val="(一)調查發現"/>
    <w:basedOn w:val="a1"/>
    <w:qFormat/>
    <w:rsid w:val="001A2343"/>
    <w:pPr>
      <w:kinsoku w:val="0"/>
      <w:overflowPunct w:val="0"/>
      <w:snapToGrid/>
      <w:spacing w:beforeLines="100" w:before="100" w:afterLines="100" w:after="100" w:line="360" w:lineRule="exact"/>
      <w:jc w:val="both"/>
    </w:pPr>
    <w:rPr>
      <w:rFonts w:ascii="華康魏碑體" w:eastAsia="華康魏碑體" w:hAnsi="細明體" w:cs="細明體"/>
      <w:kern w:val="0"/>
      <w:sz w:val="34"/>
      <w:szCs w:val="32"/>
    </w:rPr>
  </w:style>
  <w:style w:type="paragraph" w:customStyle="1" w:styleId="11-">
    <w:name w:val="11-中標"/>
    <w:basedOn w:val="4"/>
    <w:qFormat/>
    <w:rsid w:val="00AA673D"/>
    <w:pPr>
      <w:keepNext w:val="0"/>
      <w:kinsoku w:val="0"/>
      <w:overflowPunct w:val="0"/>
      <w:snapToGrid/>
      <w:spacing w:beforeLines="20" w:before="20" w:afterLines="30" w:after="30" w:line="360" w:lineRule="exact"/>
    </w:pPr>
    <w:rPr>
      <w:rFonts w:ascii="華康粗圓體" w:eastAsia="華康新特明體" w:hAnsi="Times New Roman"/>
      <w:b w:val="0"/>
      <w:shadow/>
      <w:spacing w:val="2"/>
      <w:kern w:val="0"/>
      <w:sz w:val="30"/>
      <w:szCs w:val="36"/>
      <w:lang w:val="x-none" w:eastAsia="x-none"/>
    </w:rPr>
  </w:style>
  <w:style w:type="paragraph" w:customStyle="1" w:styleId="1----">
    <w:name w:val="1----"/>
    <w:basedOn w:val="1---"/>
    <w:qFormat/>
    <w:rsid w:val="007373B4"/>
    <w:pPr>
      <w:ind w:leftChars="100" w:left="100" w:hangingChars="150" w:hanging="357"/>
    </w:pPr>
  </w:style>
  <w:style w:type="paragraph" w:customStyle="1" w:styleId="afff2">
    <w:name w:val="一般性意見　公約　款"/>
    <w:basedOn w:val="a1"/>
    <w:link w:val="afff3"/>
    <w:autoRedefine/>
    <w:qFormat/>
    <w:rsid w:val="007409C6"/>
    <w:pPr>
      <w:tabs>
        <w:tab w:val="left" w:pos="744"/>
      </w:tabs>
      <w:kinsoku w:val="0"/>
      <w:overflowPunct w:val="0"/>
      <w:snapToGrid/>
      <w:spacing w:line="360" w:lineRule="exact"/>
      <w:ind w:leftChars="200" w:left="1080" w:hangingChars="250" w:hanging="600"/>
      <w:jc w:val="both"/>
    </w:pPr>
    <w:rPr>
      <w:rFonts w:ascii="標楷體" w:hAnsi="標楷體"/>
      <w:kern w:val="0"/>
      <w:sz w:val="20"/>
      <w:lang w:val="x-none" w:eastAsia="x-none"/>
    </w:rPr>
  </w:style>
  <w:style w:type="character" w:customStyle="1" w:styleId="afff3">
    <w:name w:val="一般性意見　公約　款 字元"/>
    <w:link w:val="afff2"/>
    <w:rsid w:val="007409C6"/>
    <w:rPr>
      <w:rFonts w:ascii="標楷體" w:eastAsia="標楷體" w:hAnsi="標楷體"/>
      <w:lang w:val="x-none" w:eastAsia="x-none"/>
    </w:rPr>
  </w:style>
  <w:style w:type="paragraph" w:customStyle="1" w:styleId="11--">
    <w:name w:val="11--內文"/>
    <w:basedOn w:val="1---"/>
    <w:qFormat/>
    <w:rsid w:val="007409C6"/>
    <w:pPr>
      <w:adjustRightInd w:val="0"/>
    </w:pPr>
    <w:rPr>
      <w:kern w:val="0"/>
      <w:lang w:eastAsia="x-none"/>
    </w:rPr>
  </w:style>
  <w:style w:type="paragraph" w:customStyle="1" w:styleId="1--16">
    <w:name w:val="1--一楷書體16"/>
    <w:basedOn w:val="a1"/>
    <w:qFormat/>
    <w:rsid w:val="000130AA"/>
    <w:pPr>
      <w:kinsoku w:val="0"/>
      <w:overflowPunct w:val="0"/>
      <w:snapToGrid/>
      <w:spacing w:beforeLines="50" w:before="190" w:afterLines="50" w:after="190" w:line="360" w:lineRule="exact"/>
      <w:jc w:val="both"/>
    </w:pPr>
    <w:rPr>
      <w:rFonts w:ascii="華康楷書體W7" w:eastAsia="華康楷書體W7"/>
      <w:kern w:val="0"/>
      <w:sz w:val="32"/>
      <w:szCs w:val="32"/>
    </w:rPr>
  </w:style>
  <w:style w:type="paragraph" w:customStyle="1" w:styleId="1--1">
    <w:name w:val="1--（1）內文"/>
    <w:basedOn w:val="a1"/>
    <w:qFormat/>
    <w:rsid w:val="005E177E"/>
    <w:pPr>
      <w:kinsoku w:val="0"/>
      <w:overflowPunct w:val="0"/>
      <w:snapToGrid/>
      <w:spacing w:line="360" w:lineRule="exact"/>
      <w:ind w:leftChars="200" w:left="200" w:hangingChars="250" w:hanging="612"/>
      <w:jc w:val="both"/>
    </w:pPr>
    <w:rPr>
      <w:rFonts w:eastAsia="新細明體"/>
      <w:kern w:val="0"/>
      <w:szCs w:val="22"/>
    </w:rPr>
  </w:style>
  <w:style w:type="paragraph" w:customStyle="1" w:styleId="11--0">
    <w:name w:val="11--章"/>
    <w:basedOn w:val="a1"/>
    <w:qFormat/>
    <w:rsid w:val="00847A28"/>
    <w:pPr>
      <w:kinsoku w:val="0"/>
      <w:overflowPunct w:val="0"/>
      <w:snapToGrid/>
      <w:spacing w:beforeLines="50" w:before="50" w:afterLines="50" w:after="50" w:line="360" w:lineRule="exact"/>
      <w:jc w:val="both"/>
    </w:pPr>
    <w:rPr>
      <w:rFonts w:ascii="華康粗黑體" w:eastAsia="華康粗黑體" w:hAnsi="Calibri"/>
      <w:sz w:val="3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173B9"/>
    <w:pPr>
      <w:widowControl w:val="0"/>
      <w:snapToGrid w:val="0"/>
    </w:pPr>
    <w:rPr>
      <w:rFonts w:eastAsia="標楷體"/>
      <w:kern w:val="2"/>
      <w:sz w:val="24"/>
    </w:rPr>
  </w:style>
  <w:style w:type="paragraph" w:styleId="1">
    <w:name w:val="heading 1"/>
    <w:basedOn w:val="a1"/>
    <w:next w:val="a1"/>
    <w:link w:val="10"/>
    <w:uiPriority w:val="9"/>
    <w:qFormat/>
    <w:rsid w:val="00912880"/>
    <w:pPr>
      <w:keepNext/>
      <w:spacing w:before="180" w:after="180" w:line="720" w:lineRule="atLeast"/>
      <w:outlineLvl w:val="0"/>
    </w:pPr>
    <w:rPr>
      <w:rFonts w:eastAsia="新細明體" w:cstheme="majorBidi"/>
      <w:b/>
      <w:bCs/>
      <w:kern w:val="52"/>
      <w:sz w:val="40"/>
      <w:szCs w:val="52"/>
      <w:lang w:eastAsia="zh-HK"/>
    </w:rPr>
  </w:style>
  <w:style w:type="paragraph" w:styleId="2">
    <w:name w:val="heading 2"/>
    <w:basedOn w:val="a1"/>
    <w:next w:val="a2"/>
    <w:qFormat/>
    <w:rsid w:val="00734895"/>
    <w:pPr>
      <w:keepNext/>
      <w:spacing w:beforeLines="50" w:before="270" w:afterLines="50" w:after="270" w:line="500" w:lineRule="exact"/>
      <w:ind w:left="1027" w:hanging="885"/>
      <w:outlineLvl w:val="1"/>
    </w:pPr>
    <w:rPr>
      <w:rFonts w:ascii="Arial" w:eastAsia="新細明體" w:hAnsi="Arial"/>
      <w:b/>
      <w:sz w:val="36"/>
      <w:lang w:eastAsia="zh-HK"/>
    </w:rPr>
  </w:style>
  <w:style w:type="paragraph" w:styleId="3">
    <w:name w:val="heading 3"/>
    <w:aliases w:val="章標題,(一)"/>
    <w:basedOn w:val="a1"/>
    <w:next w:val="a2"/>
    <w:link w:val="30"/>
    <w:qFormat/>
    <w:rsid w:val="00C654DF"/>
    <w:pPr>
      <w:keepNext/>
      <w:spacing w:afterLines="50" w:after="270"/>
      <w:outlineLvl w:val="2"/>
    </w:pPr>
    <w:rPr>
      <w:rFonts w:ascii="Arial" w:eastAsia="新細明體" w:hAnsi="Arial"/>
      <w:b/>
      <w:color w:val="000000" w:themeColor="text1"/>
      <w:sz w:val="36"/>
    </w:rPr>
  </w:style>
  <w:style w:type="paragraph" w:styleId="4">
    <w:name w:val="heading 4"/>
    <w:basedOn w:val="a1"/>
    <w:next w:val="a2"/>
    <w:qFormat/>
    <w:rsid w:val="00BA79A5"/>
    <w:pPr>
      <w:keepNext/>
      <w:spacing w:beforeLines="50" w:before="270" w:afterLines="50" w:after="270" w:line="500" w:lineRule="exact"/>
      <w:outlineLvl w:val="3"/>
    </w:pPr>
    <w:rPr>
      <w:rFonts w:ascii="Arial" w:eastAsia="新細明體" w:hAnsi="Arial"/>
      <w:b/>
      <w:sz w:val="36"/>
    </w:rPr>
  </w:style>
  <w:style w:type="paragraph" w:styleId="5">
    <w:name w:val="heading 5"/>
    <w:basedOn w:val="a1"/>
    <w:next w:val="a2"/>
    <w:link w:val="50"/>
    <w:qFormat/>
    <w:rsid w:val="00B81B4B"/>
    <w:pPr>
      <w:keepNext/>
      <w:numPr>
        <w:ilvl w:val="4"/>
        <w:numId w:val="1"/>
      </w:numPr>
      <w:spacing w:beforeLines="50" w:before="180" w:afterLines="50" w:after="180" w:line="500" w:lineRule="exact"/>
      <w:outlineLvl w:val="4"/>
    </w:pPr>
    <w:rPr>
      <w:rFonts w:ascii="Arial" w:eastAsia="新細明體" w:hAnsi="Arial"/>
      <w:b/>
      <w:sz w:val="32"/>
    </w:rPr>
  </w:style>
  <w:style w:type="paragraph" w:styleId="6">
    <w:name w:val="heading 6"/>
    <w:basedOn w:val="a1"/>
    <w:next w:val="a2"/>
    <w:link w:val="60"/>
    <w:qFormat/>
    <w:rsid w:val="006173B9"/>
    <w:pPr>
      <w:keepNext/>
      <w:numPr>
        <w:ilvl w:val="5"/>
        <w:numId w:val="1"/>
      </w:numPr>
      <w:spacing w:line="720" w:lineRule="auto"/>
      <w:outlineLvl w:val="5"/>
    </w:pPr>
    <w:rPr>
      <w:rFonts w:ascii="Arial" w:eastAsia="新細明體" w:hAnsi="Arial"/>
      <w:sz w:val="36"/>
    </w:rPr>
  </w:style>
  <w:style w:type="paragraph" w:styleId="7">
    <w:name w:val="heading 7"/>
    <w:basedOn w:val="a1"/>
    <w:next w:val="a2"/>
    <w:qFormat/>
    <w:rsid w:val="006173B9"/>
    <w:pPr>
      <w:keepNext/>
      <w:numPr>
        <w:ilvl w:val="6"/>
        <w:numId w:val="1"/>
      </w:numPr>
      <w:spacing w:line="720" w:lineRule="auto"/>
      <w:outlineLvl w:val="6"/>
    </w:pPr>
    <w:rPr>
      <w:rFonts w:ascii="Arial" w:eastAsia="新細明體" w:hAnsi="Arial"/>
      <w:b/>
      <w:sz w:val="36"/>
    </w:rPr>
  </w:style>
  <w:style w:type="paragraph" w:styleId="8">
    <w:name w:val="heading 8"/>
    <w:basedOn w:val="a1"/>
    <w:next w:val="a2"/>
    <w:qFormat/>
    <w:rsid w:val="006173B9"/>
    <w:pPr>
      <w:keepNext/>
      <w:numPr>
        <w:ilvl w:val="7"/>
        <w:numId w:val="1"/>
      </w:numPr>
      <w:spacing w:line="720" w:lineRule="auto"/>
      <w:outlineLvl w:val="7"/>
    </w:pPr>
    <w:rPr>
      <w:rFonts w:ascii="Arial" w:eastAsia="新細明體" w:hAnsi="Arial"/>
      <w:sz w:val="36"/>
    </w:rPr>
  </w:style>
  <w:style w:type="paragraph" w:styleId="9">
    <w:name w:val="heading 9"/>
    <w:basedOn w:val="a1"/>
    <w:next w:val="a2"/>
    <w:qFormat/>
    <w:rsid w:val="006173B9"/>
    <w:pPr>
      <w:keepNext/>
      <w:numPr>
        <w:ilvl w:val="8"/>
        <w:numId w:val="1"/>
      </w:numPr>
      <w:spacing w:line="720" w:lineRule="auto"/>
      <w:outlineLvl w:val="8"/>
    </w:pPr>
    <w:rPr>
      <w:rFonts w:ascii="Arial" w:eastAsia="新細明體" w:hAnsi="Arial"/>
      <w:sz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rsid w:val="00912880"/>
    <w:rPr>
      <w:rFonts w:cstheme="majorBidi"/>
      <w:b/>
      <w:bCs/>
      <w:kern w:val="52"/>
      <w:sz w:val="40"/>
      <w:szCs w:val="52"/>
      <w:lang w:eastAsia="zh-HK"/>
    </w:rPr>
  </w:style>
  <w:style w:type="paragraph" w:styleId="a2">
    <w:name w:val="Normal Indent"/>
    <w:basedOn w:val="a1"/>
    <w:semiHidden/>
    <w:rsid w:val="006173B9"/>
    <w:pPr>
      <w:ind w:left="480"/>
    </w:pPr>
  </w:style>
  <w:style w:type="character" w:customStyle="1" w:styleId="30">
    <w:name w:val="標題 3 字元"/>
    <w:aliases w:val="章標題 字元,(一) 字元"/>
    <w:basedOn w:val="a3"/>
    <w:link w:val="3"/>
    <w:rsid w:val="00C654DF"/>
    <w:rPr>
      <w:rFonts w:ascii="Arial" w:hAnsi="Arial"/>
      <w:b/>
      <w:color w:val="000000" w:themeColor="text1"/>
      <w:kern w:val="2"/>
      <w:sz w:val="36"/>
    </w:rPr>
  </w:style>
  <w:style w:type="character" w:customStyle="1" w:styleId="50">
    <w:name w:val="標題 5 字元"/>
    <w:basedOn w:val="a3"/>
    <w:link w:val="5"/>
    <w:rsid w:val="00B81B4B"/>
    <w:rPr>
      <w:rFonts w:ascii="Arial" w:hAnsi="Arial"/>
      <w:b/>
      <w:kern w:val="2"/>
      <w:sz w:val="32"/>
    </w:rPr>
  </w:style>
  <w:style w:type="character" w:customStyle="1" w:styleId="60">
    <w:name w:val="標題 6 字元"/>
    <w:basedOn w:val="a3"/>
    <w:link w:val="6"/>
    <w:rsid w:val="00912880"/>
    <w:rPr>
      <w:rFonts w:ascii="Arial" w:hAnsi="Arial"/>
      <w:kern w:val="2"/>
      <w:sz w:val="36"/>
    </w:rPr>
  </w:style>
  <w:style w:type="paragraph" w:customStyle="1" w:styleId="a6">
    <w:name w:val="聯絡方式"/>
    <w:basedOn w:val="a1"/>
    <w:rsid w:val="006173B9"/>
    <w:pPr>
      <w:spacing w:line="260" w:lineRule="exact"/>
      <w:ind w:left="500" w:hanging="500"/>
    </w:pPr>
    <w:rPr>
      <w:snapToGrid w:val="0"/>
      <w:kern w:val="0"/>
    </w:rPr>
  </w:style>
  <w:style w:type="paragraph" w:customStyle="1" w:styleId="a7">
    <w:name w:val="行文機關"/>
    <w:basedOn w:val="a1"/>
    <w:rsid w:val="006173B9"/>
  </w:style>
  <w:style w:type="paragraph" w:customStyle="1" w:styleId="a8">
    <w:name w:val="機關名稱"/>
    <w:basedOn w:val="a1"/>
    <w:rsid w:val="006173B9"/>
    <w:pPr>
      <w:spacing w:after="160" w:line="560" w:lineRule="exact"/>
    </w:pPr>
    <w:rPr>
      <w:sz w:val="40"/>
    </w:rPr>
  </w:style>
  <w:style w:type="paragraph" w:customStyle="1" w:styleId="a9">
    <w:name w:val="機關名稱隔欄"/>
    <w:basedOn w:val="a1"/>
    <w:rsid w:val="006173B9"/>
    <w:pPr>
      <w:spacing w:after="160"/>
    </w:pPr>
    <w:rPr>
      <w:sz w:val="44"/>
    </w:rPr>
  </w:style>
  <w:style w:type="paragraph" w:customStyle="1" w:styleId="aa">
    <w:name w:val="受文者"/>
    <w:basedOn w:val="a1"/>
    <w:rsid w:val="006173B9"/>
    <w:pPr>
      <w:snapToGrid/>
      <w:spacing w:after="200"/>
      <w:ind w:left="1276" w:hanging="1276"/>
    </w:pPr>
    <w:rPr>
      <w:sz w:val="32"/>
    </w:rPr>
  </w:style>
  <w:style w:type="paragraph" w:customStyle="1" w:styleId="ab">
    <w:name w:val="發文日期"/>
    <w:basedOn w:val="a1"/>
    <w:rsid w:val="006173B9"/>
    <w:pPr>
      <w:spacing w:line="280" w:lineRule="exact"/>
    </w:pPr>
  </w:style>
  <w:style w:type="paragraph" w:customStyle="1" w:styleId="ac">
    <w:name w:val="發文字號"/>
    <w:basedOn w:val="a1"/>
    <w:rsid w:val="006173B9"/>
    <w:pPr>
      <w:spacing w:line="280" w:lineRule="exact"/>
    </w:pPr>
  </w:style>
  <w:style w:type="paragraph" w:customStyle="1" w:styleId="ad">
    <w:name w:val="速別"/>
    <w:basedOn w:val="a1"/>
    <w:rsid w:val="006173B9"/>
    <w:pPr>
      <w:spacing w:line="280" w:lineRule="exact"/>
    </w:pPr>
  </w:style>
  <w:style w:type="paragraph" w:customStyle="1" w:styleId="ae">
    <w:name w:val="密等"/>
    <w:basedOn w:val="a1"/>
    <w:rsid w:val="006173B9"/>
    <w:pPr>
      <w:spacing w:line="280" w:lineRule="atLeast"/>
    </w:pPr>
  </w:style>
  <w:style w:type="paragraph" w:customStyle="1" w:styleId="af">
    <w:name w:val="附件"/>
    <w:basedOn w:val="a1"/>
    <w:rsid w:val="006173B9"/>
    <w:pPr>
      <w:spacing w:line="280" w:lineRule="exact"/>
      <w:ind w:left="680" w:hanging="680"/>
    </w:pPr>
  </w:style>
  <w:style w:type="paragraph" w:customStyle="1" w:styleId="af0">
    <w:name w:val="主旨"/>
    <w:basedOn w:val="a1"/>
    <w:rsid w:val="006173B9"/>
    <w:pPr>
      <w:ind w:left="964" w:hanging="964"/>
    </w:pPr>
    <w:rPr>
      <w:sz w:val="32"/>
    </w:rPr>
  </w:style>
  <w:style w:type="paragraph" w:customStyle="1" w:styleId="af1">
    <w:name w:val="說明辦法首行"/>
    <w:basedOn w:val="a1"/>
    <w:rsid w:val="006173B9"/>
    <w:pPr>
      <w:spacing w:line="500" w:lineRule="exact"/>
      <w:ind w:left="964" w:hanging="964"/>
    </w:pPr>
    <w:rPr>
      <w:sz w:val="32"/>
    </w:rPr>
  </w:style>
  <w:style w:type="paragraph" w:customStyle="1" w:styleId="a0">
    <w:name w:val="分項段落"/>
    <w:basedOn w:val="a1"/>
    <w:rsid w:val="006173B9"/>
    <w:pPr>
      <w:widowControl/>
      <w:numPr>
        <w:numId w:val="2"/>
      </w:numPr>
      <w:textAlignment w:val="baseline"/>
    </w:pPr>
    <w:rPr>
      <w:noProof/>
      <w:kern w:val="0"/>
      <w:sz w:val="32"/>
    </w:rPr>
  </w:style>
  <w:style w:type="paragraph" w:customStyle="1" w:styleId="af2">
    <w:name w:val="正副本"/>
    <w:basedOn w:val="a1"/>
    <w:rsid w:val="006173B9"/>
    <w:pPr>
      <w:ind w:left="658" w:hanging="658"/>
    </w:pPr>
  </w:style>
  <w:style w:type="paragraph" w:customStyle="1" w:styleId="af3">
    <w:name w:val="首長"/>
    <w:basedOn w:val="a1"/>
    <w:rsid w:val="006173B9"/>
    <w:pPr>
      <w:spacing w:line="500" w:lineRule="exact"/>
    </w:pPr>
    <w:rPr>
      <w:sz w:val="32"/>
    </w:rPr>
  </w:style>
  <w:style w:type="paragraph" w:customStyle="1" w:styleId="af4">
    <w:name w:val="地址"/>
    <w:basedOn w:val="a1"/>
    <w:rsid w:val="006173B9"/>
    <w:pPr>
      <w:spacing w:line="240" w:lineRule="exact"/>
      <w:ind w:left="300" w:hanging="300"/>
    </w:pPr>
    <w:rPr>
      <w:snapToGrid w:val="0"/>
      <w:kern w:val="0"/>
    </w:rPr>
  </w:style>
  <w:style w:type="paragraph" w:styleId="af5">
    <w:name w:val="header"/>
    <w:basedOn w:val="a1"/>
    <w:link w:val="af6"/>
    <w:uiPriority w:val="99"/>
    <w:rsid w:val="006173B9"/>
    <w:pPr>
      <w:tabs>
        <w:tab w:val="center" w:pos="4153"/>
        <w:tab w:val="right" w:pos="8306"/>
      </w:tabs>
    </w:pPr>
    <w:rPr>
      <w:sz w:val="20"/>
    </w:rPr>
  </w:style>
  <w:style w:type="character" w:customStyle="1" w:styleId="af6">
    <w:name w:val="頁首 字元"/>
    <w:link w:val="af5"/>
    <w:uiPriority w:val="99"/>
    <w:rsid w:val="00435D8C"/>
    <w:rPr>
      <w:rFonts w:eastAsia="標楷體"/>
      <w:kern w:val="2"/>
    </w:rPr>
  </w:style>
  <w:style w:type="paragraph" w:styleId="af7">
    <w:name w:val="footer"/>
    <w:basedOn w:val="a1"/>
    <w:link w:val="af8"/>
    <w:uiPriority w:val="99"/>
    <w:rsid w:val="006173B9"/>
    <w:pPr>
      <w:tabs>
        <w:tab w:val="center" w:pos="4153"/>
        <w:tab w:val="right" w:pos="8306"/>
      </w:tabs>
    </w:pPr>
    <w:rPr>
      <w:sz w:val="20"/>
    </w:rPr>
  </w:style>
  <w:style w:type="character" w:customStyle="1" w:styleId="af8">
    <w:name w:val="頁尾 字元"/>
    <w:basedOn w:val="a3"/>
    <w:link w:val="af7"/>
    <w:uiPriority w:val="99"/>
    <w:rsid w:val="00544889"/>
    <w:rPr>
      <w:rFonts w:eastAsia="標楷體"/>
      <w:kern w:val="2"/>
    </w:rPr>
  </w:style>
  <w:style w:type="character" w:styleId="af9">
    <w:name w:val="page number"/>
    <w:basedOn w:val="a3"/>
    <w:semiHidden/>
    <w:rsid w:val="006173B9"/>
  </w:style>
  <w:style w:type="paragraph" w:customStyle="1" w:styleId="afa">
    <w:name w:val="出席者"/>
    <w:basedOn w:val="a1"/>
    <w:rsid w:val="006173B9"/>
    <w:pPr>
      <w:ind w:left="919" w:hanging="919"/>
    </w:pPr>
  </w:style>
  <w:style w:type="character" w:styleId="afb">
    <w:name w:val="annotation reference"/>
    <w:basedOn w:val="a3"/>
    <w:uiPriority w:val="99"/>
    <w:semiHidden/>
    <w:unhideWhenUsed/>
    <w:rsid w:val="00D910CE"/>
    <w:rPr>
      <w:sz w:val="18"/>
      <w:szCs w:val="18"/>
    </w:rPr>
  </w:style>
  <w:style w:type="paragraph" w:styleId="afc">
    <w:name w:val="annotation text"/>
    <w:basedOn w:val="a1"/>
    <w:link w:val="afd"/>
    <w:uiPriority w:val="99"/>
    <w:semiHidden/>
    <w:unhideWhenUsed/>
    <w:rsid w:val="00D910CE"/>
  </w:style>
  <w:style w:type="character" w:customStyle="1" w:styleId="afd">
    <w:name w:val="註解文字 字元"/>
    <w:basedOn w:val="a3"/>
    <w:link w:val="afc"/>
    <w:uiPriority w:val="99"/>
    <w:semiHidden/>
    <w:rsid w:val="00D910CE"/>
    <w:rPr>
      <w:rFonts w:eastAsia="標楷體"/>
      <w:kern w:val="2"/>
      <w:sz w:val="24"/>
    </w:rPr>
  </w:style>
  <w:style w:type="paragraph" w:styleId="afe">
    <w:name w:val="annotation subject"/>
    <w:basedOn w:val="afc"/>
    <w:next w:val="afc"/>
    <w:link w:val="aff"/>
    <w:uiPriority w:val="99"/>
    <w:semiHidden/>
    <w:unhideWhenUsed/>
    <w:rsid w:val="00D910CE"/>
    <w:rPr>
      <w:b/>
      <w:bCs/>
    </w:rPr>
  </w:style>
  <w:style w:type="character" w:customStyle="1" w:styleId="aff">
    <w:name w:val="註解主旨 字元"/>
    <w:basedOn w:val="afd"/>
    <w:link w:val="afe"/>
    <w:uiPriority w:val="99"/>
    <w:semiHidden/>
    <w:rsid w:val="00D910CE"/>
    <w:rPr>
      <w:rFonts w:eastAsia="標楷體"/>
      <w:b/>
      <w:bCs/>
      <w:kern w:val="2"/>
      <w:sz w:val="24"/>
    </w:rPr>
  </w:style>
  <w:style w:type="paragraph" w:styleId="aff0">
    <w:name w:val="Balloon Text"/>
    <w:basedOn w:val="a1"/>
    <w:link w:val="aff1"/>
    <w:uiPriority w:val="99"/>
    <w:semiHidden/>
    <w:unhideWhenUsed/>
    <w:rsid w:val="00D910CE"/>
    <w:rPr>
      <w:rFonts w:asciiTheme="majorHAnsi" w:eastAsiaTheme="majorEastAsia" w:hAnsiTheme="majorHAnsi" w:cstheme="majorBidi"/>
      <w:sz w:val="18"/>
      <w:szCs w:val="18"/>
    </w:rPr>
  </w:style>
  <w:style w:type="character" w:customStyle="1" w:styleId="aff1">
    <w:name w:val="註解方塊文字 字元"/>
    <w:basedOn w:val="a3"/>
    <w:link w:val="aff0"/>
    <w:uiPriority w:val="99"/>
    <w:semiHidden/>
    <w:rsid w:val="00D910CE"/>
    <w:rPr>
      <w:rFonts w:asciiTheme="majorHAnsi" w:eastAsiaTheme="majorEastAsia" w:hAnsiTheme="majorHAnsi" w:cstheme="majorBidi"/>
      <w:kern w:val="2"/>
      <w:sz w:val="18"/>
      <w:szCs w:val="18"/>
    </w:rPr>
  </w:style>
  <w:style w:type="character" w:styleId="aff2">
    <w:name w:val="footnote reference"/>
    <w:aliases w:val="4_G,FR"/>
    <w:basedOn w:val="a3"/>
    <w:uiPriority w:val="99"/>
    <w:unhideWhenUsed/>
    <w:rsid w:val="00C45B6A"/>
    <w:rPr>
      <w:vertAlign w:val="superscript"/>
    </w:rPr>
  </w:style>
  <w:style w:type="paragraph" w:customStyle="1" w:styleId="1---">
    <w:name w:val="1---段落"/>
    <w:basedOn w:val="a1"/>
    <w:link w:val="1---0"/>
    <w:qFormat/>
    <w:rsid w:val="00274413"/>
    <w:pPr>
      <w:kinsoku w:val="0"/>
      <w:overflowPunct w:val="0"/>
      <w:snapToGrid/>
      <w:spacing w:line="360" w:lineRule="exact"/>
      <w:ind w:firstLineChars="200" w:firstLine="200"/>
      <w:jc w:val="both"/>
    </w:pPr>
    <w:rPr>
      <w:rFonts w:eastAsia="新細明體"/>
      <w:szCs w:val="28"/>
      <w:lang w:val="x-none" w:eastAsia="zh-HK"/>
    </w:rPr>
  </w:style>
  <w:style w:type="character" w:customStyle="1" w:styleId="1---0">
    <w:name w:val="1---段落 字元"/>
    <w:basedOn w:val="a3"/>
    <w:link w:val="1---"/>
    <w:rsid w:val="00274413"/>
    <w:rPr>
      <w:kern w:val="2"/>
      <w:sz w:val="24"/>
      <w:szCs w:val="28"/>
      <w:lang w:val="x-none" w:eastAsia="zh-HK"/>
    </w:rPr>
  </w:style>
  <w:style w:type="paragraph" w:customStyle="1" w:styleId="2---">
    <w:name w:val="2---註解"/>
    <w:basedOn w:val="a0"/>
    <w:qFormat/>
    <w:rsid w:val="00E359EF"/>
    <w:pPr>
      <w:widowControl w:val="0"/>
      <w:numPr>
        <w:numId w:val="0"/>
      </w:numPr>
      <w:kinsoku w:val="0"/>
      <w:overflowPunct w:val="0"/>
      <w:ind w:left="71" w:hangingChars="71" w:hanging="71"/>
      <w:jc w:val="both"/>
      <w:textAlignment w:val="auto"/>
    </w:pPr>
    <w:rPr>
      <w:rFonts w:eastAsia="新細明體"/>
      <w:noProof w:val="0"/>
      <w:kern w:val="2"/>
      <w:sz w:val="19"/>
      <w:szCs w:val="18"/>
    </w:rPr>
  </w:style>
  <w:style w:type="paragraph" w:customStyle="1" w:styleId="20">
    <w:name w:val="樣式2"/>
    <w:basedOn w:val="a1"/>
    <w:next w:val="4"/>
    <w:link w:val="21"/>
    <w:autoRedefine/>
    <w:qFormat/>
    <w:rsid w:val="00EF3CFE"/>
    <w:pPr>
      <w:adjustRightInd w:val="0"/>
      <w:spacing w:beforeLines="50" w:before="270" w:afterLines="50" w:after="270" w:line="500" w:lineRule="exact"/>
      <w:ind w:left="849" w:hangingChars="303" w:hanging="849"/>
      <w:jc w:val="both"/>
    </w:pPr>
    <w:rPr>
      <w:rFonts w:eastAsia="新細明體" w:hAnsi="新細明體"/>
      <w:b/>
      <w:color w:val="000000" w:themeColor="text1"/>
      <w:sz w:val="28"/>
      <w:szCs w:val="28"/>
    </w:rPr>
  </w:style>
  <w:style w:type="character" w:customStyle="1" w:styleId="21">
    <w:name w:val="樣式2 字元"/>
    <w:basedOn w:val="a3"/>
    <w:link w:val="20"/>
    <w:rsid w:val="00EF3CFE"/>
    <w:rPr>
      <w:rFonts w:hAnsi="新細明體"/>
      <w:b/>
      <w:color w:val="000000" w:themeColor="text1"/>
      <w:kern w:val="2"/>
      <w:sz w:val="28"/>
      <w:szCs w:val="28"/>
    </w:rPr>
  </w:style>
  <w:style w:type="paragraph" w:customStyle="1" w:styleId="11">
    <w:name w:val="樣式1"/>
    <w:basedOn w:val="1---"/>
    <w:link w:val="12"/>
    <w:qFormat/>
    <w:rsid w:val="0093249C"/>
    <w:pPr>
      <w:overflowPunct/>
      <w:ind w:firstLineChars="0" w:firstLine="0"/>
    </w:pPr>
    <w:rPr>
      <w:b/>
      <w:i/>
      <w:color w:val="17365D"/>
    </w:rPr>
  </w:style>
  <w:style w:type="character" w:customStyle="1" w:styleId="12">
    <w:name w:val="樣式1 字元"/>
    <w:basedOn w:val="1---0"/>
    <w:link w:val="11"/>
    <w:rsid w:val="0093249C"/>
    <w:rPr>
      <w:rFonts w:ascii="新細明體" w:hAnsi="新細明體"/>
      <w:b/>
      <w:i/>
      <w:color w:val="17365D"/>
      <w:kern w:val="2"/>
      <w:sz w:val="28"/>
      <w:szCs w:val="28"/>
      <w:lang w:val="x-none" w:eastAsia="zh-HK"/>
    </w:rPr>
  </w:style>
  <w:style w:type="paragraph" w:styleId="aff3">
    <w:name w:val="footnote text"/>
    <w:basedOn w:val="a1"/>
    <w:link w:val="aff4"/>
    <w:uiPriority w:val="99"/>
    <w:semiHidden/>
    <w:unhideWhenUsed/>
    <w:rsid w:val="00C45B6A"/>
    <w:rPr>
      <w:sz w:val="20"/>
    </w:rPr>
  </w:style>
  <w:style w:type="character" w:customStyle="1" w:styleId="aff4">
    <w:name w:val="註腳文字 字元"/>
    <w:basedOn w:val="a3"/>
    <w:link w:val="aff3"/>
    <w:uiPriority w:val="99"/>
    <w:semiHidden/>
    <w:rsid w:val="00C45B6A"/>
    <w:rPr>
      <w:rFonts w:eastAsia="標楷體"/>
      <w:kern w:val="2"/>
    </w:rPr>
  </w:style>
  <w:style w:type="paragraph" w:customStyle="1" w:styleId="40">
    <w:name w:val="樣式4"/>
    <w:basedOn w:val="11"/>
    <w:link w:val="41"/>
    <w:qFormat/>
    <w:rsid w:val="00E15842"/>
    <w:pPr>
      <w:spacing w:before="240" w:line="240" w:lineRule="auto"/>
      <w:ind w:left="426" w:hangingChars="152" w:hanging="426"/>
    </w:pPr>
    <w:rPr>
      <w:b w:val="0"/>
    </w:rPr>
  </w:style>
  <w:style w:type="character" w:customStyle="1" w:styleId="41">
    <w:name w:val="樣式4 字元"/>
    <w:link w:val="40"/>
    <w:rsid w:val="00E15842"/>
    <w:rPr>
      <w:rFonts w:hAnsi="新細明體"/>
      <w:b/>
      <w:i/>
      <w:color w:val="C00000"/>
      <w:kern w:val="2"/>
      <w:sz w:val="28"/>
      <w:szCs w:val="28"/>
      <w:lang w:eastAsia="zh-HK"/>
    </w:rPr>
  </w:style>
  <w:style w:type="paragraph" w:customStyle="1" w:styleId="0">
    <w:name w:val="段落樣式0"/>
    <w:basedOn w:val="a1"/>
    <w:qFormat/>
    <w:rsid w:val="008F2F31"/>
    <w:pPr>
      <w:tabs>
        <w:tab w:val="left" w:pos="567"/>
      </w:tabs>
      <w:overflowPunct w:val="0"/>
      <w:autoSpaceDE w:val="0"/>
      <w:autoSpaceDN w:val="0"/>
      <w:snapToGrid/>
      <w:ind w:leftChars="200" w:left="200"/>
      <w:jc w:val="both"/>
    </w:pPr>
    <w:rPr>
      <w:rFonts w:ascii="標楷體"/>
      <w:kern w:val="32"/>
      <w:sz w:val="32"/>
    </w:rPr>
  </w:style>
  <w:style w:type="paragraph" w:customStyle="1" w:styleId="31">
    <w:name w:val="樣式3"/>
    <w:basedOn w:val="a1"/>
    <w:link w:val="32"/>
    <w:qFormat/>
    <w:rsid w:val="0093249C"/>
    <w:pPr>
      <w:adjustRightInd w:val="0"/>
      <w:snapToGrid/>
      <w:spacing w:line="500" w:lineRule="exact"/>
      <w:ind w:left="426" w:hangingChars="152" w:hanging="426"/>
      <w:jc w:val="both"/>
    </w:pPr>
    <w:rPr>
      <w:rFonts w:eastAsia="新細明體"/>
      <w:color w:val="000000"/>
      <w:sz w:val="28"/>
      <w:szCs w:val="28"/>
    </w:rPr>
  </w:style>
  <w:style w:type="character" w:customStyle="1" w:styleId="32">
    <w:name w:val="樣式3 字元"/>
    <w:basedOn w:val="a3"/>
    <w:link w:val="31"/>
    <w:rsid w:val="0093249C"/>
    <w:rPr>
      <w:color w:val="000000"/>
      <w:kern w:val="2"/>
      <w:sz w:val="28"/>
      <w:szCs w:val="28"/>
    </w:rPr>
  </w:style>
  <w:style w:type="paragraph" w:customStyle="1" w:styleId="51">
    <w:name w:val="樣式5"/>
    <w:basedOn w:val="20"/>
    <w:link w:val="52"/>
    <w:qFormat/>
    <w:rsid w:val="008141CF"/>
    <w:pPr>
      <w:snapToGrid/>
      <w:spacing w:beforeLines="0" w:before="0" w:afterLines="0" w:after="0"/>
      <w:ind w:left="708" w:hangingChars="253" w:hanging="708"/>
    </w:pPr>
    <w:rPr>
      <w:rFonts w:hAnsi="Times New Roman"/>
      <w:b w:val="0"/>
      <w:color w:val="000000"/>
    </w:rPr>
  </w:style>
  <w:style w:type="character" w:customStyle="1" w:styleId="52">
    <w:name w:val="樣式5 字元"/>
    <w:basedOn w:val="21"/>
    <w:link w:val="51"/>
    <w:rsid w:val="008141CF"/>
    <w:rPr>
      <w:rFonts w:hAnsi="新細明體"/>
      <w:b w:val="0"/>
      <w:color w:val="000000"/>
      <w:kern w:val="2"/>
      <w:sz w:val="28"/>
      <w:szCs w:val="28"/>
    </w:rPr>
  </w:style>
  <w:style w:type="table" w:styleId="aff5">
    <w:name w:val="Table Grid"/>
    <w:basedOn w:val="a4"/>
    <w:uiPriority w:val="59"/>
    <w:rsid w:val="00130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Hyperlink"/>
    <w:basedOn w:val="a3"/>
    <w:uiPriority w:val="99"/>
    <w:unhideWhenUsed/>
    <w:rsid w:val="00435D8C"/>
    <w:rPr>
      <w:color w:val="0000FF"/>
      <w:u w:val="single"/>
    </w:rPr>
  </w:style>
  <w:style w:type="paragraph" w:styleId="aff7">
    <w:name w:val="TOC Heading"/>
    <w:basedOn w:val="1"/>
    <w:next w:val="a1"/>
    <w:uiPriority w:val="39"/>
    <w:unhideWhenUsed/>
    <w:qFormat/>
    <w:rsid w:val="00435D8C"/>
    <w:pPr>
      <w:keepLines/>
      <w:widowControl/>
      <w:snapToGrid/>
      <w:spacing w:before="480" w:after="0" w:line="276" w:lineRule="auto"/>
      <w:outlineLvl w:val="9"/>
    </w:pPr>
    <w:rPr>
      <w:color w:val="365F91" w:themeColor="accent1" w:themeShade="BF"/>
      <w:kern w:val="0"/>
      <w:sz w:val="28"/>
      <w:szCs w:val="28"/>
    </w:rPr>
  </w:style>
  <w:style w:type="paragraph" w:styleId="33">
    <w:name w:val="toc 3"/>
    <w:basedOn w:val="a1"/>
    <w:next w:val="a1"/>
    <w:autoRedefine/>
    <w:uiPriority w:val="39"/>
    <w:unhideWhenUsed/>
    <w:qFormat/>
    <w:rsid w:val="00435D8C"/>
    <w:pPr>
      <w:ind w:leftChars="400" w:left="960"/>
    </w:pPr>
  </w:style>
  <w:style w:type="paragraph" w:styleId="aff8">
    <w:name w:val="Plain Text"/>
    <w:basedOn w:val="a1"/>
    <w:link w:val="aff9"/>
    <w:uiPriority w:val="99"/>
    <w:unhideWhenUsed/>
    <w:rsid w:val="00912880"/>
    <w:pPr>
      <w:snapToGrid/>
    </w:pPr>
    <w:rPr>
      <w:rFonts w:ascii="Calibri" w:eastAsia="新細明體" w:hAnsi="Courier New" w:cs="Courier New"/>
      <w:szCs w:val="24"/>
    </w:rPr>
  </w:style>
  <w:style w:type="character" w:customStyle="1" w:styleId="aff9">
    <w:name w:val="純文字 字元"/>
    <w:basedOn w:val="a3"/>
    <w:link w:val="aff8"/>
    <w:uiPriority w:val="99"/>
    <w:rsid w:val="00912880"/>
    <w:rPr>
      <w:rFonts w:ascii="Calibri" w:hAnsi="Courier New" w:cs="Courier New"/>
      <w:kern w:val="2"/>
      <w:sz w:val="24"/>
      <w:szCs w:val="24"/>
    </w:rPr>
  </w:style>
  <w:style w:type="paragraph" w:customStyle="1" w:styleId="affa">
    <w:name w:val="中間字"/>
    <w:basedOn w:val="1---"/>
    <w:qFormat/>
    <w:rsid w:val="00912880"/>
    <w:pPr>
      <w:spacing w:beforeLines="50" w:before="180" w:after="180"/>
      <w:ind w:firstLineChars="0" w:firstLine="0"/>
      <w:jc w:val="center"/>
    </w:pPr>
    <w:rPr>
      <w:rFonts w:ascii="華康新特明體" w:eastAsia="華康新特明體"/>
      <w:kern w:val="0"/>
      <w:lang w:val="en-US" w:eastAsia="zh-TW"/>
    </w:rPr>
  </w:style>
  <w:style w:type="paragraph" w:styleId="Web">
    <w:name w:val="Normal (Web)"/>
    <w:basedOn w:val="a1"/>
    <w:uiPriority w:val="99"/>
    <w:semiHidden/>
    <w:unhideWhenUsed/>
    <w:rsid w:val="00912880"/>
    <w:pPr>
      <w:widowControl/>
      <w:snapToGrid/>
    </w:pPr>
    <w:rPr>
      <w:rFonts w:ascii="新細明體" w:eastAsia="新細明體" w:hAnsi="新細明體" w:cs="新細明體"/>
      <w:kern w:val="0"/>
      <w:szCs w:val="24"/>
    </w:rPr>
  </w:style>
  <w:style w:type="paragraph" w:styleId="affb">
    <w:name w:val="List Paragraph"/>
    <w:basedOn w:val="a1"/>
    <w:uiPriority w:val="34"/>
    <w:qFormat/>
    <w:rsid w:val="00912880"/>
    <w:pPr>
      <w:snapToGrid/>
      <w:ind w:leftChars="200" w:left="480"/>
    </w:pPr>
    <w:rPr>
      <w:rFonts w:asciiTheme="minorHAnsi" w:eastAsiaTheme="minorEastAsia" w:hAnsiTheme="minorHAnsi" w:cstheme="minorBidi"/>
      <w:szCs w:val="22"/>
    </w:rPr>
  </w:style>
  <w:style w:type="paragraph" w:styleId="13">
    <w:name w:val="toc 1"/>
    <w:basedOn w:val="a1"/>
    <w:next w:val="a1"/>
    <w:autoRedefine/>
    <w:uiPriority w:val="39"/>
    <w:unhideWhenUsed/>
    <w:qFormat/>
    <w:rsid w:val="00912880"/>
  </w:style>
  <w:style w:type="paragraph" w:styleId="22">
    <w:name w:val="toc 2"/>
    <w:basedOn w:val="a1"/>
    <w:next w:val="a1"/>
    <w:autoRedefine/>
    <w:uiPriority w:val="39"/>
    <w:unhideWhenUsed/>
    <w:qFormat/>
    <w:rsid w:val="00912880"/>
    <w:pPr>
      <w:ind w:leftChars="200" w:left="480"/>
    </w:pPr>
  </w:style>
  <w:style w:type="character" w:styleId="affc">
    <w:name w:val="Emphasis"/>
    <w:basedOn w:val="a3"/>
    <w:uiPriority w:val="20"/>
    <w:qFormat/>
    <w:rsid w:val="00912880"/>
    <w:rPr>
      <w:b w:val="0"/>
      <w:bCs w:val="0"/>
      <w:i w:val="0"/>
      <w:iCs w:val="0"/>
      <w:color w:val="CC0033"/>
    </w:rPr>
  </w:style>
  <w:style w:type="paragraph" w:customStyle="1" w:styleId="a">
    <w:name w:val="照片標題"/>
    <w:qFormat/>
    <w:rsid w:val="00912880"/>
    <w:pPr>
      <w:numPr>
        <w:numId w:val="5"/>
      </w:numPr>
      <w:adjustRightInd w:val="0"/>
      <w:snapToGrid w:val="0"/>
      <w:spacing w:before="40" w:after="240"/>
      <w:jc w:val="both"/>
    </w:pPr>
    <w:rPr>
      <w:rFonts w:ascii="標楷體" w:eastAsia="標楷體" w:hAnsi="華康楷書體W5(P)"/>
      <w:bCs/>
      <w:spacing w:val="-10"/>
      <w:kern w:val="28"/>
      <w:sz w:val="28"/>
      <w:szCs w:val="28"/>
    </w:rPr>
  </w:style>
  <w:style w:type="paragraph" w:styleId="affd">
    <w:name w:val="endnote text"/>
    <w:basedOn w:val="a1"/>
    <w:link w:val="affe"/>
    <w:uiPriority w:val="99"/>
    <w:semiHidden/>
    <w:unhideWhenUsed/>
    <w:rsid w:val="002639FA"/>
  </w:style>
  <w:style w:type="character" w:customStyle="1" w:styleId="affe">
    <w:name w:val="章節附註文字 字元"/>
    <w:basedOn w:val="a3"/>
    <w:link w:val="affd"/>
    <w:uiPriority w:val="99"/>
    <w:semiHidden/>
    <w:rsid w:val="002639FA"/>
    <w:rPr>
      <w:rFonts w:eastAsia="標楷體"/>
      <w:kern w:val="2"/>
      <w:sz w:val="24"/>
    </w:rPr>
  </w:style>
  <w:style w:type="character" w:styleId="afff">
    <w:name w:val="endnote reference"/>
    <w:basedOn w:val="a3"/>
    <w:uiPriority w:val="99"/>
    <w:semiHidden/>
    <w:unhideWhenUsed/>
    <w:rsid w:val="002639FA"/>
    <w:rPr>
      <w:vertAlign w:val="superscript"/>
    </w:rPr>
  </w:style>
  <w:style w:type="paragraph" w:styleId="42">
    <w:name w:val="toc 4"/>
    <w:basedOn w:val="a1"/>
    <w:next w:val="a1"/>
    <w:autoRedefine/>
    <w:uiPriority w:val="39"/>
    <w:unhideWhenUsed/>
    <w:rsid w:val="00D96B53"/>
    <w:pPr>
      <w:snapToGrid/>
      <w:ind w:leftChars="600" w:left="1440"/>
    </w:pPr>
    <w:rPr>
      <w:rFonts w:asciiTheme="minorHAnsi" w:eastAsiaTheme="minorEastAsia" w:hAnsiTheme="minorHAnsi" w:cstheme="minorBidi"/>
      <w:szCs w:val="22"/>
    </w:rPr>
  </w:style>
  <w:style w:type="paragraph" w:styleId="53">
    <w:name w:val="toc 5"/>
    <w:basedOn w:val="a1"/>
    <w:next w:val="a1"/>
    <w:autoRedefine/>
    <w:uiPriority w:val="39"/>
    <w:unhideWhenUsed/>
    <w:rsid w:val="00D96B53"/>
    <w:pPr>
      <w:snapToGrid/>
      <w:ind w:leftChars="800" w:left="1920"/>
    </w:pPr>
    <w:rPr>
      <w:rFonts w:asciiTheme="minorHAnsi" w:eastAsiaTheme="minorEastAsia" w:hAnsiTheme="minorHAnsi" w:cstheme="minorBidi"/>
      <w:szCs w:val="22"/>
    </w:rPr>
  </w:style>
  <w:style w:type="paragraph" w:styleId="61">
    <w:name w:val="toc 6"/>
    <w:basedOn w:val="a1"/>
    <w:next w:val="a1"/>
    <w:autoRedefine/>
    <w:uiPriority w:val="39"/>
    <w:unhideWhenUsed/>
    <w:rsid w:val="00D96B53"/>
    <w:pPr>
      <w:snapToGrid/>
      <w:ind w:leftChars="1000" w:left="2400"/>
    </w:pPr>
    <w:rPr>
      <w:rFonts w:asciiTheme="minorHAnsi" w:eastAsiaTheme="minorEastAsia" w:hAnsiTheme="minorHAnsi" w:cstheme="minorBidi"/>
      <w:szCs w:val="22"/>
    </w:rPr>
  </w:style>
  <w:style w:type="paragraph" w:styleId="70">
    <w:name w:val="toc 7"/>
    <w:basedOn w:val="a1"/>
    <w:next w:val="a1"/>
    <w:autoRedefine/>
    <w:uiPriority w:val="39"/>
    <w:unhideWhenUsed/>
    <w:rsid w:val="00D96B53"/>
    <w:pPr>
      <w:snapToGrid/>
      <w:ind w:leftChars="1200" w:left="2880"/>
    </w:pPr>
    <w:rPr>
      <w:rFonts w:asciiTheme="minorHAnsi" w:eastAsiaTheme="minorEastAsia" w:hAnsiTheme="minorHAnsi" w:cstheme="minorBidi"/>
      <w:szCs w:val="22"/>
    </w:rPr>
  </w:style>
  <w:style w:type="paragraph" w:styleId="80">
    <w:name w:val="toc 8"/>
    <w:basedOn w:val="a1"/>
    <w:next w:val="a1"/>
    <w:autoRedefine/>
    <w:uiPriority w:val="39"/>
    <w:unhideWhenUsed/>
    <w:rsid w:val="00D96B53"/>
    <w:pPr>
      <w:snapToGrid/>
      <w:ind w:leftChars="1400" w:left="3360"/>
    </w:pPr>
    <w:rPr>
      <w:rFonts w:asciiTheme="minorHAnsi" w:eastAsiaTheme="minorEastAsia" w:hAnsiTheme="minorHAnsi" w:cstheme="minorBidi"/>
      <w:szCs w:val="22"/>
    </w:rPr>
  </w:style>
  <w:style w:type="paragraph" w:styleId="90">
    <w:name w:val="toc 9"/>
    <w:basedOn w:val="a1"/>
    <w:next w:val="a1"/>
    <w:autoRedefine/>
    <w:uiPriority w:val="39"/>
    <w:unhideWhenUsed/>
    <w:rsid w:val="00D96B53"/>
    <w:pPr>
      <w:snapToGrid/>
      <w:ind w:leftChars="1600" w:left="3840"/>
    </w:pPr>
    <w:rPr>
      <w:rFonts w:asciiTheme="minorHAnsi" w:eastAsiaTheme="minorEastAsia" w:hAnsiTheme="minorHAnsi" w:cstheme="minorBidi"/>
      <w:szCs w:val="22"/>
    </w:rPr>
  </w:style>
  <w:style w:type="paragraph" w:customStyle="1" w:styleId="1--">
    <w:name w:val="1--章"/>
    <w:basedOn w:val="a1"/>
    <w:qFormat/>
    <w:rsid w:val="00D3592F"/>
    <w:pPr>
      <w:kinsoku w:val="0"/>
      <w:overflowPunct w:val="0"/>
      <w:snapToGrid/>
      <w:spacing w:afterLines="50" w:after="50"/>
      <w:jc w:val="both"/>
    </w:pPr>
    <w:rPr>
      <w:rFonts w:ascii="華康粗黑體" w:eastAsia="華康粗黑體"/>
      <w:kern w:val="0"/>
      <w:sz w:val="36"/>
      <w:szCs w:val="36"/>
    </w:rPr>
  </w:style>
  <w:style w:type="paragraph" w:customStyle="1" w:styleId="afff0">
    <w:name w:val="右書枚"/>
    <w:basedOn w:val="af5"/>
    <w:qFormat/>
    <w:rsid w:val="00D3592F"/>
    <w:pPr>
      <w:kinsoku w:val="0"/>
      <w:overflowPunct w:val="0"/>
      <w:spacing w:line="360" w:lineRule="exact"/>
      <w:jc w:val="right"/>
    </w:pPr>
    <w:rPr>
      <w:rFonts w:ascii="新細明體" w:hAnsi="新細明體" w:cs="新細明體"/>
      <w:kern w:val="0"/>
      <w:lang w:eastAsia="zh-HK"/>
    </w:rPr>
  </w:style>
  <w:style w:type="paragraph" w:customStyle="1" w:styleId="1--0">
    <w:name w:val="1--左書枚"/>
    <w:basedOn w:val="af5"/>
    <w:qFormat/>
    <w:rsid w:val="00D3592F"/>
    <w:pPr>
      <w:kinsoku w:val="0"/>
      <w:overflowPunct w:val="0"/>
      <w:spacing w:line="360" w:lineRule="exact"/>
      <w:jc w:val="both"/>
    </w:pPr>
    <w:rPr>
      <w:kern w:val="0"/>
    </w:rPr>
  </w:style>
  <w:style w:type="paragraph" w:customStyle="1" w:styleId="1--13">
    <w:name w:val="1--顏楷13"/>
    <w:basedOn w:val="a1"/>
    <w:qFormat/>
    <w:rsid w:val="001A2343"/>
    <w:pPr>
      <w:kinsoku w:val="0"/>
      <w:overflowPunct w:val="0"/>
      <w:snapToGrid/>
      <w:spacing w:beforeLines="50" w:before="50" w:afterLines="50" w:after="50" w:line="360" w:lineRule="exact"/>
      <w:jc w:val="both"/>
    </w:pPr>
    <w:rPr>
      <w:rFonts w:ascii="新細明體" w:eastAsia="華康正顏楷體W5" w:hAnsi="新細明體"/>
      <w:kern w:val="0"/>
      <w:sz w:val="26"/>
      <w:szCs w:val="22"/>
    </w:rPr>
  </w:style>
  <w:style w:type="paragraph" w:customStyle="1" w:styleId="afff1">
    <w:name w:val="(一)調查發現"/>
    <w:basedOn w:val="a1"/>
    <w:qFormat/>
    <w:rsid w:val="001A2343"/>
    <w:pPr>
      <w:kinsoku w:val="0"/>
      <w:overflowPunct w:val="0"/>
      <w:snapToGrid/>
      <w:spacing w:beforeLines="100" w:before="100" w:afterLines="100" w:after="100" w:line="360" w:lineRule="exact"/>
      <w:jc w:val="both"/>
    </w:pPr>
    <w:rPr>
      <w:rFonts w:ascii="華康魏碑體" w:eastAsia="華康魏碑體" w:hAnsi="細明體" w:cs="細明體"/>
      <w:kern w:val="0"/>
      <w:sz w:val="34"/>
      <w:szCs w:val="32"/>
    </w:rPr>
  </w:style>
  <w:style w:type="paragraph" w:customStyle="1" w:styleId="11-">
    <w:name w:val="11-中標"/>
    <w:basedOn w:val="4"/>
    <w:qFormat/>
    <w:rsid w:val="00AA673D"/>
    <w:pPr>
      <w:keepNext w:val="0"/>
      <w:kinsoku w:val="0"/>
      <w:overflowPunct w:val="0"/>
      <w:snapToGrid/>
      <w:spacing w:beforeLines="20" w:before="20" w:afterLines="30" w:after="30" w:line="360" w:lineRule="exact"/>
    </w:pPr>
    <w:rPr>
      <w:rFonts w:ascii="華康粗圓體" w:eastAsia="華康新特明體" w:hAnsi="Times New Roman"/>
      <w:b w:val="0"/>
      <w:shadow/>
      <w:spacing w:val="2"/>
      <w:kern w:val="0"/>
      <w:sz w:val="30"/>
      <w:szCs w:val="36"/>
      <w:lang w:val="x-none" w:eastAsia="x-none"/>
    </w:rPr>
  </w:style>
  <w:style w:type="paragraph" w:customStyle="1" w:styleId="1----">
    <w:name w:val="1----"/>
    <w:basedOn w:val="1---"/>
    <w:qFormat/>
    <w:rsid w:val="007373B4"/>
    <w:pPr>
      <w:ind w:leftChars="100" w:left="100" w:hangingChars="150" w:hanging="357"/>
    </w:pPr>
  </w:style>
  <w:style w:type="paragraph" w:customStyle="1" w:styleId="afff2">
    <w:name w:val="一般性意見　公約　款"/>
    <w:basedOn w:val="a1"/>
    <w:link w:val="afff3"/>
    <w:autoRedefine/>
    <w:qFormat/>
    <w:rsid w:val="007409C6"/>
    <w:pPr>
      <w:tabs>
        <w:tab w:val="left" w:pos="744"/>
      </w:tabs>
      <w:kinsoku w:val="0"/>
      <w:overflowPunct w:val="0"/>
      <w:snapToGrid/>
      <w:spacing w:line="360" w:lineRule="exact"/>
      <w:ind w:leftChars="200" w:left="1080" w:hangingChars="250" w:hanging="600"/>
      <w:jc w:val="both"/>
    </w:pPr>
    <w:rPr>
      <w:rFonts w:ascii="標楷體" w:hAnsi="標楷體"/>
      <w:kern w:val="0"/>
      <w:sz w:val="20"/>
      <w:lang w:val="x-none" w:eastAsia="x-none"/>
    </w:rPr>
  </w:style>
  <w:style w:type="character" w:customStyle="1" w:styleId="afff3">
    <w:name w:val="一般性意見　公約　款 字元"/>
    <w:link w:val="afff2"/>
    <w:rsid w:val="007409C6"/>
    <w:rPr>
      <w:rFonts w:ascii="標楷體" w:eastAsia="標楷體" w:hAnsi="標楷體"/>
      <w:lang w:val="x-none" w:eastAsia="x-none"/>
    </w:rPr>
  </w:style>
  <w:style w:type="paragraph" w:customStyle="1" w:styleId="11--">
    <w:name w:val="11--內文"/>
    <w:basedOn w:val="1---"/>
    <w:qFormat/>
    <w:rsid w:val="007409C6"/>
    <w:pPr>
      <w:adjustRightInd w:val="0"/>
    </w:pPr>
    <w:rPr>
      <w:kern w:val="0"/>
      <w:lang w:eastAsia="x-none"/>
    </w:rPr>
  </w:style>
  <w:style w:type="paragraph" w:customStyle="1" w:styleId="1--16">
    <w:name w:val="1--一楷書體16"/>
    <w:basedOn w:val="a1"/>
    <w:qFormat/>
    <w:rsid w:val="000130AA"/>
    <w:pPr>
      <w:kinsoku w:val="0"/>
      <w:overflowPunct w:val="0"/>
      <w:snapToGrid/>
      <w:spacing w:beforeLines="50" w:before="190" w:afterLines="50" w:after="190" w:line="360" w:lineRule="exact"/>
      <w:jc w:val="both"/>
    </w:pPr>
    <w:rPr>
      <w:rFonts w:ascii="華康楷書體W7" w:eastAsia="華康楷書體W7"/>
      <w:kern w:val="0"/>
      <w:sz w:val="32"/>
      <w:szCs w:val="32"/>
    </w:rPr>
  </w:style>
  <w:style w:type="paragraph" w:customStyle="1" w:styleId="1--1">
    <w:name w:val="1--（1）內文"/>
    <w:basedOn w:val="a1"/>
    <w:qFormat/>
    <w:rsid w:val="005E177E"/>
    <w:pPr>
      <w:kinsoku w:val="0"/>
      <w:overflowPunct w:val="0"/>
      <w:snapToGrid/>
      <w:spacing w:line="360" w:lineRule="exact"/>
      <w:ind w:leftChars="200" w:left="200" w:hangingChars="250" w:hanging="612"/>
      <w:jc w:val="both"/>
    </w:pPr>
    <w:rPr>
      <w:rFonts w:eastAsia="新細明體"/>
      <w:kern w:val="0"/>
      <w:szCs w:val="22"/>
    </w:rPr>
  </w:style>
  <w:style w:type="paragraph" w:customStyle="1" w:styleId="11--0">
    <w:name w:val="11--章"/>
    <w:basedOn w:val="a1"/>
    <w:qFormat/>
    <w:rsid w:val="00847A28"/>
    <w:pPr>
      <w:kinsoku w:val="0"/>
      <w:overflowPunct w:val="0"/>
      <w:snapToGrid/>
      <w:spacing w:beforeLines="50" w:before="50" w:afterLines="50" w:after="50" w:line="360" w:lineRule="exact"/>
      <w:jc w:val="both"/>
    </w:pPr>
    <w:rPr>
      <w:rFonts w:ascii="華康粗黑體" w:eastAsia="華康粗黑體" w:hAnsi="Calibri"/>
      <w:sz w:val="3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007336">
      <w:bodyDiv w:val="1"/>
      <w:marLeft w:val="0"/>
      <w:marRight w:val="0"/>
      <w:marTop w:val="0"/>
      <w:marBottom w:val="0"/>
      <w:divBdr>
        <w:top w:val="none" w:sz="0" w:space="0" w:color="auto"/>
        <w:left w:val="none" w:sz="0" w:space="0" w:color="auto"/>
        <w:bottom w:val="none" w:sz="0" w:space="0" w:color="auto"/>
        <w:right w:val="none" w:sz="0" w:space="0" w:color="auto"/>
      </w:divBdr>
    </w:div>
    <w:div w:id="1048410752">
      <w:bodyDiv w:val="1"/>
      <w:marLeft w:val="0"/>
      <w:marRight w:val="0"/>
      <w:marTop w:val="0"/>
      <w:marBottom w:val="0"/>
      <w:divBdr>
        <w:top w:val="none" w:sz="0" w:space="0" w:color="auto"/>
        <w:left w:val="none" w:sz="0" w:space="0" w:color="auto"/>
        <w:bottom w:val="none" w:sz="0" w:space="0" w:color="auto"/>
        <w:right w:val="none" w:sz="0" w:space="0" w:color="auto"/>
      </w:divBdr>
      <w:divsChild>
        <w:div w:id="1229998300">
          <w:marLeft w:val="0"/>
          <w:marRight w:val="0"/>
          <w:marTop w:val="0"/>
          <w:marBottom w:val="0"/>
          <w:divBdr>
            <w:top w:val="none" w:sz="0" w:space="0" w:color="auto"/>
            <w:left w:val="none" w:sz="0" w:space="0" w:color="auto"/>
            <w:bottom w:val="none" w:sz="0" w:space="0" w:color="auto"/>
            <w:right w:val="none" w:sz="0" w:space="0" w:color="auto"/>
          </w:divBdr>
          <w:divsChild>
            <w:div w:id="1284537321">
              <w:marLeft w:val="0"/>
              <w:marRight w:val="0"/>
              <w:marTop w:val="0"/>
              <w:marBottom w:val="0"/>
              <w:divBdr>
                <w:top w:val="none" w:sz="0" w:space="0" w:color="auto"/>
                <w:left w:val="none" w:sz="0" w:space="0" w:color="auto"/>
                <w:bottom w:val="none" w:sz="0" w:space="0" w:color="auto"/>
                <w:right w:val="none" w:sz="0" w:space="0" w:color="auto"/>
              </w:divBdr>
              <w:divsChild>
                <w:div w:id="1995913542">
                  <w:marLeft w:val="0"/>
                  <w:marRight w:val="0"/>
                  <w:marTop w:val="0"/>
                  <w:marBottom w:val="0"/>
                  <w:divBdr>
                    <w:top w:val="none" w:sz="0" w:space="0" w:color="auto"/>
                    <w:left w:val="none" w:sz="0" w:space="0" w:color="auto"/>
                    <w:bottom w:val="none" w:sz="0" w:space="0" w:color="auto"/>
                    <w:right w:val="none" w:sz="0" w:space="0" w:color="auto"/>
                  </w:divBdr>
                  <w:divsChild>
                    <w:div w:id="15380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97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3.xml"/><Relationship Id="rId39" Type="http://schemas.openxmlformats.org/officeDocument/2006/relationships/header" Target="header25.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header" Target="header2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header" Target="header16.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8.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www.judicial.gov.tw/ByLaw/law_ch_class1_3.jsp&#65292;&#26368;&#24460;&#28687;&#35261;&#26085;&#26399;&#65306;105" TargetMode="External"/><Relationship Id="rId1" Type="http://schemas.openxmlformats.org/officeDocument/2006/relationships/hyperlink" Target="http://www.judicial.gov.tw/ByLaw/law_ch_class1_3.jsp&#65292;&#26368;&#24460;&#28687;&#35261;&#26085;&#26399;&#65306;1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33521;&#31119;&#36948;&#20844;&#25991;\&#20989;.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0F741-F0AD-4701-B513-A4DC7993F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函</Template>
  <TotalTime>106</TotalTime>
  <Pages>549</Pages>
  <Words>38451</Words>
  <Characters>219173</Characters>
  <Application>Microsoft Office Word</Application>
  <DocSecurity>0</DocSecurity>
  <Lines>1826</Lines>
  <Paragraphs>514</Paragraphs>
  <ScaleCrop>false</ScaleCrop>
  <Company>InFoDoc</Company>
  <LinksUpToDate>false</LinksUpToDate>
  <CharactersWithSpaces>257110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函（稿）</dc:title>
  <dc:creator>.</dc:creator>
  <cp:lastModifiedBy>user</cp:lastModifiedBy>
  <cp:revision>28</cp:revision>
  <cp:lastPrinted>2019-08-06T10:29:00Z</cp:lastPrinted>
  <dcterms:created xsi:type="dcterms:W3CDTF">2019-08-26T06:52:00Z</dcterms:created>
  <dcterms:modified xsi:type="dcterms:W3CDTF">2019-08-26T09:16:00Z</dcterms:modified>
</cp:coreProperties>
</file>